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30" w:rsidRDefault="001C6299">
      <w:pPr>
        <w:rPr>
          <w:b/>
          <w:sz w:val="28"/>
          <w:u w:val="single"/>
        </w:rPr>
      </w:pPr>
      <w:bookmarkStart w:id="0" w:name="_GoBack"/>
      <w:bookmarkEnd w:id="0"/>
      <w:r w:rsidRPr="003A4F30">
        <w:rPr>
          <w:b/>
          <w:sz w:val="28"/>
          <w:u w:val="single"/>
        </w:rPr>
        <w:t>Brisbane Datasets</w:t>
      </w:r>
    </w:p>
    <w:p w:rsidR="00BB2E22" w:rsidRPr="00DA275E" w:rsidRDefault="00BB2E22" w:rsidP="00BB2E22">
      <w:pPr>
        <w:rPr>
          <w:b/>
          <w:sz w:val="24"/>
          <w:u w:val="single"/>
        </w:rPr>
      </w:pPr>
      <w:r w:rsidRPr="00DA275E">
        <w:rPr>
          <w:b/>
          <w:sz w:val="24"/>
          <w:u w:val="single"/>
        </w:rPr>
        <w:t>SAL / QPS Extracts</w:t>
      </w:r>
    </w:p>
    <w:p w:rsidR="00BB2E22" w:rsidRDefault="00BB2E22" w:rsidP="00BB2E22">
      <w:r>
        <w:t xml:space="preserve">Data Extracts from the Social Analytics Lab (SAL), Griffiths University included QPS data, Offence Lookup and spatial SHP files. These </w:t>
      </w:r>
      <w:proofErr w:type="gramStart"/>
      <w:r>
        <w:t>are described</w:t>
      </w:r>
      <w:proofErr w:type="gramEnd"/>
      <w:r>
        <w:t xml:space="preserve"> below.</w:t>
      </w:r>
    </w:p>
    <w:p w:rsidR="001C6299" w:rsidRPr="003A4F30" w:rsidRDefault="001C6299">
      <w:pPr>
        <w:rPr>
          <w:b/>
          <w:u w:val="single"/>
        </w:rPr>
      </w:pPr>
      <w:r w:rsidRPr="003A4F30">
        <w:rPr>
          <w:b/>
          <w:u w:val="single"/>
        </w:rPr>
        <w:t xml:space="preserve">Queensland Police Data </w:t>
      </w:r>
    </w:p>
    <w:p w:rsidR="001C6299" w:rsidRPr="00BB2E22" w:rsidRDefault="001C6299">
      <w:pPr>
        <w:rPr>
          <w:b/>
        </w:rPr>
      </w:pPr>
      <w:r w:rsidRPr="00BB2E22">
        <w:rPr>
          <w:b/>
        </w:rPr>
        <w:t>190214_Extract_File_Violent_Crime</w:t>
      </w:r>
    </w:p>
    <w:p w:rsidR="001C6299" w:rsidRPr="00BB2E22" w:rsidRDefault="001C6299">
      <w:pPr>
        <w:rPr>
          <w:b/>
        </w:rPr>
      </w:pPr>
      <w:r w:rsidRPr="00BB2E22">
        <w:rPr>
          <w:b/>
        </w:rPr>
        <w:t>190214_Extract_File_Property_Crime</w:t>
      </w:r>
    </w:p>
    <w:p w:rsidR="001C6299" w:rsidRDefault="003A4F30">
      <w:r>
        <w:t>The above files are structure as follows</w:t>
      </w:r>
    </w:p>
    <w:tbl>
      <w:tblPr>
        <w:tblStyle w:val="TableGrid"/>
        <w:tblW w:w="0" w:type="auto"/>
        <w:tblLook w:val="04A0" w:firstRow="1" w:lastRow="0" w:firstColumn="1" w:lastColumn="0" w:noHBand="0" w:noVBand="1"/>
      </w:tblPr>
      <w:tblGrid>
        <w:gridCol w:w="1696"/>
        <w:gridCol w:w="2694"/>
        <w:gridCol w:w="4626"/>
      </w:tblGrid>
      <w:tr w:rsidR="001C6299" w:rsidTr="001C6299">
        <w:tc>
          <w:tcPr>
            <w:tcW w:w="1696" w:type="dxa"/>
            <w:shd w:val="clear" w:color="auto" w:fill="BFBFBF" w:themeFill="background1" w:themeFillShade="BF"/>
          </w:tcPr>
          <w:p w:rsidR="001C6299" w:rsidRPr="001C6299" w:rsidRDefault="001C6299" w:rsidP="001C6299">
            <w:pPr>
              <w:rPr>
                <w:b/>
              </w:rPr>
            </w:pPr>
            <w:r w:rsidRPr="001C6299">
              <w:rPr>
                <w:b/>
              </w:rPr>
              <w:t>Field</w:t>
            </w:r>
          </w:p>
        </w:tc>
        <w:tc>
          <w:tcPr>
            <w:tcW w:w="2694" w:type="dxa"/>
            <w:shd w:val="clear" w:color="auto" w:fill="BFBFBF" w:themeFill="background1" w:themeFillShade="BF"/>
          </w:tcPr>
          <w:p w:rsidR="001C6299" w:rsidRPr="001C6299" w:rsidRDefault="003A4F30" w:rsidP="001C6299">
            <w:pPr>
              <w:rPr>
                <w:b/>
              </w:rPr>
            </w:pPr>
            <w:r>
              <w:rPr>
                <w:b/>
              </w:rPr>
              <w:t>Field description</w:t>
            </w:r>
          </w:p>
        </w:tc>
        <w:tc>
          <w:tcPr>
            <w:tcW w:w="4626" w:type="dxa"/>
            <w:shd w:val="clear" w:color="auto" w:fill="BFBFBF" w:themeFill="background1" w:themeFillShade="BF"/>
          </w:tcPr>
          <w:p w:rsidR="001C6299" w:rsidRPr="001C6299" w:rsidRDefault="001C6299" w:rsidP="001C6299">
            <w:pPr>
              <w:rPr>
                <w:b/>
              </w:rPr>
            </w:pPr>
            <w:r>
              <w:rPr>
                <w:b/>
              </w:rPr>
              <w:t>Notes</w:t>
            </w:r>
          </w:p>
        </w:tc>
      </w:tr>
      <w:tr w:rsidR="001C6299" w:rsidTr="001C6299">
        <w:tc>
          <w:tcPr>
            <w:tcW w:w="1696" w:type="dxa"/>
          </w:tcPr>
          <w:p w:rsidR="001C6299" w:rsidRDefault="001C6299" w:rsidP="001C6299">
            <w:r>
              <w:t>Year</w:t>
            </w:r>
            <w:r>
              <w:tab/>
            </w:r>
          </w:p>
        </w:tc>
        <w:tc>
          <w:tcPr>
            <w:tcW w:w="2694" w:type="dxa"/>
          </w:tcPr>
          <w:p w:rsidR="001C6299" w:rsidRDefault="001C6299" w:rsidP="001C6299">
            <w:r>
              <w:t>Calendar year</w:t>
            </w:r>
          </w:p>
        </w:tc>
        <w:tc>
          <w:tcPr>
            <w:tcW w:w="4626" w:type="dxa"/>
          </w:tcPr>
          <w:p w:rsidR="001C6299" w:rsidRDefault="001C6299" w:rsidP="001C6299">
            <w:r>
              <w:t>Between 2007 (31/12/07) and 2018 (08/07/2018 22:03:06)</w:t>
            </w:r>
          </w:p>
        </w:tc>
      </w:tr>
      <w:tr w:rsidR="001C6299" w:rsidTr="001C6299">
        <w:tc>
          <w:tcPr>
            <w:tcW w:w="1696" w:type="dxa"/>
          </w:tcPr>
          <w:p w:rsidR="001C6299" w:rsidRDefault="001C6299" w:rsidP="001C6299">
            <w:r>
              <w:t>Selection</w:t>
            </w:r>
          </w:p>
        </w:tc>
        <w:tc>
          <w:tcPr>
            <w:tcW w:w="2694" w:type="dxa"/>
          </w:tcPr>
          <w:p w:rsidR="001C6299" w:rsidRDefault="001C6299" w:rsidP="001C6299">
            <w:r>
              <w:t>Either Property or Violence</w:t>
            </w:r>
          </w:p>
        </w:tc>
        <w:tc>
          <w:tcPr>
            <w:tcW w:w="4626" w:type="dxa"/>
          </w:tcPr>
          <w:p w:rsidR="001C6299" w:rsidRDefault="003A4F30" w:rsidP="001C6299">
            <w:r>
              <w:t>Selection field</w:t>
            </w:r>
          </w:p>
        </w:tc>
      </w:tr>
      <w:tr w:rsidR="001C6299" w:rsidTr="001C6299">
        <w:tc>
          <w:tcPr>
            <w:tcW w:w="1696" w:type="dxa"/>
          </w:tcPr>
          <w:p w:rsidR="001C6299" w:rsidRDefault="001C6299" w:rsidP="001C6299">
            <w:proofErr w:type="spellStart"/>
            <w:r>
              <w:t>StatsArea</w:t>
            </w:r>
            <w:proofErr w:type="spellEnd"/>
          </w:p>
        </w:tc>
        <w:tc>
          <w:tcPr>
            <w:tcW w:w="2694" w:type="dxa"/>
          </w:tcPr>
          <w:p w:rsidR="001C6299" w:rsidRDefault="001C6299" w:rsidP="001C6299">
            <w:r>
              <w:t>Pre-defined stats area</w:t>
            </w:r>
          </w:p>
        </w:tc>
        <w:tc>
          <w:tcPr>
            <w:tcW w:w="4626" w:type="dxa"/>
          </w:tcPr>
          <w:p w:rsidR="001C6299" w:rsidRDefault="001C6299" w:rsidP="001C6299">
            <w:r>
              <w:t>*did not use, because did not link to 2016 boundaries (assumption is 2011)</w:t>
            </w:r>
          </w:p>
        </w:tc>
      </w:tr>
      <w:tr w:rsidR="001C6299" w:rsidTr="001C6299">
        <w:tc>
          <w:tcPr>
            <w:tcW w:w="1696" w:type="dxa"/>
          </w:tcPr>
          <w:p w:rsidR="001C6299" w:rsidRDefault="001C6299" w:rsidP="001C6299">
            <w:r>
              <w:t>SA1_16PPID</w:t>
            </w:r>
          </w:p>
        </w:tc>
        <w:tc>
          <w:tcPr>
            <w:tcW w:w="2694" w:type="dxa"/>
          </w:tcPr>
          <w:p w:rsidR="001C6299" w:rsidRDefault="001C6299" w:rsidP="001C6299">
            <w:r>
              <w:t>SA1 GIS code</w:t>
            </w:r>
          </w:p>
        </w:tc>
        <w:tc>
          <w:tcPr>
            <w:tcW w:w="4626" w:type="dxa"/>
          </w:tcPr>
          <w:p w:rsidR="001C6299" w:rsidRDefault="001C6299" w:rsidP="001C6299"/>
        </w:tc>
      </w:tr>
      <w:tr w:rsidR="001C6299" w:rsidTr="001C6299">
        <w:tc>
          <w:tcPr>
            <w:tcW w:w="1696" w:type="dxa"/>
          </w:tcPr>
          <w:p w:rsidR="001C6299" w:rsidRDefault="001C6299" w:rsidP="001C6299">
            <w:r>
              <w:t>SA1_16PID</w:t>
            </w:r>
          </w:p>
        </w:tc>
        <w:tc>
          <w:tcPr>
            <w:tcW w:w="2694" w:type="dxa"/>
          </w:tcPr>
          <w:p w:rsidR="001C6299" w:rsidRDefault="001C6299" w:rsidP="001C6299">
            <w:r>
              <w:t>SA1 code - full</w:t>
            </w:r>
          </w:p>
        </w:tc>
        <w:tc>
          <w:tcPr>
            <w:tcW w:w="4626" w:type="dxa"/>
          </w:tcPr>
          <w:p w:rsidR="001C6299" w:rsidRDefault="001C6299" w:rsidP="001C6299">
            <w:r>
              <w:t xml:space="preserve">e.g. </w:t>
            </w:r>
            <w:r w:rsidRPr="001C6299">
              <w:t>S11631301136329</w:t>
            </w:r>
            <w:r>
              <w:t xml:space="preserve"> – </w:t>
            </w:r>
          </w:p>
          <w:p w:rsidR="001C6299" w:rsidRDefault="001C6299" w:rsidP="001C6299">
            <w:r>
              <w:t>remove “S116” to leave SA1 2016 location code</w:t>
            </w:r>
          </w:p>
        </w:tc>
      </w:tr>
      <w:tr w:rsidR="001C6299" w:rsidTr="001C6299">
        <w:tc>
          <w:tcPr>
            <w:tcW w:w="1696" w:type="dxa"/>
          </w:tcPr>
          <w:p w:rsidR="001C6299" w:rsidRDefault="001C6299" w:rsidP="001C6299">
            <w:r>
              <w:t>LOC_PID</w:t>
            </w:r>
          </w:p>
        </w:tc>
        <w:tc>
          <w:tcPr>
            <w:tcW w:w="2694" w:type="dxa"/>
          </w:tcPr>
          <w:p w:rsidR="001C6299" w:rsidRDefault="001C6299" w:rsidP="001C6299">
            <w:r>
              <w:t>Suburb GIS code (1)</w:t>
            </w:r>
          </w:p>
        </w:tc>
        <w:tc>
          <w:tcPr>
            <w:tcW w:w="4626" w:type="dxa"/>
          </w:tcPr>
          <w:p w:rsidR="001C6299" w:rsidRDefault="003A4F30" w:rsidP="001C6299">
            <w:r>
              <w:t>These link to the SHP file – more work required to match SEIFA etc.</w:t>
            </w:r>
          </w:p>
        </w:tc>
      </w:tr>
      <w:tr w:rsidR="001C6299" w:rsidTr="001C6299">
        <w:tc>
          <w:tcPr>
            <w:tcW w:w="1696" w:type="dxa"/>
          </w:tcPr>
          <w:p w:rsidR="001C6299" w:rsidRDefault="001C6299" w:rsidP="001C6299">
            <w:r>
              <w:t>LC_PLY_PID</w:t>
            </w:r>
          </w:p>
        </w:tc>
        <w:tc>
          <w:tcPr>
            <w:tcW w:w="2694" w:type="dxa"/>
          </w:tcPr>
          <w:p w:rsidR="001C6299" w:rsidRDefault="001C6299" w:rsidP="001C6299">
            <w:r>
              <w:t>Suburb GIS code (2)</w:t>
            </w:r>
          </w:p>
        </w:tc>
        <w:tc>
          <w:tcPr>
            <w:tcW w:w="4626" w:type="dxa"/>
          </w:tcPr>
          <w:p w:rsidR="001C6299" w:rsidRDefault="003A4F30" w:rsidP="001C6299">
            <w:r>
              <w:t>These link to the SHP file – more work required to match SEIFA etc.</w:t>
            </w:r>
          </w:p>
        </w:tc>
      </w:tr>
      <w:tr w:rsidR="00BB2E22" w:rsidTr="001C6299">
        <w:tc>
          <w:tcPr>
            <w:tcW w:w="1696" w:type="dxa"/>
          </w:tcPr>
          <w:p w:rsidR="00BB2E22" w:rsidRDefault="00BB2E22" w:rsidP="00BB2E22">
            <w:proofErr w:type="spellStart"/>
            <w:r>
              <w:t>ASOCGroup</w:t>
            </w:r>
            <w:proofErr w:type="spellEnd"/>
          </w:p>
        </w:tc>
        <w:tc>
          <w:tcPr>
            <w:tcW w:w="2694" w:type="dxa"/>
          </w:tcPr>
          <w:p w:rsidR="00BB2E22" w:rsidRDefault="00BB2E22" w:rsidP="00BB2E22">
            <w:r>
              <w:t>Offence Group</w:t>
            </w:r>
          </w:p>
        </w:tc>
        <w:tc>
          <w:tcPr>
            <w:tcW w:w="4626" w:type="dxa"/>
          </w:tcPr>
          <w:p w:rsidR="00BB2E22" w:rsidRPr="0065506C" w:rsidRDefault="00BB2E22" w:rsidP="00BB2E22">
            <w:pPr>
              <w:rPr>
                <w:rFonts w:ascii="Calibri" w:hAnsi="Calibri"/>
                <w:color w:val="000000"/>
              </w:rPr>
            </w:pPr>
            <w:r>
              <w:rPr>
                <w:rFonts w:ascii="Calibri" w:hAnsi="Calibri"/>
                <w:color w:val="000000"/>
              </w:rPr>
              <w:t>ASOC lookup Link to Offence type lookup file (see below)</w:t>
            </w:r>
          </w:p>
        </w:tc>
      </w:tr>
      <w:tr w:rsidR="00BB2E22" w:rsidTr="001C6299">
        <w:tc>
          <w:tcPr>
            <w:tcW w:w="1696" w:type="dxa"/>
          </w:tcPr>
          <w:p w:rsidR="00BB2E22" w:rsidRDefault="00BB2E22" w:rsidP="00BB2E22">
            <w:proofErr w:type="spellStart"/>
            <w:r>
              <w:t>OffenceCode</w:t>
            </w:r>
            <w:proofErr w:type="spellEnd"/>
          </w:p>
        </w:tc>
        <w:tc>
          <w:tcPr>
            <w:tcW w:w="2694" w:type="dxa"/>
          </w:tcPr>
          <w:p w:rsidR="00BB2E22" w:rsidRDefault="00BB2E22" w:rsidP="00BB2E22">
            <w:r>
              <w:t>Offence Code</w:t>
            </w:r>
          </w:p>
        </w:tc>
        <w:tc>
          <w:tcPr>
            <w:tcW w:w="4626" w:type="dxa"/>
          </w:tcPr>
          <w:p w:rsidR="00BB2E22" w:rsidRPr="0065506C" w:rsidRDefault="00BB2E22" w:rsidP="00BB2E22">
            <w:pPr>
              <w:rPr>
                <w:rFonts w:ascii="Calibri" w:hAnsi="Calibri"/>
                <w:color w:val="000000"/>
              </w:rPr>
            </w:pPr>
            <w:r>
              <w:rPr>
                <w:rFonts w:ascii="Calibri" w:hAnsi="Calibri"/>
                <w:color w:val="000000"/>
              </w:rPr>
              <w:t>QPS lookup* Link to Offence type lookup file (see below)</w:t>
            </w:r>
          </w:p>
        </w:tc>
      </w:tr>
    </w:tbl>
    <w:p w:rsidR="001C6299" w:rsidRDefault="001C6299" w:rsidP="001C6299"/>
    <w:p w:rsidR="00BB2E22" w:rsidRDefault="00BB2E22" w:rsidP="00BB2E22">
      <w:proofErr w:type="spellStart"/>
      <w:r w:rsidRPr="00BB2E22">
        <w:rPr>
          <w:b/>
        </w:rPr>
        <w:t>ASOC_Offence_Type_Lookup_Edited</w:t>
      </w:r>
      <w:proofErr w:type="spellEnd"/>
      <w:r>
        <w:t xml:space="preserve"> </w:t>
      </w:r>
    </w:p>
    <w:p w:rsidR="00BB2E22" w:rsidRDefault="00BB2E22" w:rsidP="001C6299">
      <w:r>
        <w:t>This is a Queensland Police (QPS) lookup file using the ANZSOC classification. However, the ASOC and QPS lookup have a different code structure – and the seems to be more detail in the QPS (Offence Code)</w:t>
      </w:r>
    </w:p>
    <w:tbl>
      <w:tblPr>
        <w:tblStyle w:val="TableGrid"/>
        <w:tblW w:w="0" w:type="auto"/>
        <w:tblLook w:val="04A0" w:firstRow="1" w:lastRow="0" w:firstColumn="1" w:lastColumn="0" w:noHBand="0" w:noVBand="1"/>
      </w:tblPr>
      <w:tblGrid>
        <w:gridCol w:w="2766"/>
        <w:gridCol w:w="3041"/>
        <w:gridCol w:w="3209"/>
      </w:tblGrid>
      <w:tr w:rsidR="00BB2E22" w:rsidRPr="001C6299" w:rsidTr="00BB2E22">
        <w:tc>
          <w:tcPr>
            <w:tcW w:w="2766" w:type="dxa"/>
            <w:shd w:val="clear" w:color="auto" w:fill="BFBFBF" w:themeFill="background1" w:themeFillShade="BF"/>
          </w:tcPr>
          <w:p w:rsidR="00BB2E22" w:rsidRPr="001C6299" w:rsidRDefault="00BB2E22" w:rsidP="00125B90">
            <w:pPr>
              <w:rPr>
                <w:b/>
              </w:rPr>
            </w:pPr>
            <w:r w:rsidRPr="001C6299">
              <w:rPr>
                <w:b/>
              </w:rPr>
              <w:t>Field</w:t>
            </w:r>
          </w:p>
        </w:tc>
        <w:tc>
          <w:tcPr>
            <w:tcW w:w="3041" w:type="dxa"/>
            <w:shd w:val="clear" w:color="auto" w:fill="BFBFBF" w:themeFill="background1" w:themeFillShade="BF"/>
          </w:tcPr>
          <w:p w:rsidR="00BB2E22" w:rsidRPr="001C6299" w:rsidRDefault="00BB2E22" w:rsidP="00125B90">
            <w:pPr>
              <w:rPr>
                <w:b/>
              </w:rPr>
            </w:pPr>
            <w:r>
              <w:rPr>
                <w:b/>
              </w:rPr>
              <w:t>Field description</w:t>
            </w:r>
          </w:p>
        </w:tc>
        <w:tc>
          <w:tcPr>
            <w:tcW w:w="3209" w:type="dxa"/>
            <w:shd w:val="clear" w:color="auto" w:fill="BFBFBF" w:themeFill="background1" w:themeFillShade="BF"/>
          </w:tcPr>
          <w:p w:rsidR="00BB2E22" w:rsidRPr="001C6299" w:rsidRDefault="00BB2E22" w:rsidP="00125B90">
            <w:pPr>
              <w:rPr>
                <w:b/>
              </w:rPr>
            </w:pPr>
            <w:r>
              <w:rPr>
                <w:b/>
              </w:rPr>
              <w:t>Notes</w:t>
            </w:r>
          </w:p>
        </w:tc>
      </w:tr>
      <w:tr w:rsidR="00BB2E22" w:rsidTr="00BB2E22">
        <w:tc>
          <w:tcPr>
            <w:tcW w:w="2766" w:type="dxa"/>
            <w:tcBorders>
              <w:top w:val="single" w:sz="4" w:space="0" w:color="auto"/>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OffenceCode</w:t>
            </w:r>
            <w:proofErr w:type="spellEnd"/>
          </w:p>
        </w:tc>
        <w:tc>
          <w:tcPr>
            <w:tcW w:w="3041" w:type="dxa"/>
          </w:tcPr>
          <w:p w:rsidR="00BB2E22" w:rsidRDefault="00BB2E22" w:rsidP="00BB2E22">
            <w:r>
              <w:t>QPS Offence Code</w:t>
            </w:r>
          </w:p>
        </w:tc>
        <w:tc>
          <w:tcPr>
            <w:tcW w:w="3209" w:type="dxa"/>
          </w:tcPr>
          <w:p w:rsidR="00BB2E22" w:rsidRDefault="00BB2E22" w:rsidP="00BB2E22"/>
        </w:tc>
      </w:tr>
      <w:tr w:rsidR="00BB2E22"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OffenceDescription</w:t>
            </w:r>
            <w:proofErr w:type="spellEnd"/>
          </w:p>
        </w:tc>
        <w:tc>
          <w:tcPr>
            <w:tcW w:w="3041" w:type="dxa"/>
          </w:tcPr>
          <w:p w:rsidR="00BB2E22" w:rsidRDefault="00BB2E22" w:rsidP="00BB2E22">
            <w:r>
              <w:t>QPS Offence Description</w:t>
            </w:r>
          </w:p>
        </w:tc>
        <w:tc>
          <w:tcPr>
            <w:tcW w:w="3209" w:type="dxa"/>
          </w:tcPr>
          <w:p w:rsidR="00BB2E22" w:rsidRDefault="00BB2E22" w:rsidP="00BB2E22"/>
        </w:tc>
      </w:tr>
      <w:tr w:rsidR="00BB2E22"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ASOCDivision</w:t>
            </w:r>
            <w:proofErr w:type="spellEnd"/>
          </w:p>
        </w:tc>
        <w:tc>
          <w:tcPr>
            <w:tcW w:w="3041" w:type="dxa"/>
          </w:tcPr>
          <w:p w:rsidR="00BB2E22" w:rsidRDefault="00BB2E22" w:rsidP="00BB2E22">
            <w:r>
              <w:t>ASOC Division code</w:t>
            </w:r>
          </w:p>
        </w:tc>
        <w:tc>
          <w:tcPr>
            <w:tcW w:w="3209" w:type="dxa"/>
          </w:tcPr>
          <w:p w:rsidR="00BB2E22" w:rsidRDefault="00BB2E22" w:rsidP="00BB2E22">
            <w:r>
              <w:t>ASOC hierarchy (level 1)</w:t>
            </w:r>
          </w:p>
        </w:tc>
      </w:tr>
      <w:tr w:rsidR="00BB2E22"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ASOCDivisionDescription</w:t>
            </w:r>
            <w:proofErr w:type="spellEnd"/>
          </w:p>
        </w:tc>
        <w:tc>
          <w:tcPr>
            <w:tcW w:w="3041" w:type="dxa"/>
          </w:tcPr>
          <w:p w:rsidR="00BB2E22" w:rsidRDefault="00BB2E22" w:rsidP="00BB2E22">
            <w:r>
              <w:t>ASOC Division Description</w:t>
            </w:r>
          </w:p>
        </w:tc>
        <w:tc>
          <w:tcPr>
            <w:tcW w:w="3209" w:type="dxa"/>
          </w:tcPr>
          <w:p w:rsidR="00BB2E22" w:rsidRDefault="00BB2E22" w:rsidP="00BB2E22"/>
        </w:tc>
      </w:tr>
      <w:tr w:rsidR="00BB2E22"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ASOCSubDivision</w:t>
            </w:r>
            <w:proofErr w:type="spellEnd"/>
          </w:p>
        </w:tc>
        <w:tc>
          <w:tcPr>
            <w:tcW w:w="3041" w:type="dxa"/>
          </w:tcPr>
          <w:p w:rsidR="00BB2E22" w:rsidRDefault="00BB2E22" w:rsidP="00BB2E22">
            <w:r>
              <w:t>ASOC Sub-division code</w:t>
            </w:r>
          </w:p>
        </w:tc>
        <w:tc>
          <w:tcPr>
            <w:tcW w:w="3209" w:type="dxa"/>
          </w:tcPr>
          <w:p w:rsidR="00BB2E22" w:rsidRDefault="00BB2E22" w:rsidP="00BB2E22">
            <w:r>
              <w:t>ASOC hierarchy (level 2)</w:t>
            </w:r>
          </w:p>
        </w:tc>
      </w:tr>
      <w:tr w:rsidR="00BB2E22"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ASOCSubDivisionDescription</w:t>
            </w:r>
            <w:proofErr w:type="spellEnd"/>
          </w:p>
        </w:tc>
        <w:tc>
          <w:tcPr>
            <w:tcW w:w="3041" w:type="dxa"/>
          </w:tcPr>
          <w:p w:rsidR="00BB2E22" w:rsidRDefault="00BB2E22" w:rsidP="00BB2E22">
            <w:r>
              <w:t>ASOC Sub-division Description</w:t>
            </w:r>
          </w:p>
        </w:tc>
        <w:tc>
          <w:tcPr>
            <w:tcW w:w="3209" w:type="dxa"/>
          </w:tcPr>
          <w:p w:rsidR="00BB2E22" w:rsidRDefault="00BB2E22" w:rsidP="00BB2E22"/>
        </w:tc>
      </w:tr>
      <w:tr w:rsidR="00BB2E22"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ASOCGroup</w:t>
            </w:r>
            <w:proofErr w:type="spellEnd"/>
          </w:p>
        </w:tc>
        <w:tc>
          <w:tcPr>
            <w:tcW w:w="3041" w:type="dxa"/>
          </w:tcPr>
          <w:p w:rsidR="00BB2E22" w:rsidRDefault="00BB2E22" w:rsidP="00BB2E22">
            <w:r>
              <w:t>ASOC Group code</w:t>
            </w:r>
          </w:p>
        </w:tc>
        <w:tc>
          <w:tcPr>
            <w:tcW w:w="3209" w:type="dxa"/>
          </w:tcPr>
          <w:p w:rsidR="00BB2E22" w:rsidRDefault="00BB2E22" w:rsidP="00BB2E22">
            <w:r>
              <w:t>ASOC hierarchy (level 3)</w:t>
            </w:r>
          </w:p>
        </w:tc>
      </w:tr>
      <w:tr w:rsidR="00BB2E22" w:rsidRPr="0065506C"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Default="00BB2E22" w:rsidP="00BB2E22">
            <w:pPr>
              <w:rPr>
                <w:rFonts w:ascii="Calibri" w:hAnsi="Calibri"/>
                <w:color w:val="000000"/>
              </w:rPr>
            </w:pPr>
            <w:proofErr w:type="spellStart"/>
            <w:r>
              <w:rPr>
                <w:rFonts w:ascii="Calibri" w:hAnsi="Calibri"/>
                <w:color w:val="000000"/>
              </w:rPr>
              <w:t>ASOCGroupDescription</w:t>
            </w:r>
            <w:proofErr w:type="spellEnd"/>
          </w:p>
        </w:tc>
        <w:tc>
          <w:tcPr>
            <w:tcW w:w="3041" w:type="dxa"/>
          </w:tcPr>
          <w:p w:rsidR="00BB2E22" w:rsidRDefault="00BB2E22" w:rsidP="00BB2E22">
            <w:r>
              <w:t>ASOC Group Description</w:t>
            </w:r>
          </w:p>
        </w:tc>
        <w:tc>
          <w:tcPr>
            <w:tcW w:w="3209" w:type="dxa"/>
          </w:tcPr>
          <w:p w:rsidR="00BB2E22" w:rsidRPr="0065506C" w:rsidRDefault="00BB2E22" w:rsidP="00BB2E22">
            <w:pPr>
              <w:rPr>
                <w:rFonts w:ascii="Calibri" w:hAnsi="Calibri"/>
                <w:color w:val="000000"/>
              </w:rPr>
            </w:pPr>
          </w:p>
        </w:tc>
      </w:tr>
      <w:tr w:rsidR="00BB2E22" w:rsidRPr="0065506C"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Pr="00BB2E22" w:rsidRDefault="00BB2E22" w:rsidP="00BB2E22">
            <w:pPr>
              <w:rPr>
                <w:rFonts w:ascii="Calibri" w:hAnsi="Calibri"/>
                <w:color w:val="FF0000"/>
              </w:rPr>
            </w:pPr>
            <w:r w:rsidRPr="00BB2E22">
              <w:rPr>
                <w:rFonts w:ascii="Calibri" w:hAnsi="Calibri"/>
                <w:color w:val="FF0000"/>
              </w:rPr>
              <w:t>Selection</w:t>
            </w:r>
          </w:p>
        </w:tc>
        <w:tc>
          <w:tcPr>
            <w:tcW w:w="3041" w:type="dxa"/>
          </w:tcPr>
          <w:p w:rsidR="00BB2E22" w:rsidRPr="00BB2E22" w:rsidRDefault="00BB2E22" w:rsidP="00BB2E22">
            <w:pPr>
              <w:rPr>
                <w:color w:val="FF0000"/>
              </w:rPr>
            </w:pPr>
            <w:r w:rsidRPr="00BB2E22">
              <w:rPr>
                <w:color w:val="FF0000"/>
              </w:rPr>
              <w:t>My Selection for either Violence or Property</w:t>
            </w:r>
          </w:p>
        </w:tc>
        <w:tc>
          <w:tcPr>
            <w:tcW w:w="3209" w:type="dxa"/>
          </w:tcPr>
          <w:p w:rsidR="00BB2E22" w:rsidRPr="00BB2E22" w:rsidRDefault="00BB2E22" w:rsidP="00BB2E22">
            <w:pPr>
              <w:rPr>
                <w:rFonts w:ascii="Calibri" w:hAnsi="Calibri"/>
                <w:color w:val="FF0000"/>
              </w:rPr>
            </w:pPr>
            <w:r w:rsidRPr="00BB2E22">
              <w:rPr>
                <w:rFonts w:ascii="Calibri" w:hAnsi="Calibri"/>
                <w:color w:val="FF0000"/>
              </w:rPr>
              <w:t>My self-defined field</w:t>
            </w:r>
          </w:p>
        </w:tc>
      </w:tr>
      <w:tr w:rsidR="00BB2E22" w:rsidRPr="0065506C"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Pr="00BB2E22" w:rsidRDefault="00BB2E22" w:rsidP="00BB2E22">
            <w:pPr>
              <w:rPr>
                <w:rFonts w:ascii="Calibri" w:hAnsi="Calibri"/>
                <w:color w:val="FF0000"/>
              </w:rPr>
            </w:pPr>
            <w:r w:rsidRPr="00BB2E22">
              <w:rPr>
                <w:rFonts w:ascii="Calibri" w:hAnsi="Calibri"/>
                <w:color w:val="FF0000"/>
              </w:rPr>
              <w:t>Sub-Categories</w:t>
            </w:r>
          </w:p>
        </w:tc>
        <w:tc>
          <w:tcPr>
            <w:tcW w:w="3041" w:type="dxa"/>
          </w:tcPr>
          <w:p w:rsidR="00BB2E22" w:rsidRPr="00BB2E22" w:rsidRDefault="00BB2E22" w:rsidP="00BB2E22">
            <w:pPr>
              <w:rPr>
                <w:color w:val="FF0000"/>
              </w:rPr>
            </w:pPr>
            <w:r w:rsidRPr="00BB2E22">
              <w:rPr>
                <w:color w:val="FF0000"/>
              </w:rPr>
              <w:t>My self-defined sub-categories</w:t>
            </w:r>
          </w:p>
        </w:tc>
        <w:tc>
          <w:tcPr>
            <w:tcW w:w="3209" w:type="dxa"/>
          </w:tcPr>
          <w:p w:rsidR="00BB2E22" w:rsidRPr="00BB2E22" w:rsidRDefault="00BB2E22" w:rsidP="00BB2E22">
            <w:pPr>
              <w:rPr>
                <w:rFonts w:ascii="Calibri" w:hAnsi="Calibri"/>
                <w:color w:val="FF0000"/>
              </w:rPr>
            </w:pPr>
            <w:r w:rsidRPr="00BB2E22">
              <w:rPr>
                <w:rFonts w:ascii="Calibri" w:hAnsi="Calibri"/>
                <w:color w:val="FF0000"/>
              </w:rPr>
              <w:t>These need more work</w:t>
            </w:r>
          </w:p>
        </w:tc>
      </w:tr>
      <w:tr w:rsidR="00BB2E22" w:rsidRPr="0065506C" w:rsidTr="00BB2E22">
        <w:tc>
          <w:tcPr>
            <w:tcW w:w="2766" w:type="dxa"/>
            <w:tcBorders>
              <w:top w:val="nil"/>
              <w:left w:val="single" w:sz="4" w:space="0" w:color="auto"/>
              <w:bottom w:val="single" w:sz="4" w:space="0" w:color="auto"/>
              <w:right w:val="single" w:sz="4" w:space="0" w:color="auto"/>
            </w:tcBorders>
            <w:shd w:val="clear" w:color="auto" w:fill="auto"/>
            <w:vAlign w:val="bottom"/>
          </w:tcPr>
          <w:p w:rsidR="00BB2E22" w:rsidRPr="00BB2E22" w:rsidRDefault="00BB2E22" w:rsidP="00BB2E22">
            <w:pPr>
              <w:rPr>
                <w:rFonts w:ascii="Calibri" w:hAnsi="Calibri"/>
                <w:color w:val="FF0000"/>
              </w:rPr>
            </w:pPr>
            <w:proofErr w:type="spellStart"/>
            <w:r w:rsidRPr="00BB2E22">
              <w:rPr>
                <w:rFonts w:ascii="Calibri" w:hAnsi="Calibri"/>
                <w:color w:val="FF0000"/>
              </w:rPr>
              <w:lastRenderedPageBreak/>
              <w:t>Sub_Category_Residential</w:t>
            </w:r>
            <w:proofErr w:type="spellEnd"/>
          </w:p>
        </w:tc>
        <w:tc>
          <w:tcPr>
            <w:tcW w:w="3041" w:type="dxa"/>
          </w:tcPr>
          <w:p w:rsidR="00BB2E22" w:rsidRPr="00BB2E22" w:rsidRDefault="00BB2E22" w:rsidP="00BB2E22">
            <w:pPr>
              <w:rPr>
                <w:color w:val="FF0000"/>
              </w:rPr>
            </w:pPr>
            <w:r w:rsidRPr="00BB2E22">
              <w:rPr>
                <w:color w:val="FF0000"/>
              </w:rPr>
              <w:t>My self-defined residential category for property crime</w:t>
            </w:r>
          </w:p>
        </w:tc>
        <w:tc>
          <w:tcPr>
            <w:tcW w:w="3209" w:type="dxa"/>
          </w:tcPr>
          <w:p w:rsidR="00BB2E22" w:rsidRPr="00BB2E22" w:rsidRDefault="00BB2E22" w:rsidP="00BB2E22">
            <w:pPr>
              <w:rPr>
                <w:rFonts w:ascii="Calibri" w:hAnsi="Calibri"/>
                <w:color w:val="FF0000"/>
              </w:rPr>
            </w:pPr>
            <w:r w:rsidRPr="00BB2E22">
              <w:rPr>
                <w:rFonts w:ascii="Calibri" w:hAnsi="Calibri"/>
                <w:color w:val="FF0000"/>
              </w:rPr>
              <w:t>These need more work</w:t>
            </w:r>
          </w:p>
        </w:tc>
      </w:tr>
    </w:tbl>
    <w:p w:rsidR="00BB2E22" w:rsidRDefault="00BB2E22" w:rsidP="001C6299"/>
    <w:p w:rsidR="003A4F30" w:rsidRPr="003A4F30" w:rsidRDefault="003A4F30" w:rsidP="001C6299">
      <w:pPr>
        <w:rPr>
          <w:b/>
          <w:u w:val="single"/>
        </w:rPr>
      </w:pPr>
      <w:r w:rsidRPr="003A4F30">
        <w:rPr>
          <w:b/>
          <w:u w:val="single"/>
        </w:rPr>
        <w:t>Australian and New Zealand Standard Offence Classification (ANZSOC), 2011</w:t>
      </w:r>
    </w:p>
    <w:p w:rsidR="003A4F30" w:rsidRDefault="00FD1845" w:rsidP="001C6299">
      <w:hyperlink r:id="rId5" w:history="1">
        <w:r w:rsidR="003A4F30" w:rsidRPr="005C66BF">
          <w:rPr>
            <w:rStyle w:val="Hyperlink"/>
          </w:rPr>
          <w:t>https://www.abs.gov.au/ausstats/abs@.nsf/mf/1234.0</w:t>
        </w:r>
      </w:hyperlink>
    </w:p>
    <w:p w:rsidR="00BB2E22" w:rsidRPr="003A4F30" w:rsidRDefault="00BB2E22" w:rsidP="00BB2E22">
      <w:pPr>
        <w:rPr>
          <w:b/>
          <w:u w:val="single"/>
        </w:rPr>
      </w:pPr>
      <w:r w:rsidRPr="003A4F30">
        <w:rPr>
          <w:b/>
          <w:u w:val="single"/>
        </w:rPr>
        <w:t>Spatial Files</w:t>
      </w:r>
    </w:p>
    <w:p w:rsidR="00BB2E22" w:rsidRDefault="00BB2E22" w:rsidP="00BB2E22">
      <w:pPr>
        <w:rPr>
          <w:rFonts w:ascii="Calibri" w:hAnsi="Calibri"/>
          <w:color w:val="000000"/>
        </w:rPr>
      </w:pPr>
      <w:r>
        <w:rPr>
          <w:rFonts w:ascii="Calibri" w:hAnsi="Calibri"/>
          <w:color w:val="000000"/>
          <w:sz w:val="20"/>
          <w:szCs w:val="20"/>
        </w:rPr>
        <w:t>Spatial includes a number of GIS Spatial files covering:</w:t>
      </w:r>
    </w:p>
    <w:p w:rsidR="00BB2E22" w:rsidRDefault="00BB2E22" w:rsidP="00BB2E22">
      <w:pPr>
        <w:rPr>
          <w:rFonts w:ascii="Calibri" w:hAnsi="Calibri"/>
          <w:color w:val="000000"/>
        </w:rPr>
      </w:pPr>
      <w:r>
        <w:rPr>
          <w:rFonts w:ascii="Calibri" w:hAnsi="Calibri"/>
          <w:color w:val="000000"/>
          <w:sz w:val="20"/>
          <w:szCs w:val="20"/>
        </w:rPr>
        <w:t>- Greater Brisbane SA1</w:t>
      </w:r>
    </w:p>
    <w:p w:rsidR="00BB2E22" w:rsidRDefault="00BB2E22" w:rsidP="00BB2E22">
      <w:pPr>
        <w:rPr>
          <w:rFonts w:ascii="Calibri" w:hAnsi="Calibri"/>
          <w:color w:val="000000"/>
        </w:rPr>
      </w:pPr>
      <w:r>
        <w:rPr>
          <w:rFonts w:ascii="Calibri" w:hAnsi="Calibri"/>
          <w:color w:val="000000"/>
          <w:sz w:val="20"/>
          <w:szCs w:val="20"/>
        </w:rPr>
        <w:t>- Greater Brisbane Suburbs</w:t>
      </w:r>
    </w:p>
    <w:p w:rsidR="00BB2E22" w:rsidRDefault="00BB2E22" w:rsidP="00BB2E22">
      <w:pPr>
        <w:rPr>
          <w:rFonts w:ascii="Calibri" w:hAnsi="Calibri"/>
          <w:color w:val="000000"/>
        </w:rPr>
      </w:pPr>
      <w:r>
        <w:rPr>
          <w:rFonts w:ascii="Calibri" w:hAnsi="Calibri"/>
          <w:color w:val="000000"/>
          <w:sz w:val="20"/>
          <w:szCs w:val="20"/>
        </w:rPr>
        <w:t>- Broader Brisbane SA1 - i.e. the 7 Local Authorities</w:t>
      </w:r>
    </w:p>
    <w:p w:rsidR="00BB2E22" w:rsidRDefault="00BB2E22" w:rsidP="00BB2E22">
      <w:pPr>
        <w:rPr>
          <w:rFonts w:ascii="Calibri" w:hAnsi="Calibri"/>
          <w:color w:val="000000"/>
          <w:sz w:val="20"/>
          <w:szCs w:val="20"/>
          <w:shd w:val="clear" w:color="auto" w:fill="FFFFFF"/>
        </w:rPr>
      </w:pPr>
      <w:r>
        <w:rPr>
          <w:rFonts w:ascii="Calibri" w:hAnsi="Calibri"/>
          <w:color w:val="000000"/>
          <w:sz w:val="20"/>
          <w:szCs w:val="20"/>
        </w:rPr>
        <w:t>- </w:t>
      </w:r>
      <w:r>
        <w:rPr>
          <w:rFonts w:ascii="Calibri" w:hAnsi="Calibri"/>
          <w:color w:val="000000"/>
          <w:sz w:val="20"/>
          <w:szCs w:val="20"/>
          <w:shd w:val="clear" w:color="auto" w:fill="FFFFFF"/>
        </w:rPr>
        <w:t>Broader Brisbane Suburbs - i.e. the 7 Local Authorities​</w:t>
      </w:r>
    </w:p>
    <w:p w:rsidR="00BB2E22" w:rsidRDefault="00BB2E22" w:rsidP="00BB2E22">
      <w:r>
        <w:t xml:space="preserve">Broader Brisbane – is my self-defined area covering the seven local authorities around Brisbane. After consultation with various staff regarding the actual extent of Brisbane, there were a variety of views, but not a definitive answer. I also identified Greater Brisbane – as defined by the </w:t>
      </w:r>
      <w:r w:rsidRPr="008D7D49">
        <w:t>Greater Capital City Statistical Area Name (ASGS 2016)</w:t>
      </w:r>
      <w:r>
        <w:t xml:space="preserve">. </w:t>
      </w:r>
    </w:p>
    <w:p w:rsidR="00BB2E22" w:rsidRDefault="00BB2E22" w:rsidP="00BB2E22">
      <w:r>
        <w:t xml:space="preserve">There was no Policing Geographies SHP files within the SAL. </w:t>
      </w:r>
    </w:p>
    <w:p w:rsidR="00BB2E22" w:rsidRPr="00DA275E" w:rsidRDefault="00BB2E22" w:rsidP="00BB2E22">
      <w:pPr>
        <w:rPr>
          <w:rFonts w:ascii="Calibri" w:hAnsi="Calibri"/>
          <w:b/>
          <w:color w:val="000000"/>
          <w:sz w:val="28"/>
          <w:u w:val="single"/>
        </w:rPr>
      </w:pPr>
      <w:r w:rsidRPr="00DA275E">
        <w:rPr>
          <w:rFonts w:ascii="Calibri" w:hAnsi="Calibri"/>
          <w:b/>
          <w:color w:val="000000"/>
          <w:sz w:val="24"/>
          <w:szCs w:val="20"/>
          <w:u w:val="single"/>
          <w:shd w:val="clear" w:color="auto" w:fill="FFFFFF"/>
        </w:rPr>
        <w:t>Additional files</w:t>
      </w:r>
    </w:p>
    <w:p w:rsidR="00BB2E22" w:rsidRDefault="00BB2E22" w:rsidP="00BB2E22">
      <w:r>
        <w:t xml:space="preserve">There are additional </w:t>
      </w:r>
      <w:proofErr w:type="gramStart"/>
      <w:r>
        <w:t>files which</w:t>
      </w:r>
      <w:proofErr w:type="gramEnd"/>
      <w:r>
        <w:t xml:space="preserve"> required to be built to provide lookups and residential population counts. </w:t>
      </w:r>
    </w:p>
    <w:p w:rsidR="001C6299" w:rsidRPr="003A4F30" w:rsidRDefault="003A4F30">
      <w:pPr>
        <w:rPr>
          <w:b/>
          <w:sz w:val="24"/>
          <w:u w:val="single"/>
        </w:rPr>
      </w:pPr>
      <w:r w:rsidRPr="003A4F30">
        <w:rPr>
          <w:b/>
          <w:sz w:val="24"/>
          <w:u w:val="single"/>
        </w:rPr>
        <w:t>Population datasets</w:t>
      </w:r>
    </w:p>
    <w:p w:rsidR="001C6299" w:rsidRPr="001C6299" w:rsidRDefault="001C6299" w:rsidP="001C6299">
      <w:pPr>
        <w:pStyle w:val="NormalWeb"/>
        <w:rPr>
          <w:rFonts w:ascii="Calibri" w:hAnsi="Calibri"/>
          <w:color w:val="000000"/>
        </w:rPr>
      </w:pPr>
      <w:r w:rsidRPr="001C6299">
        <w:rPr>
          <w:rFonts w:ascii="Calibri" w:hAnsi="Calibri"/>
          <w:color w:val="000000"/>
        </w:rPr>
        <w:t xml:space="preserve">The </w:t>
      </w:r>
      <w:proofErr w:type="spellStart"/>
      <w:r w:rsidRPr="001C6299">
        <w:rPr>
          <w:rFonts w:ascii="Calibri" w:hAnsi="Calibri"/>
          <w:color w:val="000000"/>
        </w:rPr>
        <w:t>Meshblock</w:t>
      </w:r>
      <w:proofErr w:type="spellEnd"/>
      <w:r w:rsidRPr="001C6299">
        <w:rPr>
          <w:rFonts w:ascii="Calibri" w:hAnsi="Calibri"/>
          <w:color w:val="000000"/>
        </w:rPr>
        <w:t xml:space="preserve"> correspondence file (ZIP 18MB)</w:t>
      </w:r>
      <w:proofErr w:type="gramStart"/>
      <w:r w:rsidRPr="001C6299">
        <w:rPr>
          <w:rFonts w:ascii="Calibri" w:hAnsi="Calibri"/>
          <w:color w:val="000000"/>
        </w:rPr>
        <w:t>  </w:t>
      </w:r>
      <w:proofErr w:type="gramEnd"/>
      <w:r w:rsidRPr="001C6299">
        <w:rPr>
          <w:rFonts w:ascii="Calibri" w:hAnsi="Calibri"/>
          <w:color w:val="000000"/>
        </w:rPr>
        <w:fldChar w:fldCharType="begin"/>
      </w:r>
      <w:r w:rsidRPr="001C6299">
        <w:rPr>
          <w:rFonts w:ascii="Calibri" w:hAnsi="Calibri"/>
          <w:color w:val="000000"/>
        </w:rPr>
        <w:instrText xml:space="preserve"> HYPERLINK "http://www.qgso.qld.gov.au/subjects/society/government/maps/meshblock-correspondence-file-asgs-2016/index.php" </w:instrText>
      </w:r>
      <w:r w:rsidRPr="001C6299">
        <w:rPr>
          <w:rFonts w:ascii="Calibri" w:hAnsi="Calibri"/>
          <w:color w:val="000000"/>
        </w:rPr>
        <w:fldChar w:fldCharType="separate"/>
      </w:r>
      <w:r w:rsidRPr="001C6299">
        <w:rPr>
          <w:rStyle w:val="Hyperlink"/>
          <w:rFonts w:ascii="Calibri" w:hAnsi="Calibri"/>
        </w:rPr>
        <w:t>http://www.qgso.qld.gov.au/subjects/society/government/maps/meshblock-correspondence-file-asgs-2016/index.php</w:t>
      </w:r>
      <w:r w:rsidRPr="001C6299">
        <w:rPr>
          <w:rFonts w:ascii="Calibri" w:hAnsi="Calibri"/>
          <w:color w:val="000000"/>
        </w:rPr>
        <w:fldChar w:fldCharType="end"/>
      </w:r>
      <w:r w:rsidRPr="001C6299">
        <w:rPr>
          <w:rFonts w:ascii="Calibri" w:hAnsi="Calibri"/>
          <w:color w:val="000000"/>
        </w:rPr>
        <w:t>​</w:t>
      </w:r>
    </w:p>
    <w:p w:rsidR="001C6299" w:rsidRPr="001C6299" w:rsidRDefault="001C6299" w:rsidP="001C6299">
      <w:pPr>
        <w:rPr>
          <w:rFonts w:ascii="Calibri" w:hAnsi="Calibri"/>
          <w:color w:val="000000"/>
          <w:sz w:val="24"/>
          <w:szCs w:val="24"/>
        </w:rPr>
      </w:pPr>
    </w:p>
    <w:p w:rsidR="001C6299" w:rsidRPr="001C6299" w:rsidRDefault="001C6299" w:rsidP="001C6299">
      <w:pPr>
        <w:rPr>
          <w:rFonts w:ascii="Calibri" w:hAnsi="Calibri"/>
          <w:color w:val="000000"/>
          <w:sz w:val="24"/>
          <w:szCs w:val="24"/>
        </w:rPr>
      </w:pPr>
      <w:r w:rsidRPr="001C6299">
        <w:rPr>
          <w:rFonts w:ascii="Calibri" w:hAnsi="Calibri"/>
          <w:color w:val="000000"/>
          <w:sz w:val="24"/>
          <w:szCs w:val="24"/>
        </w:rPr>
        <w:t>Estimated resident population by statistical area level 1 (SA1)</w:t>
      </w:r>
      <w:proofErr w:type="gramStart"/>
      <w:r w:rsidRPr="001C6299">
        <w:rPr>
          <w:rFonts w:ascii="Calibri" w:hAnsi="Calibri"/>
          <w:color w:val="000000"/>
          <w:sz w:val="24"/>
          <w:szCs w:val="24"/>
        </w:rPr>
        <w:t>  </w:t>
      </w:r>
      <w:proofErr w:type="gramEnd"/>
      <w:r w:rsidRPr="001C6299">
        <w:rPr>
          <w:rFonts w:ascii="Calibri" w:hAnsi="Calibri"/>
          <w:color w:val="000000"/>
          <w:sz w:val="24"/>
          <w:szCs w:val="24"/>
        </w:rPr>
        <w:fldChar w:fldCharType="begin"/>
      </w:r>
      <w:r w:rsidRPr="001C6299">
        <w:rPr>
          <w:rFonts w:ascii="Calibri" w:hAnsi="Calibri"/>
          <w:color w:val="000000"/>
          <w:sz w:val="24"/>
          <w:szCs w:val="24"/>
        </w:rPr>
        <w:instrText xml:space="preserve"> HYPERLINK "https://data.qld.gov.au/dataset/erp-sa1-aus-consult/resource/9939f74e-46f5-4d04-b59c-155091a0a47f" </w:instrText>
      </w:r>
      <w:r w:rsidRPr="001C6299">
        <w:rPr>
          <w:rFonts w:ascii="Calibri" w:hAnsi="Calibri"/>
          <w:color w:val="000000"/>
          <w:sz w:val="24"/>
          <w:szCs w:val="24"/>
        </w:rPr>
        <w:fldChar w:fldCharType="separate"/>
      </w:r>
      <w:r w:rsidRPr="001C6299">
        <w:rPr>
          <w:rStyle w:val="Hyperlink"/>
          <w:rFonts w:ascii="Calibri" w:hAnsi="Calibri"/>
          <w:sz w:val="24"/>
          <w:szCs w:val="24"/>
        </w:rPr>
        <w:t>https://data.qld.gov.au/dataset/erp-sa1-aus-consult/resource/9939f74e-46f5-4d04-b59c-155091a0a47f</w:t>
      </w:r>
      <w:r w:rsidRPr="001C6299">
        <w:rPr>
          <w:rFonts w:ascii="Calibri" w:hAnsi="Calibri"/>
          <w:color w:val="000000"/>
          <w:sz w:val="24"/>
          <w:szCs w:val="24"/>
        </w:rPr>
        <w:fldChar w:fldCharType="end"/>
      </w:r>
      <w:r w:rsidRPr="001C6299">
        <w:rPr>
          <w:rFonts w:ascii="Calibri" w:hAnsi="Calibri"/>
          <w:color w:val="000000"/>
          <w:sz w:val="24"/>
          <w:szCs w:val="24"/>
        </w:rPr>
        <w:t>​</w:t>
      </w:r>
    </w:p>
    <w:p w:rsidR="001C6299" w:rsidRPr="003A4F30" w:rsidRDefault="003A4F30">
      <w:pPr>
        <w:rPr>
          <w:u w:val="single"/>
        </w:rPr>
      </w:pPr>
      <w:r w:rsidRPr="003A4F30">
        <w:rPr>
          <w:u w:val="single"/>
        </w:rPr>
        <w:t>Estimating population prior to 2011 using 2006 Mesh blocks</w:t>
      </w:r>
      <w:r>
        <w:rPr>
          <w:u w:val="single"/>
        </w:rPr>
        <w:t xml:space="preserve"> – advice from </w:t>
      </w:r>
      <w:r w:rsidRPr="003A4F30">
        <w:rPr>
          <w:u w:val="single"/>
        </w:rPr>
        <w:t xml:space="preserve">Kirsten </w:t>
      </w:r>
      <w:proofErr w:type="spellStart"/>
      <w:r w:rsidRPr="003A4F30">
        <w:rPr>
          <w:u w:val="single"/>
        </w:rPr>
        <w:t>Besemer</w:t>
      </w:r>
      <w:proofErr w:type="spellEnd"/>
    </w:p>
    <w:p w:rsidR="003A4F30" w:rsidRDefault="00FD1845">
      <w:hyperlink r:id="rId6" w:history="1">
        <w:r w:rsidR="003A4F30" w:rsidRPr="005C66BF">
          <w:rPr>
            <w:rStyle w:val="Hyperlink"/>
          </w:rPr>
          <w:t>http://www.abs.gov.au/websitedbs/D3310114.nsf/4a256353001af3ed4b2562bb00121564/66d7c6ca64345e1aca2572aa0080e199</w:t>
        </w:r>
      </w:hyperlink>
      <w:r w:rsidR="003A4F30">
        <w:t xml:space="preserve"> </w:t>
      </w:r>
    </w:p>
    <w:p w:rsidR="001C6299" w:rsidRPr="00BB2E22" w:rsidRDefault="00BB2E22">
      <w:pPr>
        <w:rPr>
          <w:i/>
        </w:rPr>
      </w:pPr>
      <w:r w:rsidRPr="00BB2E22">
        <w:rPr>
          <w:i/>
        </w:rPr>
        <w:t>“</w:t>
      </w:r>
      <w:r w:rsidR="003A4F30" w:rsidRPr="00BB2E22">
        <w:rPr>
          <w:i/>
        </w:rPr>
        <w:t xml:space="preserve">In response to your question, you can get populations for 2006 at SA 1 level by using the shapefile provided by the ABS at the mesh block level, which includes enumerated populations in the data table. Mesh blocks are directly convertible to SA1 for the same </w:t>
      </w:r>
      <w:proofErr w:type="gramStart"/>
      <w:r w:rsidR="003A4F30" w:rsidRPr="00BB2E22">
        <w:rPr>
          <w:i/>
        </w:rPr>
        <w:t>time period</w:t>
      </w:r>
      <w:proofErr w:type="gramEnd"/>
      <w:r w:rsidR="003A4F30" w:rsidRPr="00BB2E22">
        <w:rPr>
          <w:i/>
        </w:rPr>
        <w:t>, so all you would need to do is to compute the sum of mesh block populations to SA1. SA1 boundaries are relatively consistent over time, though some SA1s get broken up into smaller ones over time, as a result of population increases in that local area. If this applies to your study area, these can be combined back to match up to older geographies</w:t>
      </w:r>
      <w:r w:rsidRPr="00BB2E22">
        <w:rPr>
          <w:i/>
        </w:rPr>
        <w:t>”</w:t>
      </w:r>
      <w:r w:rsidR="003A4F30" w:rsidRPr="00BB2E22">
        <w:rPr>
          <w:i/>
        </w:rPr>
        <w:t xml:space="preserve">. </w:t>
      </w:r>
    </w:p>
    <w:p w:rsidR="003A4F30" w:rsidRPr="003A4F30" w:rsidRDefault="003A4F30">
      <w:pPr>
        <w:rPr>
          <w:b/>
          <w:u w:val="single"/>
        </w:rPr>
      </w:pPr>
      <w:r w:rsidRPr="003A4F30">
        <w:rPr>
          <w:b/>
          <w:u w:val="single"/>
        </w:rPr>
        <w:lastRenderedPageBreak/>
        <w:t>SEIFA</w:t>
      </w:r>
      <w:r>
        <w:rPr>
          <w:b/>
          <w:u w:val="single"/>
        </w:rPr>
        <w:t xml:space="preserve"> (</w:t>
      </w:r>
      <w:r w:rsidRPr="003A4F30">
        <w:rPr>
          <w:b/>
          <w:u w:val="single"/>
        </w:rPr>
        <w:t>Socio-Economic Indexes for Areas (SEIFA), Australia, 2016</w:t>
      </w:r>
      <w:r>
        <w:rPr>
          <w:b/>
          <w:u w:val="single"/>
        </w:rPr>
        <w:t>)</w:t>
      </w:r>
    </w:p>
    <w:p w:rsidR="001C6299" w:rsidRDefault="001C6299" w:rsidP="001C6299">
      <w:pPr>
        <w:rPr>
          <w:rFonts w:ascii="Calibri" w:eastAsia="Times New Roman" w:hAnsi="Calibri"/>
          <w:color w:val="000000"/>
        </w:rPr>
      </w:pPr>
      <w:r>
        <w:rPr>
          <w:rFonts w:ascii="Calibri" w:eastAsia="Times New Roman" w:hAnsi="Calibri"/>
          <w:color w:val="000000"/>
        </w:rPr>
        <w:t xml:space="preserve">Statistical Area Level 1, Indexes, SEIFA 2016  </w:t>
      </w:r>
    </w:p>
    <w:p w:rsidR="001C6299" w:rsidRDefault="001C6299" w:rsidP="001C6299">
      <w:pPr>
        <w:rPr>
          <w:rFonts w:ascii="Calibri" w:eastAsia="Times New Roman" w:hAnsi="Calibri"/>
          <w:color w:val="000000"/>
        </w:rPr>
      </w:pPr>
      <w:r>
        <w:rPr>
          <w:rFonts w:ascii="Calibri" w:eastAsia="Times New Roman" w:hAnsi="Calibri"/>
          <w:color w:val="000000"/>
        </w:rPr>
        <w:t xml:space="preserve">Statistical Area Level 2, Indexes, SEIFA 2016 </w:t>
      </w:r>
    </w:p>
    <w:p w:rsidR="001C6299" w:rsidRDefault="001C6299" w:rsidP="001C6299">
      <w:pPr>
        <w:rPr>
          <w:rFonts w:ascii="Calibri" w:eastAsia="Times New Roman" w:hAnsi="Calibri"/>
          <w:color w:val="000000"/>
        </w:rPr>
      </w:pPr>
      <w:r>
        <w:rPr>
          <w:rFonts w:ascii="Calibri" w:eastAsia="Times New Roman" w:hAnsi="Calibri"/>
          <w:color w:val="000000"/>
        </w:rPr>
        <w:t xml:space="preserve">Local Government Area, Indexes, SEIFA 2016 </w:t>
      </w:r>
    </w:p>
    <w:p w:rsidR="001C6299" w:rsidRDefault="001C6299" w:rsidP="001C6299">
      <w:pPr>
        <w:rPr>
          <w:rFonts w:ascii="Calibri" w:eastAsia="Times New Roman" w:hAnsi="Calibri"/>
          <w:color w:val="000000"/>
        </w:rPr>
      </w:pPr>
      <w:r>
        <w:rPr>
          <w:rFonts w:ascii="Calibri" w:eastAsia="Times New Roman" w:hAnsi="Calibri"/>
          <w:color w:val="000000"/>
        </w:rPr>
        <w:t xml:space="preserve"> State Suburb, Indexes, SEIFA 2016  </w:t>
      </w:r>
    </w:p>
    <w:p w:rsidR="001C6299" w:rsidRDefault="00FD1845">
      <w:pPr>
        <w:rPr>
          <w:rFonts w:ascii="Calibri" w:hAnsi="Calibri"/>
          <w:color w:val="000000"/>
        </w:rPr>
      </w:pPr>
      <w:hyperlink r:id="rId7" w:history="1">
        <w:r w:rsidR="001C6299">
          <w:rPr>
            <w:rStyle w:val="Hyperlink"/>
            <w:rFonts w:ascii="Calibri" w:hAnsi="Calibri"/>
          </w:rPr>
          <w:t>http://www.abs.gov.au/AUSSTATS/abs@.nsf/Lookup/2033.0.55.001Main+Features12016?OpenDocument</w:t>
        </w:r>
      </w:hyperlink>
      <w:r w:rsidR="001C6299">
        <w:rPr>
          <w:rFonts w:ascii="Calibri" w:hAnsi="Calibri"/>
          <w:color w:val="000000"/>
        </w:rPr>
        <w:t>​  </w:t>
      </w:r>
    </w:p>
    <w:p w:rsidR="008D7D49" w:rsidRDefault="00BB2E22">
      <w:r>
        <w:t>Please note the following Licensing agreement</w:t>
      </w:r>
    </w:p>
    <w:p w:rsidR="008D7D49" w:rsidRDefault="008D7D49" w:rsidP="008D7D49">
      <w:pPr>
        <w:spacing w:before="300" w:after="75"/>
        <w:textAlignment w:val="baseline"/>
        <w:rPr>
          <w:rFonts w:ascii="Arial" w:hAnsi="Arial" w:cs="Arial"/>
          <w:color w:val="C02424"/>
          <w:sz w:val="26"/>
          <w:szCs w:val="26"/>
        </w:rPr>
      </w:pPr>
      <w:r>
        <w:rPr>
          <w:rFonts w:ascii="Arial" w:hAnsi="Arial" w:cs="Arial"/>
          <w:color w:val="C02424"/>
          <w:sz w:val="26"/>
          <w:szCs w:val="26"/>
        </w:rPr>
        <w:t>Licence agreement</w:t>
      </w:r>
    </w:p>
    <w:p w:rsidR="008D7D49" w:rsidRDefault="008D7D49" w:rsidP="008D7D49">
      <w:pPr>
        <w:spacing w:before="60" w:after="225"/>
        <w:textAlignment w:val="baseline"/>
        <w:rPr>
          <w:rFonts w:ascii="Arial" w:hAnsi="Arial" w:cs="Arial"/>
          <w:color w:val="4B4842"/>
          <w:sz w:val="18"/>
          <w:szCs w:val="18"/>
        </w:rPr>
      </w:pPr>
      <w:r>
        <w:rPr>
          <w:rFonts w:ascii="Arial" w:hAnsi="Arial" w:cs="Arial"/>
          <w:color w:val="4B4842"/>
          <w:sz w:val="18"/>
          <w:szCs w:val="18"/>
        </w:rPr>
        <w:t>The following rights agreement specifies the rights granted to you the end users of this item. The terms and conditions are as follows:</w:t>
      </w:r>
    </w:p>
    <w:p w:rsidR="008D7D49" w:rsidRDefault="008D7D49" w:rsidP="008D7D49">
      <w:pPr>
        <w:numPr>
          <w:ilvl w:val="0"/>
          <w:numId w:val="1"/>
        </w:numPr>
        <w:spacing w:before="75" w:after="75" w:line="240" w:lineRule="auto"/>
        <w:ind w:left="450"/>
        <w:textAlignment w:val="baseline"/>
        <w:rPr>
          <w:rFonts w:ascii="Arial" w:hAnsi="Arial" w:cs="Arial"/>
          <w:color w:val="4B4842"/>
          <w:sz w:val="18"/>
          <w:szCs w:val="18"/>
        </w:rPr>
      </w:pPr>
      <w:r>
        <w:rPr>
          <w:rFonts w:ascii="Arial" w:hAnsi="Arial" w:cs="Arial"/>
          <w:color w:val="4B4842"/>
          <w:sz w:val="18"/>
          <w:szCs w:val="18"/>
        </w:rPr>
        <w:t>Users must agree to the following terms and conditions</w:t>
      </w:r>
    </w:p>
    <w:p w:rsidR="008D7D49" w:rsidRDefault="008D7D49" w:rsidP="008D7D49">
      <w:pPr>
        <w:ind w:left="450"/>
        <w:textAlignment w:val="baseline"/>
        <w:rPr>
          <w:rFonts w:ascii="Arial" w:hAnsi="Arial" w:cs="Arial"/>
          <w:color w:val="4B4842"/>
          <w:sz w:val="18"/>
          <w:szCs w:val="18"/>
        </w:rPr>
      </w:pPr>
      <w:r>
        <w:rPr>
          <w:rFonts w:ascii="Arial" w:hAnsi="Arial" w:cs="Arial"/>
          <w:color w:val="4B4842"/>
          <w:sz w:val="18"/>
          <w:szCs w:val="18"/>
        </w:rPr>
        <w:t>A.   I will continue to abide by all policy and procedures described in the </w:t>
      </w:r>
      <w:r>
        <w:rPr>
          <w:rFonts w:ascii="Arial" w:hAnsi="Arial" w:cs="Arial"/>
          <w:b/>
          <w:bCs/>
          <w:color w:val="4B4842"/>
          <w:sz w:val="18"/>
          <w:szCs w:val="18"/>
          <w:bdr w:val="none" w:sz="0" w:space="0" w:color="auto" w:frame="1"/>
        </w:rPr>
        <w:t>Social Analytics Lab (SAL) Researcher Agreement</w:t>
      </w:r>
      <w:r>
        <w:rPr>
          <w:rFonts w:ascii="Arial" w:hAnsi="Arial" w:cs="Arial"/>
          <w:color w:val="4B4842"/>
          <w:sz w:val="18"/>
          <w:szCs w:val="18"/>
        </w:rPr>
        <w:t>.</w:t>
      </w:r>
    </w:p>
    <w:p w:rsidR="008D7D49" w:rsidRDefault="008D7D49" w:rsidP="008D7D49">
      <w:pPr>
        <w:ind w:left="450"/>
        <w:textAlignment w:val="baseline"/>
        <w:rPr>
          <w:rFonts w:ascii="Arial" w:hAnsi="Arial" w:cs="Arial"/>
          <w:color w:val="4B4842"/>
          <w:sz w:val="18"/>
          <w:szCs w:val="18"/>
        </w:rPr>
      </w:pPr>
      <w:r>
        <w:rPr>
          <w:rFonts w:ascii="Arial" w:hAnsi="Arial" w:cs="Arial"/>
          <w:color w:val="4B4842"/>
          <w:sz w:val="18"/>
          <w:szCs w:val="18"/>
        </w:rPr>
        <w:t>B.  I will provide the SAL Management Committee with </w:t>
      </w:r>
      <w:r>
        <w:rPr>
          <w:rFonts w:ascii="Arial" w:hAnsi="Arial" w:cs="Arial"/>
          <w:b/>
          <w:bCs/>
          <w:color w:val="4B4842"/>
          <w:sz w:val="18"/>
          <w:szCs w:val="18"/>
          <w:bdr w:val="none" w:sz="0" w:space="0" w:color="auto" w:frame="1"/>
        </w:rPr>
        <w:t>copies of any research outputs (both final drafts prior to publication and publisher versions)</w:t>
      </w:r>
      <w:r>
        <w:rPr>
          <w:rFonts w:ascii="Arial" w:hAnsi="Arial" w:cs="Arial"/>
          <w:color w:val="4B4842"/>
          <w:sz w:val="18"/>
          <w:szCs w:val="18"/>
        </w:rPr>
        <w:t>.</w:t>
      </w:r>
    </w:p>
    <w:p w:rsidR="008D7D49" w:rsidRDefault="008D7D49" w:rsidP="008D7D49">
      <w:pPr>
        <w:spacing w:before="225" w:after="225"/>
        <w:ind w:left="450"/>
        <w:textAlignment w:val="baseline"/>
        <w:rPr>
          <w:rFonts w:ascii="Arial" w:hAnsi="Arial" w:cs="Arial"/>
          <w:color w:val="4B4842"/>
          <w:sz w:val="18"/>
          <w:szCs w:val="18"/>
        </w:rPr>
      </w:pPr>
      <w:r>
        <w:rPr>
          <w:rFonts w:ascii="Arial" w:hAnsi="Arial" w:cs="Arial"/>
          <w:color w:val="4B4842"/>
          <w:sz w:val="18"/>
          <w:szCs w:val="18"/>
        </w:rPr>
        <w:t>C.  Any publications resulting from use of the SAL will include an acknowledgment of the SAL.</w:t>
      </w:r>
    </w:p>
    <w:p w:rsidR="008D7D49" w:rsidRDefault="008D7D49" w:rsidP="008D7D49">
      <w:pPr>
        <w:spacing w:before="225" w:after="225"/>
        <w:ind w:left="450"/>
        <w:textAlignment w:val="baseline"/>
        <w:rPr>
          <w:rFonts w:ascii="Arial" w:hAnsi="Arial" w:cs="Arial"/>
          <w:color w:val="4B4842"/>
          <w:sz w:val="18"/>
          <w:szCs w:val="18"/>
        </w:rPr>
      </w:pPr>
      <w:r>
        <w:rPr>
          <w:rFonts w:ascii="Arial" w:hAnsi="Arial" w:cs="Arial"/>
          <w:color w:val="4B4842"/>
          <w:sz w:val="18"/>
          <w:szCs w:val="18"/>
        </w:rPr>
        <w:t>This acknowledgement will read:</w:t>
      </w:r>
    </w:p>
    <w:p w:rsidR="008D7D49" w:rsidRDefault="008D7D49" w:rsidP="008D7D49">
      <w:pPr>
        <w:ind w:left="450"/>
        <w:textAlignment w:val="baseline"/>
        <w:rPr>
          <w:rFonts w:ascii="Arial" w:hAnsi="Arial" w:cs="Arial"/>
          <w:color w:val="4B4842"/>
          <w:sz w:val="18"/>
          <w:szCs w:val="18"/>
        </w:rPr>
      </w:pPr>
      <w:r>
        <w:rPr>
          <w:rFonts w:ascii="Arial" w:hAnsi="Arial" w:cs="Arial"/>
          <w:i/>
          <w:iCs/>
          <w:color w:val="4B4842"/>
          <w:sz w:val="18"/>
          <w:szCs w:val="18"/>
          <w:bdr w:val="none" w:sz="0" w:space="0" w:color="auto" w:frame="1"/>
        </w:rPr>
        <w:t>"The authors gratefully acknowledge use of the services and facilities of the Griffith Criminology Institute's Social Analytics Lab at Griffith University."</w:t>
      </w:r>
    </w:p>
    <w:p w:rsidR="008D7D49" w:rsidRDefault="008D7D49"/>
    <w:sectPr w:rsidR="008D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296A78"/>
    <w:multiLevelType w:val="multilevel"/>
    <w:tmpl w:val="B01CB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99"/>
    <w:rsid w:val="000C02B6"/>
    <w:rsid w:val="001C6299"/>
    <w:rsid w:val="00275414"/>
    <w:rsid w:val="003A4F30"/>
    <w:rsid w:val="008B671E"/>
    <w:rsid w:val="008D7D49"/>
    <w:rsid w:val="00A20C30"/>
    <w:rsid w:val="00A40CBE"/>
    <w:rsid w:val="00BB2E22"/>
    <w:rsid w:val="00FD1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FFE86-1CA3-41E3-8DF8-670434B8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299"/>
    <w:rPr>
      <w:color w:val="0000FF"/>
      <w:u w:val="single"/>
    </w:rPr>
  </w:style>
  <w:style w:type="paragraph" w:styleId="NormalWeb">
    <w:name w:val="Normal (Web)"/>
    <w:basedOn w:val="Normal"/>
    <w:uiPriority w:val="99"/>
    <w:semiHidden/>
    <w:unhideWhenUsed/>
    <w:rsid w:val="001C6299"/>
    <w:pPr>
      <w:spacing w:after="0" w:line="240" w:lineRule="auto"/>
    </w:pPr>
    <w:rPr>
      <w:rFonts w:ascii="Times New Roman" w:hAnsi="Times New Roman" w:cs="Times New Roman"/>
      <w:sz w:val="24"/>
      <w:szCs w:val="24"/>
      <w:lang w:eastAsia="en-GB"/>
    </w:rPr>
  </w:style>
  <w:style w:type="table" w:styleId="TableGrid">
    <w:name w:val="Table Grid"/>
    <w:basedOn w:val="TableNormal"/>
    <w:uiPriority w:val="39"/>
    <w:rsid w:val="001C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4794">
      <w:bodyDiv w:val="1"/>
      <w:marLeft w:val="0"/>
      <w:marRight w:val="0"/>
      <w:marTop w:val="0"/>
      <w:marBottom w:val="0"/>
      <w:divBdr>
        <w:top w:val="none" w:sz="0" w:space="0" w:color="auto"/>
        <w:left w:val="none" w:sz="0" w:space="0" w:color="auto"/>
        <w:bottom w:val="none" w:sz="0" w:space="0" w:color="auto"/>
        <w:right w:val="none" w:sz="0" w:space="0" w:color="auto"/>
      </w:divBdr>
    </w:div>
    <w:div w:id="315842402">
      <w:bodyDiv w:val="1"/>
      <w:marLeft w:val="0"/>
      <w:marRight w:val="0"/>
      <w:marTop w:val="0"/>
      <w:marBottom w:val="0"/>
      <w:divBdr>
        <w:top w:val="none" w:sz="0" w:space="0" w:color="auto"/>
        <w:left w:val="none" w:sz="0" w:space="0" w:color="auto"/>
        <w:bottom w:val="none" w:sz="0" w:space="0" w:color="auto"/>
        <w:right w:val="none" w:sz="0" w:space="0" w:color="auto"/>
      </w:divBdr>
    </w:div>
    <w:div w:id="692151993">
      <w:bodyDiv w:val="1"/>
      <w:marLeft w:val="0"/>
      <w:marRight w:val="0"/>
      <w:marTop w:val="0"/>
      <w:marBottom w:val="0"/>
      <w:divBdr>
        <w:top w:val="none" w:sz="0" w:space="0" w:color="auto"/>
        <w:left w:val="none" w:sz="0" w:space="0" w:color="auto"/>
        <w:bottom w:val="none" w:sz="0" w:space="0" w:color="auto"/>
        <w:right w:val="none" w:sz="0" w:space="0" w:color="auto"/>
      </w:divBdr>
    </w:div>
    <w:div w:id="8676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s.gov.au/AUSSTATS/abs@.nsf/Lookup/2033.0.55.001Main+Features12016?Open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s.gov.au/websitedbs/D3310114.nsf/4a256353001af3ed4b2562bb00121564/66d7c6ca64345e1aca2572aa0080e199" TargetMode="External"/><Relationship Id="rId5" Type="http://schemas.openxmlformats.org/officeDocument/2006/relationships/hyperlink" Target="https://www.abs.gov.au/ausstats/abs@.nsf/mf/123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Ellison</dc:creator>
  <cp:keywords/>
  <dc:description/>
  <cp:lastModifiedBy>Mark Ellison</cp:lastModifiedBy>
  <cp:revision>2</cp:revision>
  <dcterms:created xsi:type="dcterms:W3CDTF">2019-05-15T13:55:00Z</dcterms:created>
  <dcterms:modified xsi:type="dcterms:W3CDTF">2019-05-15T13:55:00Z</dcterms:modified>
</cp:coreProperties>
</file>