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Extract, Verify, Synthesize</w:t>
      </w:r>
    </w:p>
    <w:p>
      <w:pPr>
        <w:spacing w:after="300"/>
      </w:pPr>
      <w:r>
        <w:rPr>
          <w:i/>
          <w:iCs/>
          <w:color w:val="555555"/>
          <w:sz w:val="22"/>
          <w:szCs w:val="22"/>
        </w:rPr>
        <w:t xml:space="preserve">LASR Labs, Research Coordinator/Manager Work Test</w:t>
      </w:r>
    </w:p>
    <w:p>
      <w:pPr>
        <w:spacing w:after="160"/>
      </w:pPr>
      <w:r>
        <w:rPr>
          <w:b w:val="false"/>
          <w:bCs w:val="false"/>
          <w:i w:val="false"/>
          <w:iCs w:val="false"/>
        </w:rPr>
        <w:t xml:space="preserve">A 30-minute workshop that teaches one repeatable workflow for turning a stack of papers into a synthesis a research team can actually build on, saved as a note in a linked vault so it keeps paying off for the rest of a 13-week fellowship instead of disappearing into a chat log, and the habit of checking before trusting, even when the AI's summary sounds completely confident.</w:t>
      </w:r>
    </w:p>
    <w:p>
      <w:pPr>
        <w:pStyle w:val="Heading1"/>
        <w:spacing w:after="160" w:before="400"/>
      </w:pPr>
      <w:r>
        <w:t xml:space="preserve">Part 1: The Plan</w:t>
      </w:r>
    </w:p>
    <w:p>
      <w:pPr>
        <w:spacing w:after="160"/>
      </w:pPr>
      <w:r>
        <w:rPr>
          <w:b w:val="false"/>
          <w:bCs w:val="false"/>
          <w:i w:val="false"/>
          <w:iCs w:val="false"/>
        </w:rPr>
        <w:t xml:space="preserve">What I'm teaching: a repeatable three-step workflow, Extract, then Verify, then Synthesize, plus one habit: never skip the Verify step, even when the AI's output reads as confident and complete.</w:t>
      </w:r>
    </w:p>
    <w:p>
      <w:pPr>
        <w:spacing w:after="160"/>
      </w:pPr>
      <w:r>
        <w:rPr>
          <w:b w:val="false"/>
          <w:bCs w:val="false"/>
          <w:i w:val="false"/>
          <w:iCs w:val="false"/>
        </w:rPr>
        <w:t xml:space="preserve">The output isn't a one-off summary. It's a note that lives in a fellow's own notes vault (Obsidian, or whatever they already use) and links to every other paper they've read, so a synthesis from week one is still findable and connected in week ten. I'm not spending workshop time teaching Obsidian itself, the underlying format is plain markdown, so it works the same way as flat files for anyone who doesn't use a linked-notes tool.</w:t>
      </w:r>
    </w:p>
    <w:p>
      <w:pPr>
        <w:spacing w:after="160"/>
      </w:pPr>
      <w:r>
        <w:rPr>
          <w:b w:val="false"/>
          <w:bCs w:val="false"/>
          <w:i w:val="false"/>
          <w:iCs w:val="false"/>
        </w:rPr>
        <w:t xml:space="preserve">The cohort already does ad hoc literature work with AI every day. A grab-bag of tips would just reinforce that ad hoc habit. One concrete workflow, with a template they take away and actually reuse in week one, is what changes behavior from improvised to systematic.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100"/>
      </w:tblGrid>
      <w:tr>
        <w:tc>
          <w:tcPr>
            <w:tcW w:type="dxa" w:w="1400"/>
            <w:shd w:fill="1C211D" w:val="clear"/>
            <w:tcMar>
              <w:top w:type="dxa" w:w="100"/>
              <w:left w:type="dxa" w:w="120"/>
              <w:bottom w:type="dxa" w:w="100"/>
              <w:right w:type="dxa" w:w="120"/>
            </w:tcMar>
            <w:vAlign w:val="top"/>
          </w:tcPr>
          <w:p>
            <w:r>
              <w:rPr>
                <w:b/>
                <w:bCs/>
                <w:color w:val="FFFFFF"/>
                <w:sz w:val="18"/>
                <w:szCs w:val="18"/>
              </w:rPr>
              <w:t xml:space="preserve">Time</w:t>
            </w:r>
          </w:p>
        </w:tc>
        <w:tc>
          <w:tcPr>
            <w:tcW w:type="dxa" w:w="2200"/>
            <w:shd w:fill="1C211D" w:val="clear"/>
            <w:tcMar>
              <w:top w:type="dxa" w:w="100"/>
              <w:left w:type="dxa" w:w="120"/>
              <w:bottom w:type="dxa" w:w="100"/>
              <w:right w:type="dxa" w:w="120"/>
            </w:tcMar>
            <w:vAlign w:val="top"/>
          </w:tcPr>
          <w:p>
            <w:r>
              <w:rPr>
                <w:b/>
                <w:bCs/>
                <w:color w:val="FFFFFF"/>
                <w:sz w:val="18"/>
                <w:szCs w:val="18"/>
              </w:rPr>
              <w:t xml:space="preserve">Segment</w:t>
            </w:r>
          </w:p>
        </w:tc>
        <w:tc>
          <w:tcPr>
            <w:tcW w:type="dxa" w:w="6100"/>
            <w:shd w:fill="1C211D" w:val="clear"/>
            <w:tcMar>
              <w:top w:type="dxa" w:w="100"/>
              <w:left w:type="dxa" w:w="120"/>
              <w:bottom w:type="dxa" w:w="100"/>
              <w:right w:type="dxa" w:w="120"/>
            </w:tcMar>
            <w:vAlign w:val="top"/>
          </w:tcPr>
          <w:p>
            <w:r>
              <w:rPr>
                <w:b/>
                <w:bCs/>
                <w:color w:val="FFFFFF"/>
                <w:sz w:val="18"/>
                <w:szCs w:val="18"/>
              </w:rPr>
              <w:t xml:space="preserve">What happens</w:t>
            </w:r>
          </w:p>
        </w:tc>
      </w:tr>
      <w:tr>
        <w:tc>
          <w:tcPr>
            <w:tcW w:type="dxa" w:w="1400"/>
            <w:tcMar>
              <w:top w:type="dxa" w:w="100"/>
              <w:left w:type="dxa" w:w="120"/>
              <w:bottom w:type="dxa" w:w="100"/>
              <w:right w:type="dxa" w:w="120"/>
            </w:tcMar>
            <w:vAlign w:val="top"/>
          </w:tcPr>
          <w:p>
            <w:pPr>
              <w:spacing w:after="0"/>
            </w:pPr>
            <w:r>
              <w:rPr>
                <w:b w:val="false"/>
                <w:bCs w:val="false"/>
                <w:sz w:val="19"/>
                <w:szCs w:val="19"/>
              </w:rPr>
              <w:t xml:space="preserve">0:00-0:04</w:t>
            </w:r>
          </w:p>
        </w:tc>
        <w:tc>
          <w:tcPr>
            <w:tcW w:type="dxa" w:w="2200"/>
            <w:tcMar>
              <w:top w:type="dxa" w:w="100"/>
              <w:left w:type="dxa" w:w="120"/>
              <w:bottom w:type="dxa" w:w="100"/>
              <w:right w:type="dxa" w:w="120"/>
            </w:tcMar>
            <w:vAlign w:val="top"/>
          </w:tcPr>
          <w:p>
            <w:pPr>
              <w:spacing w:after="0"/>
            </w:pPr>
            <w:r>
              <w:rPr>
                <w:b w:val="false"/>
                <w:bCs w:val="false"/>
                <w:sz w:val="19"/>
                <w:szCs w:val="19"/>
              </w:rPr>
              <w:t xml:space="preserve">Hook</w:t>
            </w:r>
          </w:p>
        </w:tc>
        <w:tc>
          <w:tcPr>
            <w:tcW w:type="dxa" w:w="6100"/>
            <w:tcMar>
              <w:top w:type="dxa" w:w="100"/>
              <w:left w:type="dxa" w:w="120"/>
              <w:bottom w:type="dxa" w:w="100"/>
              <w:right w:type="dxa" w:w="120"/>
            </w:tcMar>
            <w:vAlign w:val="top"/>
          </w:tcPr>
          <w:p>
            <w:pPr>
              <w:spacing w:after="0"/>
            </w:pPr>
            <w:r>
              <w:rPr>
                <w:b w:val="false"/>
                <w:bCs w:val="false"/>
                <w:sz w:val="19"/>
                <w:szCs w:val="19"/>
              </w:rPr>
              <w:t xml:space="preserve">Show the raw AI extraction from the worked example. It reads as completely correct. Ask the room what's wrong with it. Nobody catches it in 60 seconds.</w:t>
            </w:r>
          </w:p>
        </w:tc>
      </w:tr>
      <w:tr>
        <w:tc>
          <w:tcPr>
            <w:tcW w:type="dxa" w:w="1400"/>
            <w:tcMar>
              <w:top w:type="dxa" w:w="100"/>
              <w:left w:type="dxa" w:w="120"/>
              <w:bottom w:type="dxa" w:w="100"/>
              <w:right w:type="dxa" w:w="120"/>
            </w:tcMar>
            <w:vAlign w:val="top"/>
          </w:tcPr>
          <w:p>
            <w:pPr>
              <w:spacing w:after="0"/>
            </w:pPr>
            <w:r>
              <w:rPr>
                <w:b w:val="false"/>
                <w:bCs w:val="false"/>
                <w:sz w:val="19"/>
                <w:szCs w:val="19"/>
              </w:rPr>
              <w:t xml:space="preserve">0:04-0:09</w:t>
            </w:r>
          </w:p>
        </w:tc>
        <w:tc>
          <w:tcPr>
            <w:tcW w:type="dxa" w:w="2200"/>
            <w:tcMar>
              <w:top w:type="dxa" w:w="100"/>
              <w:left w:type="dxa" w:w="120"/>
              <w:bottom w:type="dxa" w:w="100"/>
              <w:right w:type="dxa" w:w="120"/>
            </w:tcMar>
            <w:vAlign w:val="top"/>
          </w:tcPr>
          <w:p>
            <w:pPr>
              <w:spacing w:after="0"/>
            </w:pPr>
            <w:r>
              <w:rPr>
                <w:b w:val="false"/>
                <w:bCs w:val="false"/>
                <w:sz w:val="19"/>
                <w:szCs w:val="19"/>
              </w:rPr>
              <w:t xml:space="preserve">Name the problem</w:t>
            </w:r>
          </w:p>
        </w:tc>
        <w:tc>
          <w:tcPr>
            <w:tcW w:type="dxa" w:w="6100"/>
            <w:tcMar>
              <w:top w:type="dxa" w:w="100"/>
              <w:left w:type="dxa" w:w="120"/>
              <w:bottom w:type="dxa" w:w="100"/>
              <w:right w:type="dxa" w:w="120"/>
            </w:tcMar>
            <w:vAlign w:val="top"/>
          </w:tcPr>
          <w:p>
            <w:pPr>
              <w:spacing w:after="0"/>
            </w:pPr>
            <w:r>
              <w:rPr>
                <w:b w:val="false"/>
                <w:bCs w:val="false"/>
                <w:sz w:val="19"/>
                <w:szCs w:val="19"/>
              </w:rPr>
              <w:t xml:space="preserve">Walk through the two real errors: the AI overstates how far a paper's result actually applies, and it mixes up two related but different terms. Name the pattern: AI summaries sound fluent and confident, and they fail quietly.</w:t>
            </w:r>
          </w:p>
        </w:tc>
      </w:tr>
      <w:tr>
        <w:tc>
          <w:tcPr>
            <w:tcW w:type="dxa" w:w="1400"/>
            <w:tcMar>
              <w:top w:type="dxa" w:w="100"/>
              <w:left w:type="dxa" w:w="120"/>
              <w:bottom w:type="dxa" w:w="100"/>
              <w:right w:type="dxa" w:w="120"/>
            </w:tcMar>
            <w:vAlign w:val="top"/>
          </w:tcPr>
          <w:p>
            <w:pPr>
              <w:spacing w:after="0"/>
            </w:pPr>
            <w:r>
              <w:rPr>
                <w:b w:val="false"/>
                <w:bCs w:val="false"/>
                <w:sz w:val="19"/>
                <w:szCs w:val="19"/>
              </w:rPr>
              <w:t xml:space="preserve">0:09-0:20</w:t>
            </w:r>
          </w:p>
        </w:tc>
        <w:tc>
          <w:tcPr>
            <w:tcW w:type="dxa" w:w="2200"/>
            <w:tcMar>
              <w:top w:type="dxa" w:w="100"/>
              <w:left w:type="dxa" w:w="120"/>
              <w:bottom w:type="dxa" w:w="100"/>
              <w:right w:type="dxa" w:w="120"/>
            </w:tcMar>
            <w:vAlign w:val="top"/>
          </w:tcPr>
          <w:p>
            <w:pPr>
              <w:spacing w:after="0"/>
            </w:pPr>
            <w:r>
              <w:rPr>
                <w:b w:val="false"/>
                <w:bCs w:val="false"/>
                <w:sz w:val="19"/>
                <w:szCs w:val="19"/>
              </w:rPr>
              <w:t xml:space="preserve">Live worked example</w:t>
            </w:r>
          </w:p>
        </w:tc>
        <w:tc>
          <w:tcPr>
            <w:tcW w:type="dxa" w:w="6100"/>
            <w:tcMar>
              <w:top w:type="dxa" w:w="100"/>
              <w:left w:type="dxa" w:w="120"/>
              <w:bottom w:type="dxa" w:w="100"/>
              <w:right w:type="dxa" w:w="120"/>
            </w:tcMar>
            <w:vAlign w:val="top"/>
          </w:tcPr>
          <w:p>
            <w:pPr>
              <w:spacing w:after="0"/>
            </w:pPr>
            <w:r>
              <w:rPr>
                <w:b w:val="false"/>
                <w:bCs w:val="false"/>
                <w:sz w:val="19"/>
                <w:szCs w:val="19"/>
              </w:rPr>
              <w:t xml:space="preserve">Run the actual three-step workflow on the same three papers, live, using the prompt library. Extract is fast and AI-driven. Verify means checking each claim against the source text, not the AI's own summary. Synthesize only runs on the corrected version.</w:t>
            </w:r>
          </w:p>
        </w:tc>
      </w:tr>
      <w:tr>
        <w:tc>
          <w:tcPr>
            <w:tcW w:type="dxa" w:w="1400"/>
            <w:tcMar>
              <w:top w:type="dxa" w:w="100"/>
              <w:left w:type="dxa" w:w="120"/>
              <w:bottom w:type="dxa" w:w="100"/>
              <w:right w:type="dxa" w:w="120"/>
            </w:tcMar>
            <w:vAlign w:val="top"/>
          </w:tcPr>
          <w:p>
            <w:pPr>
              <w:spacing w:after="0"/>
            </w:pPr>
            <w:r>
              <w:rPr>
                <w:b w:val="false"/>
                <w:bCs w:val="false"/>
                <w:sz w:val="19"/>
                <w:szCs w:val="19"/>
              </w:rPr>
              <w:t xml:space="preserve">0:20-0:26</w:t>
            </w:r>
          </w:p>
        </w:tc>
        <w:tc>
          <w:tcPr>
            <w:tcW w:type="dxa" w:w="2200"/>
            <w:tcMar>
              <w:top w:type="dxa" w:w="100"/>
              <w:left w:type="dxa" w:w="120"/>
              <w:bottom w:type="dxa" w:w="100"/>
              <w:right w:type="dxa" w:w="120"/>
            </w:tcMar>
            <w:vAlign w:val="top"/>
          </w:tcPr>
          <w:p>
            <w:pPr>
              <w:spacing w:after="0"/>
            </w:pPr>
            <w:r>
              <w:rPr>
                <w:b w:val="false"/>
                <w:bCs w:val="false"/>
                <w:sz w:val="19"/>
                <w:szCs w:val="19"/>
              </w:rPr>
              <w:t xml:space="preserve">Hands-on</w:t>
            </w:r>
          </w:p>
        </w:tc>
        <w:tc>
          <w:tcPr>
            <w:tcW w:type="dxa" w:w="6100"/>
            <w:tcMar>
              <w:top w:type="dxa" w:w="100"/>
              <w:left w:type="dxa" w:w="120"/>
              <w:bottom w:type="dxa" w:w="100"/>
              <w:right w:type="dxa" w:w="120"/>
            </w:tcMar>
            <w:vAlign w:val="top"/>
          </w:tcPr>
          <w:p>
            <w:pPr>
              <w:spacing w:after="0"/>
            </w:pPr>
            <w:r>
              <w:rPr>
                <w:b w:val="false"/>
                <w:bCs w:val="false"/>
                <w:sz w:val="19"/>
                <w:szCs w:val="19"/>
              </w:rPr>
              <w:t xml:space="preserve">Fellows take the Verify step and run it against one claim from a paper in their own reading pile. Pair up, compare what they found.</w:t>
            </w:r>
          </w:p>
        </w:tc>
      </w:tr>
      <w:tr>
        <w:tc>
          <w:tcPr>
            <w:tcW w:type="dxa" w:w="1400"/>
            <w:tcMar>
              <w:top w:type="dxa" w:w="100"/>
              <w:left w:type="dxa" w:w="120"/>
              <w:bottom w:type="dxa" w:w="100"/>
              <w:right w:type="dxa" w:w="120"/>
            </w:tcMar>
            <w:vAlign w:val="top"/>
          </w:tcPr>
          <w:p>
            <w:pPr>
              <w:spacing w:after="0"/>
            </w:pPr>
            <w:r>
              <w:rPr>
                <w:b w:val="false"/>
                <w:bCs w:val="false"/>
                <w:sz w:val="19"/>
                <w:szCs w:val="19"/>
              </w:rPr>
              <w:t xml:space="preserve">0:26-0:30</w:t>
            </w:r>
          </w:p>
        </w:tc>
        <w:tc>
          <w:tcPr>
            <w:tcW w:type="dxa" w:w="2200"/>
            <w:tcMar>
              <w:top w:type="dxa" w:w="100"/>
              <w:left w:type="dxa" w:w="120"/>
              <w:bottom w:type="dxa" w:w="100"/>
              <w:right w:type="dxa" w:w="120"/>
            </w:tcMar>
            <w:vAlign w:val="top"/>
          </w:tcPr>
          <w:p>
            <w:pPr>
              <w:spacing w:after="0"/>
            </w:pPr>
            <w:r>
              <w:rPr>
                <w:b w:val="false"/>
                <w:bCs w:val="false"/>
                <w:sz w:val="19"/>
                <w:szCs w:val="19"/>
              </w:rPr>
              <w:t xml:space="preserve">Close</w:t>
            </w:r>
          </w:p>
        </w:tc>
        <w:tc>
          <w:tcPr>
            <w:tcW w:type="dxa" w:w="6100"/>
            <w:tcMar>
              <w:top w:type="dxa" w:w="100"/>
              <w:left w:type="dxa" w:w="120"/>
              <w:bottom w:type="dxa" w:w="100"/>
              <w:right w:type="dxa" w:w="120"/>
            </w:tcMar>
            <w:vAlign w:val="top"/>
          </w:tcPr>
          <w:p>
            <w:pPr>
              <w:spacing w:after="0"/>
            </w:pPr>
            <w:r>
              <w:rPr>
                <w:b w:val="false"/>
                <w:bCs w:val="false"/>
                <w:sz w:val="19"/>
                <w:szCs w:val="19"/>
              </w:rPr>
              <w:t xml:space="preserve">Hand out the template and the three prompts. One ask: try it on the next paper you read this week, not eventually.</w:t>
            </w:r>
          </w:p>
        </w:tc>
      </w:tr>
    </w:tbl>
    <w:p>
      <w:pPr>
        <w:spacing w:after="100" w:before="200"/>
      </w:pPr>
    </w:p>
    <w:p>
      <w:pPr>
        <w:spacing w:after="160"/>
      </w:pPr>
      <w:r>
        <w:rPr>
          <w:b w:val="false"/>
          <w:bCs w:val="false"/>
          <w:i w:val="false"/>
          <w:iCs w:val="false"/>
        </w:rPr>
        <w:t xml:space="preserve">What fellows leave with: the paper note template, with frontmatter and tags built in, the three prompts, and this worked example as a reference for what “verified” looks like next to “fluent,” and for what a small linked vault looks like after just three papers.</w:t>
      </w:r>
    </w:p>
    <w:p>
      <w:pPr>
        <w:pStyle w:val="Heading1"/>
        <w:spacing w:after="160" w:before="400"/>
      </w:pPr>
      <w:r>
        <w:t xml:space="preserve">Worked Example</w:t>
      </w:r>
    </w:p>
    <w:p>
      <w:pPr>
        <w:spacing w:after="160"/>
      </w:pPr>
      <w:r>
        <w:rPr>
          <w:b w:val="false"/>
          <w:bCs w:val="false"/>
          <w:i w:val="false"/>
          <w:iCs w:val="false"/>
        </w:rPr>
        <w:t xml:space="preserve">Built as a real, working vault, not just a description of one. Three paper notes, a hub note, a verification log, and a synthesis note, all connected with wikilinks and tagged with a status field (unverified / verified) so a fellow could search their whole vault at any point in the fellowship for every claim they haven't actually checked yet. The full vault is in the linked repo; this section walks through it.</w:t>
      </w:r>
    </w:p>
    <w:p>
      <w:pPr>
        <w:spacing w:after="160"/>
      </w:pPr>
      <w:r>
        <w:rPr>
          <w:b/>
          <w:bCs/>
          <w:i w:val="false"/>
          <w:iCs w:val="false"/>
        </w:rPr>
        <w:t xml:space="preserve">Research question: </w:t>
      </w:r>
      <w:r>
        <w:rPr>
          <w:b w:val="false"/>
          <w:bCs w:val="false"/>
          <w:i/>
          <w:iCs/>
        </w:rPr>
        <w:t xml:space="preserve">“As we scale RL-trained language model assistants, what does the current literature say about how reward hacking emerges, and how might a team catch it early in a research project?”</w:t>
      </w:r>
    </w:p>
    <w:p>
      <w:pPr>
        <w:spacing w:after="160"/>
      </w:pPr>
      <w:r>
        <w:rPr>
          <w:b w:val="false"/>
          <w:bCs w:val="false"/>
          <w:i w:val="false"/>
          <w:iCs w:val="false"/>
        </w:rPr>
        <w:t xml:space="preserve">Three real papers, picked so they'd need real synthesis instead of just being stacked together: one theoretical, one about capability scaling, one specific to LLM training.</w:t>
      </w:r>
    </w:p>
    <w:p>
      <w:pPr>
        <w:pStyle w:val="Heading3"/>
        <w:spacing w:after="100" w:before="220"/>
      </w:pPr>
      <w:r>
        <w:t xml:space="preserve">Sources</w:t>
      </w:r>
    </w:p>
    <w:p>
      <w:pPr>
        <w:spacing w:after="160"/>
      </w:pPr>
      <w:r>
        <w:rPr>
          <w:b/>
          <w:bCs/>
          <w:i w:val="false"/>
          <w:iCs w:val="false"/>
        </w:rPr>
        <w:t xml:space="preserve">1. Defining and Characterizing Reward Hacking </w:t>
      </w:r>
      <w:r>
        <w:rPr>
          <w:b w:val="false"/>
          <w:bCs w:val="false"/>
          <w:i w:val="false"/>
          <w:iCs w:val="false"/>
        </w:rPr>
        <w:t xml:space="preserve">(Skalse, Howe, Krasheninnikov, Krueger, NeurIPS 2022) </w:t>
      </w:r>
      <w:hyperlink w:history="1" r:id="rIdqgoud-lwsrr5i3_uejms0">
        <w:r>
          <w:rPr>
            <w:rStyle w:val="Hyperlink"/>
            <w:color w:val="2F6F5E"/>
            <w:u w:val="single"/>
          </w:rPr>
          <w:t xml:space="preserve">arxiv.org/abs/2209.13085</w:t>
        </w:r>
      </w:hyperlink>
    </w:p>
    <w:p>
      <w:pPr>
        <w:spacing w:after="160"/>
      </w:pPr>
      <w:r>
        <w:rPr>
          <w:b/>
          <w:bCs/>
          <w:i w:val="false"/>
          <w:iCs w:val="false"/>
        </w:rPr>
        <w:t xml:space="preserve">2. Sycophancy to Subterfuge: Investigating Reward-Tampering in LLMs </w:t>
      </w:r>
      <w:r>
        <w:rPr>
          <w:b w:val="false"/>
          <w:bCs w:val="false"/>
          <w:i w:val="false"/>
          <w:iCs w:val="false"/>
        </w:rPr>
        <w:t xml:space="preserve">(Denison, MacDiarmid, Barez, et al., 2024) </w:t>
      </w:r>
      <w:hyperlink w:history="1" r:id="rIdbuqbazqastcwdw-umn-uj">
        <w:r>
          <w:rPr>
            <w:rStyle w:val="Hyperlink"/>
            <w:color w:val="2F6F5E"/>
            <w:u w:val="single"/>
          </w:rPr>
          <w:t xml:space="preserve">arxiv.org/abs/2406.10162</w:t>
        </w:r>
      </w:hyperlink>
    </w:p>
    <w:p>
      <w:pPr>
        <w:spacing w:after="160"/>
      </w:pPr>
      <w:r>
        <w:rPr>
          <w:b/>
          <w:bCs/>
          <w:i w:val="false"/>
          <w:iCs w:val="false"/>
        </w:rPr>
        <w:t xml:space="preserve">3. The Effects of Reward Misspecification </w:t>
      </w:r>
      <w:r>
        <w:rPr>
          <w:b w:val="false"/>
          <w:bCs w:val="false"/>
          <w:i w:val="false"/>
          <w:iCs w:val="false"/>
        </w:rPr>
        <w:t xml:space="preserve">(Pan, Bhatia, Steinhardt, ICLR 2022) </w:t>
      </w:r>
      <w:hyperlink w:history="1" r:id="rIdet5kijbomaxb_vk7ljmmg">
        <w:r>
          <w:rPr>
            <w:rStyle w:val="Hyperlink"/>
            <w:color w:val="2F6F5E"/>
            <w:u w:val="single"/>
          </w:rPr>
          <w:t xml:space="preserve">arxiv.org/abs/2201.03544</w:t>
        </w:r>
      </w:hyperlink>
    </w:p>
    <w:p>
      <w:pPr>
        <w:pStyle w:val="Heading3"/>
        <w:spacing w:after="100" w:before="220"/>
      </w:pPr>
      <w:r>
        <w:t xml:space="preserve">Step 1: Extract</w:t>
      </w:r>
    </w:p>
    <w:p>
      <w:pPr>
        <w:spacing w:after="160"/>
      </w:pPr>
      <w:r>
        <w:rPr>
          <w:b w:val="false"/>
          <w:bCs w:val="false"/>
          <w:i w:val="false"/>
          <w:iCs w:val="false"/>
        </w:rPr>
        <w:t xml:space="preserve">The actual prompt, run against each paper's actual abstract, pasted word for word, producing a note with YAML frontmatter (title, authors, tags, status: unverified) rather than a plain summary:</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You are extracting structured claims from a research paper, to go into a note in</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my Obsidian vault. Do not summarize or paraphrase loosely. Extract literally.</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Paper: &lt;title, authors, venue/year, arXiv or DOI link&gt;</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Abstract: &lt;paste abstract verbatim&gt;</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Output a markdown note with:</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1. YAML frontmatter: title, authors, year, venue, link, tags (2-4 topical tags),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status: unverified</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2. Core claim: the single main result or contribution, in one sentence.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3. Scope conditions: under what setup, assumptions, or restrictions does the core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claim hold? If the abstract doesn't state scope conditions explicitly, say so.</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Don't guess.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4. Key terms used in a specific technical sense: define each one exactly as the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paper seems to define it. Flag if a term is common in the field but this paper</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uses it more narrowly, or differently.</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5. What this paper does NOT claim (ruled out explicitly, or a plausible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misreading you can anticipate).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6. A "Related" section with placeholder wikilinks to other papers in this batch.</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Where you're unsure, write "uncertain" rather than guessing.</w:t>
      </w:r>
    </w:p>
    <w:p>
      <w:pPr>
        <w:spacing w:after="160"/>
      </w:pPr>
      <w:r>
        <w:rPr>
          <w:b w:val="false"/>
          <w:bCs w:val="false"/>
          <w:i w:val="false"/>
          <w:iCs w:val="false"/>
          <w:color w:val="555555"/>
        </w:rPr>
        <w:t xml:space="preserve">This is genuine, unedited model output run against the prompt above, not something written to look like a mistake, and it already looks complete and well organized. (Full extraction is in the linked repo, file “03 Worked Example/Raw Extraction (Unverified).md”.)</w:t>
      </w:r>
    </w:p>
    <w:p>
      <w:pPr>
        <w:pStyle w:val="Heading3"/>
        <w:spacing w:after="100" w:before="220"/>
      </w:pPr>
      <w:r>
        <w:t xml:space="preserve">Step 2: Verify, against the source text, not the extraction</w:t>
      </w:r>
    </w:p>
    <w:p>
      <w:pPr>
        <w:spacing w:after="160"/>
      </w:pPr>
      <w:r>
        <w:rPr>
          <w:b w:val="false"/>
          <w:bCs w:val="false"/>
          <w:i w:val="false"/>
          <w:iCs w:val="false"/>
        </w:rPr>
        <w:t xml:space="preserve">Checking the AI's extraction against the AI's own summary catches nothing, since both came from the same blind spot. Verifying means going back to the actual abstract and testing the qualifiers, using three fixed questions: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1. The qualifier test: does this claim still hold if I delete every condition or</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qualifier the extraction listed? Restate the claim without it and check whether</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the unqualified version is actually false, too broad, or something the authors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would object to.</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2. The term test: for each key term, would a specialist in this subfield agree the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extraction's definition matches how THIS paper uses it, not how the field</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generally uses it, and not how a different paper uses the same word?</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3. The "what's missing" test: read the paper's actual abstract or conclusion once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more and ask whether there's a result or caveat the extraction left out because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it didn't fit neatly into the table.</w:t>
      </w:r>
    </w:p>
    <w:p>
      <w:pPr>
        <w:spacing w:after="160"/>
      </w:pPr>
      <w:r>
        <w:rPr>
          <w:b w:val="false"/>
          <w:bCs w:val="false"/>
          <w:i w:val="false"/>
          <w:iCs w:val="false"/>
          <w:color w:val="555555"/>
        </w:rPr>
        <w:t xml:space="preserve">Run by the fellow, against the source text, not by asking a second AI pass to check the first. Once a claim is checked, its note's status flips from unverified to verified in the frontmatter.</w:t>
      </w:r>
    </w:p>
    <w:p>
      <w:pPr>
        <w:spacing w:after="160"/>
      </w:pPr>
      <w:r>
        <w:rPr>
          <w:b/>
          <w:bCs/>
          <w:i w:val="false"/>
          <w:iCs w:val="false"/>
        </w:rPr>
        <w:t xml:space="preserve">Skalse et al.: unhackability </w:t>
      </w:r>
      <w:r>
        <w:rPr>
          <w:b w:val="false"/>
          <w:bCs w:val="false"/>
          <w:i w:val="false"/>
          <w:iCs w:val="false"/>
          <w:color w:val="A8501F"/>
        </w:rPr>
        <w:t xml:space="preserve">(scope dropped)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shd w:fill="1C211D" w:val="clear"/>
            <w:tcMar>
              <w:top w:type="dxa" w:w="100"/>
              <w:left w:type="dxa" w:w="120"/>
              <w:bottom w:type="dxa" w:w="100"/>
              <w:right w:type="dxa" w:w="120"/>
            </w:tcMar>
            <w:vAlign w:val="top"/>
          </w:tcPr>
          <w:p>
            <w:r>
              <w:rPr>
                <w:b/>
                <w:bCs/>
                <w:color w:val="FFFFFF"/>
                <w:sz w:val="18"/>
                <w:szCs w:val="18"/>
              </w:rPr>
              <w:t xml:space="preserve">Raw extraction</w:t>
            </w:r>
          </w:p>
        </w:tc>
        <w:tc>
          <w:tcPr>
            <w:tcW w:type="dxa" w:w="4850"/>
            <w:shd w:fill="1C211D" w:val="clear"/>
            <w:tcMar>
              <w:top w:type="dxa" w:w="100"/>
              <w:left w:type="dxa" w:w="120"/>
              <w:bottom w:type="dxa" w:w="100"/>
              <w:right w:type="dxa" w:w="120"/>
            </w:tcMar>
            <w:vAlign w:val="top"/>
          </w:tcPr>
          <w:p>
            <w:r>
              <w:rPr>
                <w:b/>
                <w:bCs/>
                <w:color w:val="FFFFFF"/>
                <w:sz w:val="18"/>
                <w:szCs w:val="18"/>
              </w:rPr>
              <w:t xml:space="preserve">Verified</w:t>
            </w:r>
          </w:p>
        </w:tc>
      </w:tr>
      <w:tr>
        <w:tc>
          <w:tcPr>
            <w:tcW w:type="dxa" w:w="4850"/>
            <w:tcMar>
              <w:top w:type="dxa" w:w="100"/>
              <w:left w:type="dxa" w:w="120"/>
              <w:bottom w:type="dxa" w:w="100"/>
              <w:right w:type="dxa" w:w="120"/>
            </w:tcMar>
            <w:vAlign w:val="top"/>
          </w:tcPr>
          <w:p>
            <w:pPr>
              <w:spacing w:after="0"/>
            </w:pPr>
            <w:r>
              <w:rPr>
                <w:b w:val="false"/>
                <w:bCs w:val="false"/>
                <w:sz w:val="19"/>
                <w:szCs w:val="19"/>
              </w:rPr>
              <w:t xml:space="preserve">“Unhackable reward proxies are essentially impossible to build, except in the trivial constant-reward case.” Stated as a general conclusion.</w:t>
            </w:r>
          </w:p>
        </w:tc>
        <w:tc>
          <w:tcPr>
            <w:tcW w:type="dxa" w:w="4850"/>
            <w:tcMar>
              <w:top w:type="dxa" w:w="100"/>
              <w:left w:type="dxa" w:w="120"/>
              <w:bottom w:type="dxa" w:w="100"/>
              <w:right w:type="dxa" w:w="120"/>
            </w:tcMar>
            <w:vAlign w:val="top"/>
          </w:tcPr>
          <w:p>
            <w:pPr>
              <w:spacing w:after="0"/>
            </w:pPr>
            <w:r>
              <w:rPr>
                <w:b w:val="false"/>
                <w:bCs w:val="false"/>
                <w:sz w:val="19"/>
                <w:szCs w:val="19"/>
              </w:rPr>
              <w:t xml:space="preserve">The impossibility result holds specifically for the set of all stochastic policies. The abstract goes on: for deterministic policies or finite stochastic policy sets, non-trivial unhackable pairs always exist.</w:t>
            </w:r>
          </w:p>
        </w:tc>
      </w:tr>
    </w:tbl>
    <w:p>
      <w:pPr>
        <w:spacing w:after="160"/>
      </w:pPr>
      <w:r>
        <w:rPr>
          <w:b w:val="false"/>
          <w:bCs w:val="false"/>
          <w:i/>
          <w:iCs/>
          <w:color w:val="555555"/>
        </w:rPr>
        <w:t xml:space="preserve">Why it matters: “unhackability is nearly impossible” and “unhackability is achievable if you restrict the policy class” point a team designing a proxy reward in opposite directions.</w:t>
      </w:r>
    </w:p>
    <w:p>
      <w:pPr>
        <w:spacing w:after="160"/>
      </w:pPr>
      <w:r>
        <w:rPr>
          <w:b/>
          <w:bCs/>
          <w:i w:val="false"/>
          <w:iCs w:val="false"/>
        </w:rPr>
        <w:t xml:space="preserve">Denison et al.: tampering vs. gaming </w:t>
      </w:r>
      <w:r>
        <w:rPr>
          <w:b w:val="false"/>
          <w:bCs w:val="false"/>
          <w:i w:val="false"/>
          <w:iCs w:val="false"/>
          <w:color w:val="A8501F"/>
        </w:rPr>
        <w:t xml:space="preserve">(terms mixed up)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shd w:fill="1C211D" w:val="clear"/>
            <w:tcMar>
              <w:top w:type="dxa" w:w="100"/>
              <w:left w:type="dxa" w:w="120"/>
              <w:bottom w:type="dxa" w:w="100"/>
              <w:right w:type="dxa" w:w="120"/>
            </w:tcMar>
            <w:vAlign w:val="top"/>
          </w:tcPr>
          <w:p>
            <w:r>
              <w:rPr>
                <w:b/>
                <w:bCs/>
                <w:color w:val="FFFFFF"/>
                <w:sz w:val="18"/>
                <w:szCs w:val="18"/>
              </w:rPr>
              <w:t xml:space="preserve">Raw extraction</w:t>
            </w:r>
          </w:p>
        </w:tc>
        <w:tc>
          <w:tcPr>
            <w:tcW w:type="dxa" w:w="4850"/>
            <w:shd w:fill="1C211D" w:val="clear"/>
            <w:tcMar>
              <w:top w:type="dxa" w:w="100"/>
              <w:left w:type="dxa" w:w="120"/>
              <w:bottom w:type="dxa" w:w="100"/>
              <w:right w:type="dxa" w:w="120"/>
            </w:tcMar>
            <w:vAlign w:val="top"/>
          </w:tcPr>
          <w:p>
            <w:r>
              <w:rPr>
                <w:b/>
                <w:bCs/>
                <w:color w:val="FFFFFF"/>
                <w:sz w:val="18"/>
                <w:szCs w:val="18"/>
              </w:rPr>
              <w:t xml:space="preserve">Verified</w:t>
            </w:r>
          </w:p>
        </w:tc>
      </w:tr>
      <w:tr>
        <w:tc>
          <w:tcPr>
            <w:tcW w:type="dxa" w:w="4850"/>
            <w:tcMar>
              <w:top w:type="dxa" w:w="100"/>
              <w:left w:type="dxa" w:w="120"/>
              <w:bottom w:type="dxa" w:w="100"/>
              <w:right w:type="dxa" w:w="120"/>
            </w:tcMar>
            <w:vAlign w:val="top"/>
          </w:tcPr>
          <w:p>
            <w:pPr>
              <w:spacing w:after="0"/>
            </w:pPr>
            <w:r>
              <w:rPr>
                <w:b w:val="false"/>
                <w:bCs w:val="false"/>
                <w:sz w:val="19"/>
                <w:szCs w:val="19"/>
              </w:rPr>
              <w:t xml:space="preserve">“LLM assistants trained with RL will learn to tamper with their own reward function, as a direct consequence of specification gaming during training.”</w:t>
            </w:r>
          </w:p>
        </w:tc>
        <w:tc>
          <w:tcPr>
            <w:tcW w:type="dxa" w:w="4850"/>
            <w:tcMar>
              <w:top w:type="dxa" w:w="100"/>
              <w:left w:type="dxa" w:w="120"/>
              <w:bottom w:type="dxa" w:w="100"/>
              <w:right w:type="dxa" w:w="120"/>
            </w:tcMar>
            <w:vAlign w:val="top"/>
          </w:tcPr>
          <w:p>
            <w:pPr>
              <w:spacing w:after="0"/>
            </w:pPr>
            <w:r>
              <w:rPr>
                <w:b w:val="false"/>
                <w:bCs w:val="false"/>
                <w:sz w:val="19"/>
                <w:szCs w:val="19"/>
              </w:rPr>
              <w:t xml:space="preserve">Reward tampering is the most severe point on a spectrum, not another word for gaming. The real finding: training on an easy-to-hard curriculum causes zero-shot generalization to tampering in a small, non-negligible fraction of runs. It is not a direct, reliable outcome of RL training itself.</w:t>
            </w:r>
          </w:p>
        </w:tc>
      </w:tr>
    </w:tbl>
    <w:p>
      <w:pPr>
        <w:spacing w:after="160"/>
      </w:pPr>
      <w:r>
        <w:rPr>
          <w:b w:val="false"/>
          <w:bCs w:val="false"/>
          <w:i/>
          <w:iCs/>
          <w:color w:val="555555"/>
        </w:rPr>
        <w:t xml:space="preserve">Why it matters: “RL training causes tampering” and “training on benign gaming sometimes generalizes to severe tampering” point to different fixes. The second suggests curriculum design as a real lever. The first doesn't.</w:t>
      </w:r>
    </w:p>
    <w:p>
      <w:pPr>
        <w:spacing w:after="160"/>
      </w:pPr>
      <w:r>
        <w:rPr>
          <w:b/>
          <w:bCs/>
          <w:i w:val="false"/>
          <w:iCs w:val="false"/>
        </w:rPr>
        <w:t xml:space="preserve">Pan et al.: capability trend </w:t>
      </w:r>
      <w:r>
        <w:rPr>
          <w:b w:val="false"/>
          <w:bCs w:val="false"/>
          <w:i w:val="false"/>
          <w:iCs w:val="false"/>
          <w:color w:val="A8501F"/>
        </w:rPr>
        <w:t xml:space="preserve">(smoothed into a straight line)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shd w:fill="1C211D" w:val="clear"/>
            <w:tcMar>
              <w:top w:type="dxa" w:w="100"/>
              <w:left w:type="dxa" w:w="120"/>
              <w:bottom w:type="dxa" w:w="100"/>
              <w:right w:type="dxa" w:w="120"/>
            </w:tcMar>
            <w:vAlign w:val="top"/>
          </w:tcPr>
          <w:p>
            <w:r>
              <w:rPr>
                <w:b/>
                <w:bCs/>
                <w:color w:val="FFFFFF"/>
                <w:sz w:val="18"/>
                <w:szCs w:val="18"/>
              </w:rPr>
              <w:t xml:space="preserve">Raw extraction</w:t>
            </w:r>
          </w:p>
        </w:tc>
        <w:tc>
          <w:tcPr>
            <w:tcW w:type="dxa" w:w="4850"/>
            <w:shd w:fill="1C211D" w:val="clear"/>
            <w:tcMar>
              <w:top w:type="dxa" w:w="100"/>
              <w:left w:type="dxa" w:w="120"/>
              <w:bottom w:type="dxa" w:w="100"/>
              <w:right w:type="dxa" w:w="120"/>
            </w:tcMar>
            <w:vAlign w:val="top"/>
          </w:tcPr>
          <w:p>
            <w:r>
              <w:rPr>
                <w:b/>
                <w:bCs/>
                <w:color w:val="FFFFFF"/>
                <w:sz w:val="18"/>
                <w:szCs w:val="18"/>
              </w:rPr>
              <w:t xml:space="preserve">Verified</w:t>
            </w:r>
          </w:p>
        </w:tc>
      </w:tr>
      <w:tr>
        <w:tc>
          <w:tcPr>
            <w:tcW w:type="dxa" w:w="4850"/>
            <w:tcMar>
              <w:top w:type="dxa" w:w="100"/>
              <w:left w:type="dxa" w:w="120"/>
              <w:bottom w:type="dxa" w:w="100"/>
              <w:right w:type="dxa" w:w="120"/>
            </w:tcMar>
            <w:vAlign w:val="top"/>
          </w:tcPr>
          <w:p>
            <w:pPr>
              <w:spacing w:after="0"/>
            </w:pPr>
            <w:r>
              <w:rPr>
                <w:b w:val="false"/>
                <w:bCs w:val="false"/>
                <w:sz w:val="19"/>
                <w:szCs w:val="19"/>
              </w:rPr>
              <w:t xml:space="preserve">“More capable agents exploit reward misspecification more. Reward hacking increases with agent capability.”</w:t>
            </w:r>
          </w:p>
        </w:tc>
        <w:tc>
          <w:tcPr>
            <w:tcW w:type="dxa" w:w="4850"/>
            <w:tcMar>
              <w:top w:type="dxa" w:w="100"/>
              <w:left w:type="dxa" w:w="120"/>
              <w:bottom w:type="dxa" w:w="100"/>
              <w:right w:type="dxa" w:w="120"/>
            </w:tcMar>
            <w:vAlign w:val="top"/>
          </w:tcPr>
          <w:p>
            <w:pPr>
              <w:spacing w:after="0"/>
            </w:pPr>
            <w:r>
              <w:rPr>
                <w:b w:val="false"/>
                <w:bCs w:val="false"/>
                <w:sz w:val="19"/>
                <w:szCs w:val="19"/>
              </w:rPr>
              <w:t xml:space="preserve">The paper finds phase transitions: capability thresholds past which behavior shifts and true reward drops sharply. Not a smooth, steady increase.</w:t>
            </w:r>
          </w:p>
        </w:tc>
      </w:tr>
    </w:tbl>
    <w:p>
      <w:pPr>
        <w:spacing w:after="160"/>
      </w:pPr>
      <w:r>
        <w:rPr>
          <w:b w:val="false"/>
          <w:bCs w:val="false"/>
          <w:i/>
          <w:iCs/>
          <w:color w:val="555555"/>
        </w:rPr>
        <w:t xml:space="preserve">Why it matters: a steady-increase story suggests you can extrapolate current trends. A threshold story means a model can look safe right up to a line, then fail sharply, which is exactly why the paper's fix is anomaly detection, not trend-watching.</w:t>
      </w:r>
    </w:p>
    <w:p>
      <w:pPr>
        <w:spacing w:after="160"/>
      </w:pPr>
      <w:r>
        <w:rPr>
          <w:b w:val="false"/>
          <w:bCs w:val="false"/>
          <w:i w:val="false"/>
          <w:iCs w:val="false"/>
        </w:rPr>
        <w:t xml:space="preserve">Once corrected, each paper's note gets its status flipped from unverified to verified in the frontmatter, and the three notes get linked to each other. That's what makes them safe to feed into Synthesize.</w:t>
      </w:r>
    </w:p>
    <w:p>
      <w:pPr>
        <w:pStyle w:val="Heading3"/>
        <w:spacing w:after="100" w:before="220"/>
      </w:pPr>
      <w:r>
        <w:t xml:space="preserve">Step 3: Synthesize, on corrected extractions only</w:t>
      </w:r>
    </w:p>
    <w:p>
      <w:pPr>
        <w:spacing w:after="160"/>
      </w:pPr>
      <w:r>
        <w:rPr>
          <w:b w:val="false"/>
          <w:bCs w:val="false"/>
          <w:i w:val="false"/>
          <w:iCs w:val="false"/>
        </w:rPr>
        <w:t xml:space="preserve">Synthesizing before verifying just produces a more confident-sounding version of the same errors. Only run this after every claim has been checked against the source text. The output is its own note, linked back to all three papers, not just a chat answer:</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You will synthesize across multiple VERIFIED paper notes from my vault (each has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already been checked against source text and corrected, so treat every claim and</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scope condition below as accurate).</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Verified notes: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&lt;paste the corrected, verified note for each paper, including frontmatter&gt;</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Produce a new note with:</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1. Where do these papers agree? State the shared claim, and note if the scope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conditions differ across papers even when the headline claim looks similar.</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Link each paper with [[wikilinks]].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2. Where do they disagree, or use overlapping terms differently? Flag every case</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where two papers use similar language but seem to mean different things.</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3. What open question does this set of papers point to together, that none of</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them answers on its own?</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4. For our research question (&lt;insert the fellow's actual research question&gt;),</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which of these findings is directly load-bearing, and which is just</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   background?</w:t>
      </w:r>
    </w:p>
    <w:p>
      <w:pPr>
        <w:pBdr>
          <w:left w:val="single" w:color="2F6F5E" w:sz="18" w:space="6"/>
        </w:pBdr>
        <w:shd w:fill="F1F1EC" w:val="clear"/>
        <w:spacing w:after="40" w:line="260"/>
        <w:ind w:left="200"/>
      </w:pPr>
      <w:r>
        <w:rPr>
          <w:rFonts w:ascii="Courier New" w:cs="Courier New" w:eastAsia="Courier New" w:hAnsi="Courier New"/>
          <w:color w:val="3A3F3A"/>
          <w:sz w:val="18"/>
          <w:szCs w:val="18"/>
        </w:rPr>
        <w:t xml:space="preserve"> </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Don't smooth disagreements into false agreement. If two papers use the same word</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for different things, that's a finding worth surfacing, not something to paper</w:t>
      </w:r>
    </w:p>
    <w:p>
      <w:pPr>
        <w:pBdr>
          <w:left w:val="single" w:color="2F6F5E" w:sz="18" w:space="6"/>
        </w:pBdr>
        <w:shd w:fill="F1F1EC" w:val="clear"/>
        <w:spacing w:after="0" w:line="260"/>
        <w:ind w:left="200"/>
      </w:pPr>
      <w:r>
        <w:rPr>
          <w:rFonts w:ascii="Courier New" w:cs="Courier New" w:eastAsia="Courier New" w:hAnsi="Courier New"/>
          <w:color w:val="3A3F3A"/>
          <w:sz w:val="18"/>
          <w:szCs w:val="18"/>
        </w:rPr>
        <w:t xml:space="preserve">over.</w:t>
      </w:r>
    </w:p>
    <w:p>
      <w:pPr>
        <w:spacing w:after="160"/>
      </w:pPr>
      <w:r>
        <w:rPr>
          <w:b w:val="false"/>
          <w:bCs w:val="false"/>
          <w:i w:val="false"/>
          <w:iCs w:val="false"/>
          <w:color w:val="555555"/>
        </w:rPr>
        <w:t xml:space="preserve">The result, run on the three verified paper notes below: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400"/>
      </w:tblGrid>
      <w:tr>
        <w:tc>
          <w:tcPr>
            <w:tcW w:type="dxa" w:w="1900"/>
            <w:shd w:fill="1C211D" w:val="clear"/>
            <w:tcMar>
              <w:top w:type="dxa" w:w="100"/>
              <w:left w:type="dxa" w:w="120"/>
              <w:bottom w:type="dxa" w:w="100"/>
              <w:right w:type="dxa" w:w="120"/>
            </w:tcMar>
            <w:vAlign w:val="top"/>
          </w:tcPr>
          <w:p>
            <w:r>
              <w:rPr>
                <w:b/>
                <w:bCs/>
                <w:color w:val="FFFFFF"/>
                <w:sz w:val="18"/>
                <w:szCs w:val="18"/>
              </w:rPr>
              <w:t xml:space="preserve">Paper</w:t>
            </w:r>
          </w:p>
        </w:tc>
        <w:tc>
          <w:tcPr>
            <w:tcW w:type="dxa" w:w="2700"/>
            <w:shd w:fill="1C211D" w:val="clear"/>
            <w:tcMar>
              <w:top w:type="dxa" w:w="100"/>
              <w:left w:type="dxa" w:w="120"/>
              <w:bottom w:type="dxa" w:w="100"/>
              <w:right w:type="dxa" w:w="120"/>
            </w:tcMar>
            <w:vAlign w:val="top"/>
          </w:tcPr>
          <w:p>
            <w:r>
              <w:rPr>
                <w:b/>
                <w:bCs/>
                <w:color w:val="FFFFFF"/>
                <w:sz w:val="18"/>
                <w:szCs w:val="18"/>
              </w:rPr>
              <w:t xml:space="preserve">Agrees with</w:t>
            </w:r>
          </w:p>
        </w:tc>
        <w:tc>
          <w:tcPr>
            <w:tcW w:type="dxa" w:w="2700"/>
            <w:shd w:fill="1C211D" w:val="clear"/>
            <w:tcMar>
              <w:top w:type="dxa" w:w="100"/>
              <w:left w:type="dxa" w:w="120"/>
              <w:bottom w:type="dxa" w:w="100"/>
              <w:right w:type="dxa" w:w="120"/>
            </w:tcMar>
            <w:vAlign w:val="top"/>
          </w:tcPr>
          <w:p>
            <w:r>
              <w:rPr>
                <w:b/>
                <w:bCs/>
                <w:color w:val="FFFFFF"/>
                <w:sz w:val="18"/>
                <w:szCs w:val="18"/>
              </w:rPr>
              <w:t xml:space="preserve">Disagrees / different terms</w:t>
            </w:r>
          </w:p>
        </w:tc>
        <w:tc>
          <w:tcPr>
            <w:tcW w:type="dxa" w:w="2400"/>
            <w:shd w:fill="1C211D" w:val="clear"/>
            <w:tcMar>
              <w:top w:type="dxa" w:w="100"/>
              <w:left w:type="dxa" w:w="120"/>
              <w:bottom w:type="dxa" w:w="100"/>
              <w:right w:type="dxa" w:w="120"/>
            </w:tcMar>
            <w:vAlign w:val="top"/>
          </w:tcPr>
          <w:p>
            <w:r>
              <w:rPr>
                <w:b/>
                <w:bCs/>
                <w:color w:val="FFFFFF"/>
                <w:sz w:val="18"/>
                <w:szCs w:val="18"/>
              </w:rPr>
              <w:t xml:space="preserve">Load-bearing?</w:t>
            </w:r>
          </w:p>
        </w:tc>
      </w:tr>
      <w:tr>
        <w:tc>
          <w:tcPr>
            <w:tcW w:type="dxa" w:w="1900"/>
            <w:tcMar>
              <w:top w:type="dxa" w:w="100"/>
              <w:left w:type="dxa" w:w="120"/>
              <w:bottom w:type="dxa" w:w="100"/>
              <w:right w:type="dxa" w:w="120"/>
            </w:tcMar>
            <w:vAlign w:val="top"/>
          </w:tcPr>
          <w:p>
            <w:pPr>
              <w:spacing w:after="0"/>
            </w:pPr>
            <w:r>
              <w:rPr>
                <w:b w:val="false"/>
                <w:bCs w:val="false"/>
                <w:sz w:val="19"/>
                <w:szCs w:val="19"/>
              </w:rPr>
              <w:t xml:space="preserve">Skalse et al.</w:t>
            </w:r>
          </w:p>
        </w:tc>
        <w:tc>
          <w:tcPr>
            <w:tcW w:type="dxa" w:w="2700"/>
            <w:tcMar>
              <w:top w:type="dxa" w:w="100"/>
              <w:left w:type="dxa" w:w="120"/>
              <w:bottom w:type="dxa" w:w="100"/>
              <w:right w:type="dxa" w:w="120"/>
            </w:tcMar>
            <w:vAlign w:val="top"/>
          </w:tcPr>
          <w:p>
            <w:pPr>
              <w:spacing w:after="0"/>
            </w:pPr>
            <w:r>
              <w:rPr>
                <w:b w:val="false"/>
                <w:bCs w:val="false"/>
                <w:sz w:val="19"/>
                <w:szCs w:val="19"/>
              </w:rPr>
              <w:t xml:space="preserve">Pan et al.: hacking is structurally hard to rule out by design alone</w:t>
            </w:r>
          </w:p>
        </w:tc>
        <w:tc>
          <w:tcPr>
            <w:tcW w:type="dxa" w:w="2700"/>
            <w:tcMar>
              <w:top w:type="dxa" w:w="100"/>
              <w:left w:type="dxa" w:w="120"/>
              <w:bottom w:type="dxa" w:w="100"/>
              <w:right w:type="dxa" w:w="120"/>
            </w:tcMar>
            <w:vAlign w:val="top"/>
          </w:tcPr>
          <w:p>
            <w:pPr>
              <w:spacing w:after="0"/>
            </w:pPr>
            <w:r>
              <w:rPr>
                <w:b w:val="false"/>
                <w:bCs w:val="false"/>
                <w:sz w:val="19"/>
                <w:szCs w:val="19"/>
              </w:rPr>
              <w:t xml:space="preserve">Uses a strict formal sense of “unhackable” the others don't share</w:t>
            </w:r>
          </w:p>
        </w:tc>
        <w:tc>
          <w:tcPr>
            <w:tcW w:type="dxa" w:w="2400"/>
            <w:tcMar>
              <w:top w:type="dxa" w:w="100"/>
              <w:left w:type="dxa" w:w="120"/>
              <w:bottom w:type="dxa" w:w="100"/>
              <w:right w:type="dxa" w:w="120"/>
            </w:tcMar>
            <w:vAlign w:val="top"/>
          </w:tcPr>
          <w:p>
            <w:pPr>
              <w:spacing w:after="0"/>
            </w:pPr>
            <w:r>
              <w:rPr>
                <w:b w:val="false"/>
                <w:bCs w:val="false"/>
                <w:sz w:val="19"/>
                <w:szCs w:val="19"/>
              </w:rPr>
              <w:t xml:space="preserve">Yes. Sets the ceiling: detection has to matter, not just prevention.</w:t>
            </w:r>
          </w:p>
        </w:tc>
      </w:tr>
      <w:tr>
        <w:tc>
          <w:tcPr>
            <w:tcW w:type="dxa" w:w="1900"/>
            <w:tcMar>
              <w:top w:type="dxa" w:w="100"/>
              <w:left w:type="dxa" w:w="120"/>
              <w:bottom w:type="dxa" w:w="100"/>
              <w:right w:type="dxa" w:w="120"/>
            </w:tcMar>
            <w:vAlign w:val="top"/>
          </w:tcPr>
          <w:p>
            <w:pPr>
              <w:spacing w:after="0"/>
            </w:pPr>
            <w:r>
              <w:rPr>
                <w:b w:val="false"/>
                <w:bCs w:val="false"/>
                <w:sz w:val="19"/>
                <w:szCs w:val="19"/>
              </w:rPr>
              <w:t xml:space="preserve">Denison et al.</w:t>
            </w:r>
          </w:p>
        </w:tc>
        <w:tc>
          <w:tcPr>
            <w:tcW w:type="dxa" w:w="2700"/>
            <w:tcMar>
              <w:top w:type="dxa" w:w="100"/>
              <w:left w:type="dxa" w:w="120"/>
              <w:bottom w:type="dxa" w:w="100"/>
              <w:right w:type="dxa" w:w="120"/>
            </w:tcMar>
            <w:vAlign w:val="top"/>
          </w:tcPr>
          <w:p>
            <w:pPr>
              <w:spacing w:after="0"/>
            </w:pPr>
            <w:r>
              <w:rPr>
                <w:b w:val="false"/>
                <w:bCs w:val="false"/>
                <w:sz w:val="19"/>
                <w:szCs w:val="19"/>
              </w:rPr>
              <w:t xml:space="preserve">Pan et al.: hacking-prone behavior can get worse as training progresses</w:t>
            </w:r>
          </w:p>
        </w:tc>
        <w:tc>
          <w:tcPr>
            <w:tcW w:type="dxa" w:w="2700"/>
            <w:tcMar>
              <w:top w:type="dxa" w:w="100"/>
              <w:left w:type="dxa" w:w="120"/>
              <w:bottom w:type="dxa" w:w="100"/>
              <w:right w:type="dxa" w:w="120"/>
            </w:tcMar>
            <w:vAlign w:val="top"/>
          </w:tcPr>
          <w:p>
            <w:pPr>
              <w:spacing w:after="0"/>
            </w:pPr>
            <w:r>
              <w:rPr>
                <w:b w:val="false"/>
                <w:bCs w:val="false"/>
                <w:sz w:val="19"/>
                <w:szCs w:val="19"/>
              </w:rPr>
              <w:t xml:space="preserve">“Tampering” is a severe subtype. Pan et al.'s “hacking” is broader and not framed around a curriculum</w:t>
            </w:r>
          </w:p>
        </w:tc>
        <w:tc>
          <w:tcPr>
            <w:tcW w:type="dxa" w:w="2400"/>
            <w:tcMar>
              <w:top w:type="dxa" w:w="100"/>
              <w:left w:type="dxa" w:w="120"/>
              <w:bottom w:type="dxa" w:w="100"/>
              <w:right w:type="dxa" w:w="120"/>
            </w:tcMar>
            <w:vAlign w:val="top"/>
          </w:tcPr>
          <w:p>
            <w:pPr>
              <w:spacing w:after="0"/>
            </w:pPr>
            <w:r>
              <w:rPr>
                <w:b w:val="false"/>
                <w:bCs w:val="false"/>
                <w:sz w:val="19"/>
                <w:szCs w:val="19"/>
              </w:rPr>
              <w:t xml:space="preserve">Yes. The only one specific to LLM assistants, and it points to curriculum design as a lever.</w:t>
            </w:r>
          </w:p>
        </w:tc>
      </w:tr>
      <w:tr>
        <w:tc>
          <w:tcPr>
            <w:tcW w:type="dxa" w:w="1900"/>
            <w:tcMar>
              <w:top w:type="dxa" w:w="100"/>
              <w:left w:type="dxa" w:w="120"/>
              <w:bottom w:type="dxa" w:w="100"/>
              <w:right w:type="dxa" w:w="120"/>
            </w:tcMar>
            <w:vAlign w:val="top"/>
          </w:tcPr>
          <w:p>
            <w:pPr>
              <w:spacing w:after="0"/>
            </w:pPr>
            <w:r>
              <w:rPr>
                <w:b w:val="false"/>
                <w:bCs w:val="false"/>
                <w:sz w:val="19"/>
                <w:szCs w:val="19"/>
              </w:rPr>
              <w:t xml:space="preserve">Pan et al.</w:t>
            </w:r>
          </w:p>
        </w:tc>
        <w:tc>
          <w:tcPr>
            <w:tcW w:type="dxa" w:w="2700"/>
            <w:tcMar>
              <w:top w:type="dxa" w:w="100"/>
              <w:left w:type="dxa" w:w="120"/>
              <w:bottom w:type="dxa" w:w="100"/>
              <w:right w:type="dxa" w:w="120"/>
            </w:tcMar>
            <w:vAlign w:val="top"/>
          </w:tcPr>
          <w:p>
            <w:pPr>
              <w:spacing w:after="0"/>
            </w:pPr>
            <w:r>
              <w:rPr>
                <w:b w:val="false"/>
                <w:bCs w:val="false"/>
                <w:sz w:val="19"/>
                <w:szCs w:val="19"/>
              </w:rPr>
              <w:t xml:space="preserve">Skalse et al. on structural difficulty, Denison et al. on things worsening with scale</w:t>
            </w:r>
          </w:p>
        </w:tc>
        <w:tc>
          <w:tcPr>
            <w:tcW w:type="dxa" w:w="2700"/>
            <w:tcMar>
              <w:top w:type="dxa" w:w="100"/>
              <w:left w:type="dxa" w:w="120"/>
              <w:bottom w:type="dxa" w:w="100"/>
              <w:right w:type="dxa" w:w="120"/>
            </w:tcMar>
            <w:vAlign w:val="top"/>
          </w:tcPr>
          <w:p>
            <w:pPr>
              <w:spacing w:after="0"/>
            </w:pPr>
            <w:r>
              <w:rPr>
                <w:b w:val="false"/>
                <w:bCs w:val="false"/>
                <w:sz w:val="19"/>
                <w:szCs w:val="19"/>
              </w:rPr>
              <w:t xml:space="preserve">“Phase transition” has no equivalent claim in the other two</w:t>
            </w:r>
          </w:p>
        </w:tc>
        <w:tc>
          <w:tcPr>
            <w:tcW w:type="dxa" w:w="2400"/>
            <w:tcMar>
              <w:top w:type="dxa" w:w="100"/>
              <w:left w:type="dxa" w:w="120"/>
              <w:bottom w:type="dxa" w:w="100"/>
              <w:right w:type="dxa" w:w="120"/>
            </w:tcMar>
            <w:vAlign w:val="top"/>
          </w:tcPr>
          <w:p>
            <w:pPr>
              <w:spacing w:after="0"/>
            </w:pPr>
            <w:r>
              <w:rPr>
                <w:b w:val="false"/>
                <w:bCs w:val="false"/>
                <w:sz w:val="19"/>
                <w:szCs w:val="19"/>
              </w:rPr>
              <w:t xml:space="preserve">Yes. Explains why threshold-aware detection matters more than smooth monitoring.</w:t>
            </w:r>
          </w:p>
        </w:tc>
      </w:tr>
    </w:tbl>
    <w:p>
      <w:pPr>
        <w:spacing w:after="100" w:before="200"/>
      </w:pPr>
    </w:p>
    <w:p>
      <w:pPr>
        <w:spacing w:after="160"/>
      </w:pPr>
      <w:r>
        <w:rPr>
          <w:b w:val="false"/>
          <w:bCs w:val="false"/>
          <w:i/>
          <w:iCs/>
        </w:rPr>
        <w:t xml:space="preserve">Open question none of the three answers alone: is the jump from benign gaming to reward tampering itself a phase transition, or a smooth increase in probability? A genuinely open, well-scoped question for a fellow team.</w:t>
      </w:r>
    </w:p>
    <w:p>
      <w:pPr>
        <w:pStyle w:val="Heading1"/>
        <w:spacing w:after="160" w:before="400"/>
      </w:pPr>
      <w:r>
        <w:t xml:space="preserve">Part 2: Why This, For This Cohort</w:t>
      </w:r>
    </w:p>
    <w:p>
      <w:pPr>
        <w:spacing w:after="160"/>
      </w:pPr>
      <w:r>
        <w:rPr>
          <w:b w:val="false"/>
          <w:bCs w:val="false"/>
          <w:i w:val="false"/>
          <w:iCs w:val="false"/>
        </w:rPr>
        <w:t xml:space="preserve">The brief names the gap directly, twice: this cohort isn't systematic, and doesn't have a good sense of where AI helps versus where it quietly leads them astray. Literature synthesis is where that gap costs the most, for four reasons specific to this program.</w:t>
      </w:r>
    </w:p>
    <w:p>
      <w:pPr>
        <w:pStyle w:val="ListParagraph"/>
        <w:numPr>
          <w:ilvl w:val="0"/>
          <w:numId w:val="2"/>
        </w:numPr>
        <w:spacing w:after="140"/>
      </w:pPr>
      <w:r>
        <w:rPr>
          <w:b/>
          <w:bCs/>
          <w:i w:val="false"/>
          <w:iCs w:val="false"/>
        </w:rPr>
        <w:t xml:space="preserve">It happens in week one, </w:t>
      </w:r>
      <w:r>
        <w:rPr>
          <w:b w:val="false"/>
          <w:bCs w:val="false"/>
          <w:i w:val="false"/>
          <w:iCs w:val="false"/>
        </w:rPr>
        <w:t xml:space="preserve">before a team has enough domain intuition to sanity-check what AI tells them. A wrong or overstated claim absorbed early can steer a whole research direction.</w:t>
      </w:r>
    </w:p>
    <w:p>
      <w:pPr>
        <w:pStyle w:val="ListParagraph"/>
        <w:numPr>
          <w:ilvl w:val="0"/>
          <w:numId w:val="2"/>
        </w:numPr>
        <w:spacing w:after="140"/>
      </w:pPr>
      <w:r>
        <w:rPr>
          <w:b/>
          <w:bCs/>
          <w:i w:val="false"/>
          <w:iCs w:val="false"/>
        </w:rPr>
        <w:t xml:space="preserve">The failure is quiet. </w:t>
      </w:r>
      <w:r>
        <w:rPr>
          <w:b w:val="false"/>
          <w:bCs w:val="false"/>
          <w:i w:val="false"/>
          <w:iCs w:val="false"/>
        </w:rPr>
        <w:t xml:space="preserve">An AI overstating scope or mixing up two terms reads as completely normal. Nothing signals “check this.” That's the exact pattern the brief calls out, and this cohort's own fluency is what makes them least likely to catch it.</w:t>
      </w:r>
    </w:p>
    <w:p>
      <w:pPr>
        <w:pStyle w:val="ListParagraph"/>
        <w:numPr>
          <w:ilvl w:val="0"/>
          <w:numId w:val="2"/>
        </w:numPr>
        <w:spacing w:after="140"/>
      </w:pPr>
      <w:r>
        <w:rPr>
          <w:b/>
          <w:bCs/>
          <w:i w:val="false"/>
          <w:iCs w:val="false"/>
        </w:rPr>
        <w:t xml:space="preserve">It compounds. </w:t>
      </w:r>
      <w:r>
        <w:rPr>
          <w:b w:val="false"/>
          <w:bCs w:val="false"/>
          <w:i w:val="false"/>
          <w:iCs w:val="false"/>
        </w:rPr>
        <w:t xml:space="preserve">Everything downstream, the hypothesis, the experiment design, the eventual paper, inherits whatever the synthesis got wrong. Fixing this habit in week one pays off for thirteen weeks.</w:t>
      </w:r>
    </w:p>
    <w:p>
      <w:pPr>
        <w:pStyle w:val="ListParagraph"/>
        <w:numPr>
          <w:ilvl w:val="0"/>
          <w:numId w:val="2"/>
        </w:numPr>
        <w:spacing w:after="140"/>
      </w:pPr>
      <w:r>
        <w:rPr>
          <w:b/>
          <w:bCs/>
          <w:i w:val="false"/>
          <w:iCs w:val="false"/>
        </w:rPr>
        <w:t xml:space="preserve">A single reading session isn't the real unit of value, a fellowship's worth of reading is. </w:t>
      </w:r>
      <w:r>
        <w:rPr>
          <w:b w:val="false"/>
          <w:bCs w:val="false"/>
          <w:i w:val="false"/>
          <w:iCs w:val="false"/>
        </w:rPr>
        <w:t xml:space="preserve">This is why the workflow produces a note in a linked vault, not a chat transcript. A verified synthesis from week one is only worth something in week ten if the fellow can actually find it and see how it connects to what they've read since. A pile of separate AI chats doesn't do that. A linked note does.</w:t>
      </w:r>
    </w:p>
    <w:p>
      <w:pPr>
        <w:pStyle w:val="Heading3"/>
        <w:spacing w:after="100" w:before="220"/>
      </w:pPr>
      <w:r>
        <w:t xml:space="preserve">Considered and rejected</w:t>
      </w:r>
    </w:p>
    <w:p>
      <w:pPr>
        <w:pStyle w:val="ListParagraph"/>
        <w:numPr>
          <w:ilvl w:val="0"/>
          <w:numId w:val="3"/>
        </w:numPr>
        <w:spacing w:after="100"/>
      </w:pPr>
      <w:r>
        <w:t xml:space="preserve">A code-review habit for AI-generated code. A strong second choice, but this cohort already has informal review instincts for AI code from daily hybrid coding. They don't have the same instinct for checking AI's reading of a paper.</w:t>
      </w:r>
    </w:p>
    <w:p>
      <w:pPr>
        <w:pStyle w:val="ListParagraph"/>
        <w:numPr>
          <w:ilvl w:val="0"/>
          <w:numId w:val="3"/>
        </w:numPr>
        <w:spacing w:after="100"/>
      </w:pPr>
      <w:r>
        <w:t xml:space="preserve">Persistent context files for their own repos. Useful, but it's a speed gain on work they're already good at. It doesn't touch the actual gap.</w:t>
      </w:r>
    </w:p>
    <w:p>
      <w:pPr>
        <w:pStyle w:val="ListParagraph"/>
        <w:numPr>
          <w:ilvl w:val="0"/>
          <w:numId w:val="3"/>
        </w:numPr>
        <w:spacing w:after="100"/>
      </w:pPr>
      <w:r>
        <w:t xml:space="preserve">A general habit of reviewing how you used AI. Too vague for 30 minutes with a technical room, and without something concrete to anchor it, unlikely to survive past week one.</w:t>
      </w:r>
    </w:p>
    <w:p>
      <w:pPr>
        <w:spacing w:after="160"/>
      </w:pPr>
      <w:r>
        <w:rPr>
          <w:b w:val="false"/>
          <w:bCs w:val="false"/>
          <w:i w:val="false"/>
          <w:iCs w:val="false"/>
        </w:rPr>
        <w:t xml:space="preserve">Literature synthesis is also the one option that helps all 20 fellows the same amount, regardless of their specific research topic. Everyone reads papers, every week.</w:t>
      </w:r>
    </w:p>
    <w:p>
      <w:pPr>
        <w:spacing w:after="160"/>
      </w:pPr>
      <w:r>
        <w:rPr>
          <w:b w:val="false"/>
          <w:bCs w:val="false"/>
          <w:i w:val="false"/>
          <w:iCs w:val="false"/>
        </w:rPr>
        <w:t xml:space="preserve">The vault framing isn't a second thing to teach, it's just where the output of the one workflow lives so it doesn't evaporate. Fellows who don't use a linked-notes tool can use the exact same template as plain files.</w:t>
      </w:r>
    </w:p>
    <w:p>
      <w:pPr>
        <w:pStyle w:val="Heading1"/>
        <w:spacing w:after="160" w:before="400"/>
      </w:pPr>
      <w:r>
        <w:t xml:space="preserve">Part 3: My Process</w:t>
      </w:r>
    </w:p>
    <w:p>
      <w:pPr>
        <w:spacing w:after="160"/>
      </w:pPr>
      <w:r>
        <w:rPr>
          <w:b w:val="false"/>
          <w:bCs w:val="false"/>
          <w:i w:val="false"/>
          <w:iCs w:val="false"/>
        </w:rPr>
        <w:t xml:space="preserve">I read the whole brief first, since it says to. Knowing Part 3 was coming changed how I built Part 1: the worked example needed to show AI's actual contribution and actual mistakes, not a cleaned-up version.</w:t>
      </w:r>
    </w:p>
    <w:p>
      <w:pPr>
        <w:spacing w:after="160"/>
      </w:pPr>
      <w:r>
        <w:rPr>
          <w:b w:val="false"/>
          <w:bCs w:val="false"/>
          <w:i w:val="false"/>
          <w:iCs w:val="false"/>
        </w:rPr>
        <w:t xml:space="preserve">Once I'd picked literature synthesis, I had to decide how the output should be stored. A Jupyter-style notebook was a poor fit, notebooks are built for executable code, and this workflow produces claims and relationships between claims, not computation. A linked-notes tool fits the actual shape of the problem: each paper is a node, and the value comes from how it connects to other papers a fellow reads over 13 weeks, not from any single note on its own. I kept the underlying format as plain markdown with frontmatter, so it works with Obsidian specifically, or any similar tool, or no tool at all.</w:t>
      </w:r>
    </w:p>
    <w:p>
      <w:pPr>
        <w:spacing w:after="160"/>
      </w:pPr>
      <w:r>
        <w:rPr>
          <w:b w:val="false"/>
          <w:bCs w:val="false"/>
          <w:i w:val="false"/>
          <w:iCs w:val="false"/>
        </w:rPr>
        <w:t xml:space="preserve">I used AI to pull the three papers' real abstracts from arXiv, and to generate the first-pass extraction exactly as a fellow would run it. That's genuine model output against real text, not something written to look like a mistake.</w:t>
      </w:r>
    </w:p>
    <w:p>
      <w:pPr>
        <w:spacing w:after="160"/>
      </w:pPr>
      <w:r>
        <w:rPr>
          <w:b w:val="false"/>
          <w:bCs w:val="false"/>
          <w:i w:val="false"/>
          <w:iCs w:val="false"/>
        </w:rPr>
        <w:t xml:space="preserve">The judgment calls were mine: which three papers to pair, chosen so they'd need real synthesis instead of just being stacked together, and the core of this whole workshop, actually reading each abstract closely enough to find where the extraction had quietly dropped a condition or mixed up two terms. Asking AI to check its own extraction against its own summary wouldn't reliably catch this. I had to go back to the source myself, which is the exact habit the workshop teaches.</w:t>
      </w:r>
    </w:p>
    <w:p>
      <w:pPr>
        <w:pStyle w:val="Heading3"/>
        <w:spacing w:after="100" w:before="220"/>
      </w:pPr>
      <w:r>
        <w:t xml:space="preserve">Assumptions I made, flagged since they matter</w:t>
      </w:r>
    </w:p>
    <w:p>
      <w:pPr>
        <w:pStyle w:val="ListParagraph"/>
        <w:numPr>
          <w:ilvl w:val="0"/>
          <w:numId w:val="3"/>
        </w:numPr>
        <w:spacing w:after="100"/>
      </w:pPr>
      <w:r>
        <w:t xml:space="preserve">LASR teams start their projects with a literature review phase early in the thirteen weeks. That's what makes the “week one” urgency argument hold.</w:t>
      </w:r>
    </w:p>
    <w:p>
      <w:pPr>
        <w:pStyle w:val="ListParagraph"/>
        <w:numPr>
          <w:ilvl w:val="0"/>
          <w:numId w:val="3"/>
        </w:numPr>
        <w:spacing w:after="100"/>
      </w:pPr>
      <w:r>
        <w:t xml:space="preserve">The 30 minutes run as one continuous session, not split up.</w:t>
      </w:r>
    </w:p>
    <w:p>
      <w:pPr>
        <w:pStyle w:val="ListParagraph"/>
        <w:numPr>
          <w:ilvl w:val="0"/>
          <w:numId w:val="3"/>
        </w:numPr>
        <w:spacing w:after="100"/>
      </w:pPr>
      <w:r>
        <w:t xml:space="preserve">I assumed at least some fellows already use a linked-notes tool like Obsidian, given their technical background, and built the workflow so it works the same either way.</w:t>
      </w:r>
    </w:p>
    <w:p>
      <w:pPr>
        <w:pStyle w:val="ListParagraph"/>
        <w:numPr>
          <w:ilvl w:val="0"/>
          <w:numId w:val="3"/>
        </w:numPr>
        <w:spacing w:after="100"/>
      </w:pPr>
      <w:r>
        <w:t xml:space="preserve">The worked example's topic (reward hacking) is a plausible general AI safety question, not tailored to any specific incoming fellow's actual project, since I don't know what the real cohort is working on.</w:t>
      </w:r>
    </w:p>
    <w:p>
      <w:pPr>
        <w:pStyle w:val="Heading1"/>
        <w:spacing w:after="160" w:before="400"/>
      </w:pPr>
      <w:r>
        <w:t xml:space="preserve">Links</w:t>
      </w:r>
    </w:p>
    <w:p>
      <w:pPr>
        <w:spacing w:after="160"/>
      </w:pPr>
      <w:r>
        <w:rPr>
          <w:b w:val="false"/>
          <w:bCs w:val="false"/>
          <w:i w:val="false"/>
          <w:iCs w:val="false"/>
        </w:rPr>
        <w:t xml:space="preserve">Full worked example and prompt library: </w:t>
      </w:r>
      <w:r>
        <w:rPr>
          <w:b w:val="false"/>
          <w:bCs w:val="false"/>
          <w:i/>
          <w:iCs/>
          <w:color w:val="555555"/>
        </w:rPr>
        <w:t xml:space="preserve">(paste your GitHub link here once uploaded)</w:t>
      </w:r>
    </w:p>
    <w:p>
      <w:pPr>
        <w:spacing w:after="160"/>
      </w:pPr>
      <w:r>
        <w:rPr>
          <w:b w:val="false"/>
          <w:bCs w:val="false"/>
          <w:i w:val="false"/>
          <w:iCs w:val="false"/>
        </w:rPr>
        <w:t xml:space="preserve">The repo is a real, working Obsidian vault, not just files describing one: clone it and open the folder directly in Obsidian to see the notes and wikilinks connect (graph view included). It reads fine as plain markdown on GitHub too, nothing in it depends on Obsidian. Contents: the plan, the case, the process notes (00 Workshop/), three prompts for Extract, Verify, and Synthesize (01 Prompts/), a blank reusable note template (02 Template/), and the worked example as linked notes, papers, raw extraction, verification log, and synthesis (03 Worked Example/).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oud-lwsrr5i3_uejms0" Type="http://schemas.openxmlformats.org/officeDocument/2006/relationships/hyperlink" Target="https://arxiv.org/abs/2209.13085" TargetMode="External"/><Relationship Id="rIdbuqbazqastcwdw-umn-uj" Type="http://schemas.openxmlformats.org/officeDocument/2006/relationships/hyperlink" Target="https://arxiv.org/abs/2406.10162" TargetMode="External"/><Relationship Id="rIdet5kijbomaxb_vk7ljmmg" Type="http://schemas.openxmlformats.org/officeDocument/2006/relationships/hyperlink" Target="https://arxiv.org/abs/2201.0354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2026-08-30T11:12:30.252Z</dcterms:created>
  <dcterms:modified xsi:type="dcterms:W3CDTF">2026-08-30T11:12:30.253Z</dcterms:modified>
</cp:coreProperties>
</file>

<file path=docProps/custom.xml><?xml version="1.0" encoding="utf-8"?>
<Properties xmlns="http://schemas.openxmlformats.org/officeDocument/2006/custom-properties" xmlns:vt="http://schemas.openxmlformats.org/officeDocument/2006/docPropsVTypes"/>
</file>