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733C9" w:rsidRPr="00443D79" w:rsidRDefault="006736C1" w:rsidP="007E6444">
      <w:pPr>
        <w:pStyle w:val="Heading2"/>
        <w:contextualSpacing w:val="0"/>
        <w:jc w:val="center"/>
      </w:pPr>
      <w:r w:rsidRPr="00443D79">
        <w:t xml:space="preserve">OpenText Analytics - </w:t>
      </w:r>
      <w:r w:rsidR="00AA4F18" w:rsidRPr="00443D79">
        <w:t>Corporate Online Banking Demo Script</w:t>
      </w:r>
    </w:p>
    <w:p w:rsidR="002733C9" w:rsidRPr="00B24D4B" w:rsidRDefault="00AA4F18">
      <w:pPr>
        <w:spacing w:before="0" w:after="0"/>
        <w:ind w:left="0" w:right="0"/>
        <w:contextualSpacing w:val="0"/>
      </w:pPr>
      <w:r w:rsidRPr="00B24D4B">
        <w:t>This script can also be used for the following demo scenarios:</w:t>
      </w:r>
    </w:p>
    <w:p w:rsidR="002733C9" w:rsidRPr="00B24D4B" w:rsidRDefault="00AA4F18">
      <w:pPr>
        <w:numPr>
          <w:ilvl w:val="0"/>
          <w:numId w:val="8"/>
        </w:numPr>
        <w:spacing w:before="0" w:after="0"/>
        <w:ind w:left="600" w:right="0" w:hanging="359"/>
      </w:pPr>
      <w:r w:rsidRPr="00B24D4B">
        <w:t>Cash Management</w:t>
      </w:r>
    </w:p>
    <w:p w:rsidR="002733C9" w:rsidRPr="00B24D4B" w:rsidRDefault="00AA4F18">
      <w:pPr>
        <w:numPr>
          <w:ilvl w:val="0"/>
          <w:numId w:val="8"/>
        </w:numPr>
        <w:spacing w:before="0" w:after="0"/>
        <w:ind w:left="600" w:right="0" w:hanging="359"/>
      </w:pPr>
      <w:r w:rsidRPr="00B24D4B">
        <w:t>Treasury Services</w:t>
      </w:r>
    </w:p>
    <w:p w:rsidR="002733C9" w:rsidRPr="00B24D4B" w:rsidRDefault="00AA4F18">
      <w:pPr>
        <w:numPr>
          <w:ilvl w:val="0"/>
          <w:numId w:val="8"/>
        </w:numPr>
        <w:spacing w:before="0" w:after="0"/>
        <w:ind w:left="600" w:right="0" w:hanging="359"/>
      </w:pPr>
      <w:r w:rsidRPr="00B24D4B">
        <w:t>Simulated Transactions</w:t>
      </w:r>
    </w:p>
    <w:p w:rsidR="002733C9" w:rsidRDefault="00AA4F18">
      <w:pPr>
        <w:spacing w:before="0" w:after="0"/>
        <w:ind w:left="0" w:right="0"/>
        <w:contextualSpacing w:val="0"/>
      </w:pPr>
      <w:r w:rsidRPr="00B24D4B">
        <w:t> </w:t>
      </w:r>
    </w:p>
    <w:p w:rsidR="00443D79" w:rsidRDefault="00443D79">
      <w:pPr>
        <w:spacing w:before="0" w:after="0"/>
        <w:ind w:left="0" w:right="0"/>
        <w:contextualSpacing w:val="0"/>
      </w:pPr>
      <w:r>
        <w:t>The demo is pre-installed on the OpenText Analytics VMWare image, on iHub as an application called “</w:t>
      </w:r>
      <w:r w:rsidR="00BF3542">
        <w:t>Corp</w:t>
      </w:r>
      <w:r>
        <w:t>OnlineBanking</w:t>
      </w:r>
      <w:r w:rsidR="00005474">
        <w:t>App</w:t>
      </w:r>
      <w:r>
        <w:t>”</w:t>
      </w:r>
    </w:p>
    <w:p w:rsidR="00443D79" w:rsidRDefault="00443D79">
      <w:pPr>
        <w:spacing w:before="0" w:after="0"/>
        <w:ind w:left="0" w:right="0"/>
        <w:contextualSpacing w:val="0"/>
      </w:pPr>
    </w:p>
    <w:p w:rsidR="00443D79" w:rsidRPr="00443D79" w:rsidRDefault="00443D79">
      <w:pPr>
        <w:spacing w:before="0" w:after="0"/>
        <w:ind w:left="0" w:right="0"/>
        <w:contextualSpacing w:val="0"/>
        <w:rPr>
          <w:b/>
        </w:rPr>
      </w:pPr>
      <w:r w:rsidRPr="00443D79">
        <w:rPr>
          <w:b/>
        </w:rPr>
        <w:t>Background</w:t>
      </w:r>
    </w:p>
    <w:p w:rsidR="002733C9" w:rsidRPr="00B24D4B" w:rsidRDefault="00AA4F18">
      <w:pPr>
        <w:spacing w:before="0" w:after="0"/>
        <w:ind w:left="0" w:right="0"/>
        <w:contextualSpacing w:val="0"/>
      </w:pPr>
      <w:r w:rsidRPr="00B24D4B">
        <w:t> </w:t>
      </w:r>
    </w:p>
    <w:p w:rsidR="00870A9F" w:rsidRPr="00B24D4B" w:rsidRDefault="00AA4F18">
      <w:pPr>
        <w:spacing w:before="0" w:after="0"/>
        <w:ind w:left="0" w:right="0"/>
        <w:contextualSpacing w:val="0"/>
      </w:pPr>
      <w:r w:rsidRPr="00B24D4B">
        <w:t>In the Corporate Online Banking market, the</w:t>
      </w:r>
      <w:r w:rsidR="00870A9F" w:rsidRPr="00B24D4B">
        <w:t xml:space="preserve"> treasurer, and their dept staff, is the</w:t>
      </w:r>
      <w:r w:rsidRPr="00B24D4B">
        <w:t xml:space="preserve"> primary </w:t>
      </w:r>
      <w:r w:rsidR="00870A9F" w:rsidRPr="00B24D4B">
        <w:t xml:space="preserve">financial </w:t>
      </w:r>
      <w:r w:rsidRPr="00B24D4B">
        <w:t xml:space="preserve">decision maker for the customer organization. </w:t>
      </w:r>
      <w:r w:rsidR="00870A9F" w:rsidRPr="00B24D4B">
        <w:t>Yet this key customer role typically has little or no analytic engagement with their corporate bank, largely due to the fact that today they are provided little or no access to account information in any useful fashion. This is where the opportunities lie</w:t>
      </w:r>
      <w:r w:rsidR="00FE353B" w:rsidRPr="00B24D4B">
        <w:t>….</w:t>
      </w:r>
    </w:p>
    <w:p w:rsidR="002733C9" w:rsidRPr="00B24D4B" w:rsidRDefault="002733C9">
      <w:pPr>
        <w:spacing w:before="0" w:after="0"/>
        <w:ind w:left="0" w:right="0"/>
        <w:contextualSpacing w:val="0"/>
      </w:pPr>
    </w:p>
    <w:p w:rsidR="002733C9" w:rsidRPr="00B24D4B" w:rsidRDefault="00AA4F18">
      <w:pPr>
        <w:spacing w:before="0" w:after="0"/>
        <w:ind w:left="0" w:right="0"/>
        <w:contextualSpacing w:val="0"/>
      </w:pPr>
      <w:r w:rsidRPr="00B24D4B">
        <w:t xml:space="preserve">In order to leverage the </w:t>
      </w:r>
      <w:r w:rsidR="00870A9F" w:rsidRPr="00B24D4B">
        <w:t>corporate customer</w:t>
      </w:r>
      <w:r w:rsidRPr="00B24D4B">
        <w:t xml:space="preserve"> channel as a means to strengthen the relationship with this key </w:t>
      </w:r>
      <w:r w:rsidR="00870A9F" w:rsidRPr="00B24D4B">
        <w:t>customer role</w:t>
      </w:r>
      <w:r w:rsidRPr="00B24D4B">
        <w:t xml:space="preserve">, </w:t>
      </w:r>
      <w:r w:rsidR="00870A9F" w:rsidRPr="00B24D4B">
        <w:t xml:space="preserve">OpenText Analytics </w:t>
      </w:r>
      <w:r w:rsidR="006736C1" w:rsidRPr="00B24D4B">
        <w:t>provides</w:t>
      </w:r>
      <w:r w:rsidR="00870A9F" w:rsidRPr="00B24D4B">
        <w:t xml:space="preserve"> an analytic experience</w:t>
      </w:r>
      <w:r w:rsidRPr="00B24D4B">
        <w:t xml:space="preserve"> appropriate for </w:t>
      </w:r>
      <w:r w:rsidR="00FE353B" w:rsidRPr="00B24D4B">
        <w:t xml:space="preserve">the </w:t>
      </w:r>
      <w:r w:rsidR="00870A9F" w:rsidRPr="00B24D4B">
        <w:t xml:space="preserve">treasurers </w:t>
      </w:r>
      <w:r w:rsidRPr="00B24D4B">
        <w:t>day to day cash management responsibilities.</w:t>
      </w:r>
    </w:p>
    <w:p w:rsidR="002733C9" w:rsidRPr="00B24D4B" w:rsidRDefault="00AA4F18">
      <w:pPr>
        <w:spacing w:before="0" w:after="225"/>
        <w:ind w:left="0" w:right="0"/>
        <w:contextualSpacing w:val="0"/>
      </w:pPr>
      <w:r w:rsidRPr="00B24D4B">
        <w:t> </w:t>
      </w:r>
    </w:p>
    <w:p w:rsidR="002733C9" w:rsidRPr="00443D79" w:rsidRDefault="006736C1">
      <w:pPr>
        <w:pStyle w:val="Heading2"/>
        <w:spacing w:before="0"/>
        <w:contextualSpacing w:val="0"/>
      </w:pPr>
      <w:r w:rsidRPr="00443D79">
        <w:t>Role</w:t>
      </w:r>
      <w:r w:rsidR="00AA4F18" w:rsidRPr="00443D79">
        <w:t xml:space="preserve"> – Treasury Director/Treasury Mgt.</w:t>
      </w:r>
    </w:p>
    <w:p w:rsidR="002733C9" w:rsidRPr="00B24D4B" w:rsidRDefault="00CF6612">
      <w:pPr>
        <w:spacing w:before="0" w:after="0"/>
        <w:ind w:left="0" w:right="0"/>
        <w:contextualSpacing w:val="0"/>
      </w:pPr>
      <w:r w:rsidRPr="00B24D4B">
        <w:t>My role</w:t>
      </w:r>
      <w:r w:rsidR="00AA4F18" w:rsidRPr="00B24D4B">
        <w:t xml:space="preserve"> is </w:t>
      </w:r>
      <w:r w:rsidRPr="00B24D4B">
        <w:t xml:space="preserve">that of </w:t>
      </w:r>
      <w:r w:rsidR="00AA4F18" w:rsidRPr="00B24D4B">
        <w:t>a Treasury Director at a large organization</w:t>
      </w:r>
      <w:r w:rsidRPr="00B24D4B">
        <w:t>,</w:t>
      </w:r>
      <w:r w:rsidR="00AA4F18" w:rsidRPr="00B24D4B">
        <w:t xml:space="preserve"> and </w:t>
      </w:r>
      <w:r w:rsidRPr="00B24D4B">
        <w:t>I’m</w:t>
      </w:r>
      <w:r w:rsidR="00AA4F18" w:rsidRPr="00B24D4B">
        <w:t xml:space="preserve"> responsible for the direction and management of </w:t>
      </w:r>
      <w:r w:rsidRPr="00B24D4B">
        <w:t xml:space="preserve">my </w:t>
      </w:r>
      <w:r w:rsidR="006736C1" w:rsidRPr="00B24D4B">
        <w:t>company’s</w:t>
      </w:r>
      <w:r w:rsidRPr="00B24D4B">
        <w:t xml:space="preserve"> cash management operations</w:t>
      </w:r>
      <w:r w:rsidR="00AA4F18" w:rsidRPr="00B24D4B">
        <w:t xml:space="preserve">. These activities include procurement, custody, and investment of funds and other assets. </w:t>
      </w:r>
      <w:r w:rsidRPr="00B24D4B">
        <w:t>I’m responsible for strategic</w:t>
      </w:r>
      <w:r w:rsidR="00AA4F18" w:rsidRPr="00B24D4B">
        <w:t xml:space="preserve"> decisions and management of complex, often global finance infrastructures for </w:t>
      </w:r>
      <w:r w:rsidRPr="00B24D4B">
        <w:t>my</w:t>
      </w:r>
      <w:r w:rsidR="00AA4F18" w:rsidRPr="00B24D4B">
        <w:t xml:space="preserve"> company.  </w:t>
      </w:r>
      <w:r w:rsidRPr="00B24D4B">
        <w:t>I also have</w:t>
      </w:r>
      <w:r w:rsidR="00AA4F18" w:rsidRPr="00B24D4B">
        <w:t xml:space="preserve"> a staff of treasury personnel and financial analysts.</w:t>
      </w:r>
    </w:p>
    <w:p w:rsidR="002733C9" w:rsidRPr="00B24D4B" w:rsidRDefault="002733C9">
      <w:pPr>
        <w:spacing w:before="0" w:after="0"/>
        <w:ind w:left="0" w:right="0"/>
        <w:contextualSpacing w:val="0"/>
      </w:pPr>
    </w:p>
    <w:tbl>
      <w:tblPr>
        <w:tblW w:w="99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65"/>
        <w:gridCol w:w="5565"/>
      </w:tblGrid>
      <w:tr w:rsidR="002733C9" w:rsidRPr="00B24D4B" w:rsidTr="00650443">
        <w:tc>
          <w:tcPr>
            <w:tcW w:w="4365" w:type="dxa"/>
            <w:shd w:val="clear" w:color="auto" w:fill="FFFFFF"/>
            <w:tcMar>
              <w:top w:w="120" w:type="dxa"/>
              <w:left w:w="120" w:type="dxa"/>
              <w:bottom w:w="120" w:type="dxa"/>
              <w:right w:w="120" w:type="dxa"/>
            </w:tcMar>
          </w:tcPr>
          <w:p w:rsidR="002733C9" w:rsidRPr="00B24D4B" w:rsidRDefault="00DE2BCD">
            <w:pPr>
              <w:spacing w:before="0" w:after="0"/>
              <w:ind w:left="0" w:right="0"/>
              <w:contextualSpacing w:val="0"/>
            </w:pPr>
            <w:r w:rsidRPr="00B24D4B">
              <w:t>Treasury Insight Dashboard Tab</w:t>
            </w:r>
            <w:r w:rsidR="00E27B67">
              <w:t xml:space="preserve"> (</w:t>
            </w:r>
            <w:r w:rsidR="004D07C8">
              <w:t xml:space="preserve">before demo - </w:t>
            </w:r>
            <w:bookmarkStart w:id="0" w:name="_GoBack"/>
            <w:bookmarkEnd w:id="0"/>
            <w:r w:rsidR="00E27B67">
              <w:t xml:space="preserve">close dashboard toolbar </w:t>
            </w:r>
            <w:r w:rsidR="004D07C8">
              <w:t>by clicking “HIDE” in the upper right corner of dashboard screen</w:t>
            </w:r>
            <w:r w:rsidR="00E27B67">
              <w:t>)</w:t>
            </w:r>
            <w:r w:rsidRPr="00B24D4B">
              <w:t>:</w:t>
            </w:r>
          </w:p>
          <w:p w:rsidR="00DE2BCD" w:rsidRPr="00B24D4B" w:rsidRDefault="00DE2BCD">
            <w:pPr>
              <w:spacing w:before="0" w:after="0"/>
              <w:ind w:left="0" w:right="0"/>
              <w:contextualSpacing w:val="0"/>
            </w:pPr>
          </w:p>
          <w:p w:rsidR="002733C9" w:rsidRPr="00B24D4B" w:rsidRDefault="002733C9">
            <w:pPr>
              <w:spacing w:before="0" w:after="0"/>
              <w:ind w:left="0" w:right="0"/>
              <w:contextualSpacing w:val="0"/>
            </w:pPr>
          </w:p>
          <w:p w:rsidR="002733C9" w:rsidRPr="00B24D4B" w:rsidRDefault="00B24D4B">
            <w:pPr>
              <w:spacing w:before="0" w:after="0"/>
              <w:ind w:left="0" w:right="0"/>
              <w:contextualSpacing w:val="0"/>
            </w:pPr>
            <w:r w:rsidRPr="00B24D4B">
              <w:t>Point out gadgets</w:t>
            </w:r>
          </w:p>
          <w:p w:rsidR="00B24D4B" w:rsidRPr="00B24D4B" w:rsidRDefault="00B24D4B">
            <w:pPr>
              <w:spacing w:before="0" w:after="0"/>
              <w:ind w:left="0" w:right="0"/>
              <w:contextualSpacing w:val="0"/>
            </w:pPr>
          </w:p>
          <w:p w:rsidR="00B24D4B" w:rsidRPr="00B24D4B" w:rsidRDefault="00B24D4B">
            <w:pPr>
              <w:spacing w:before="0" w:after="0"/>
              <w:ind w:left="0" w:right="0"/>
              <w:contextualSpacing w:val="0"/>
            </w:pPr>
            <w:r w:rsidRPr="00B24D4B">
              <w:t>In the “Loan Balance” gadget , enter “300000” into the text box on the line for “REVOLVING LOC”, then click SIMULATE</w:t>
            </w:r>
          </w:p>
          <w:p w:rsidR="00B24D4B" w:rsidRPr="00B24D4B" w:rsidRDefault="00B24D4B">
            <w:pPr>
              <w:spacing w:before="0" w:after="0"/>
              <w:ind w:left="0" w:right="0"/>
              <w:contextualSpacing w:val="0"/>
            </w:pPr>
          </w:p>
          <w:p w:rsidR="00B24D4B" w:rsidRPr="00B24D4B" w:rsidRDefault="00B24D4B">
            <w:pPr>
              <w:spacing w:before="0" w:after="0"/>
              <w:ind w:left="0" w:right="0"/>
              <w:contextualSpacing w:val="0"/>
            </w:pPr>
            <w:r w:rsidRPr="00B24D4B">
              <w:t>Point out the adjusted chart in the Loan Balance gadget, as well as the adjusted “Closing Available” chart in the Available Cash gadget</w:t>
            </w:r>
          </w:p>
        </w:tc>
        <w:tc>
          <w:tcPr>
            <w:tcW w:w="5565" w:type="dxa"/>
            <w:shd w:val="clear" w:color="auto" w:fill="FFFFFF"/>
            <w:tcMar>
              <w:top w:w="120" w:type="dxa"/>
              <w:left w:w="120" w:type="dxa"/>
              <w:bottom w:w="120" w:type="dxa"/>
              <w:right w:w="120" w:type="dxa"/>
            </w:tcMar>
          </w:tcPr>
          <w:p w:rsidR="002733C9" w:rsidRPr="00B24D4B" w:rsidRDefault="002733C9">
            <w:pPr>
              <w:spacing w:before="0" w:after="0"/>
              <w:ind w:left="0" w:right="0"/>
              <w:contextualSpacing w:val="0"/>
            </w:pPr>
          </w:p>
          <w:p w:rsidR="002733C9" w:rsidRPr="00B24D4B" w:rsidRDefault="00AA4F18">
            <w:pPr>
              <w:spacing w:before="0" w:after="0"/>
              <w:ind w:left="0" w:right="0"/>
              <w:contextualSpacing w:val="0"/>
            </w:pPr>
            <w:r w:rsidRPr="00B24D4B">
              <w:t>Treasurer Dashboard – show relevant visualizations and simulation capabilities:</w:t>
            </w:r>
          </w:p>
          <w:p w:rsidR="002733C9" w:rsidRPr="00B24D4B" w:rsidRDefault="00AA4F18">
            <w:pPr>
              <w:spacing w:before="0" w:after="0"/>
              <w:ind w:left="0" w:right="0"/>
              <w:contextualSpacing w:val="0"/>
            </w:pPr>
            <w:r w:rsidRPr="00B24D4B">
              <w:t> </w:t>
            </w:r>
          </w:p>
          <w:p w:rsidR="002733C9" w:rsidRPr="00B24D4B" w:rsidRDefault="00CF6612" w:rsidP="000F4216">
            <w:pPr>
              <w:pStyle w:val="ListParagraph"/>
              <w:numPr>
                <w:ilvl w:val="0"/>
                <w:numId w:val="12"/>
              </w:numPr>
              <w:spacing w:before="0" w:after="0"/>
              <w:ind w:right="0"/>
            </w:pPr>
            <w:r w:rsidRPr="00B24D4B">
              <w:t>Here we see gadgets summarizing the company’s current positions:</w:t>
            </w:r>
            <w:r w:rsidR="00AA4F18" w:rsidRPr="00B24D4B">
              <w:t xml:space="preserve"> Available Cash</w:t>
            </w:r>
            <w:r w:rsidRPr="00B24D4B">
              <w:t>, Credits and Debits,</w:t>
            </w:r>
            <w:r w:rsidR="00AA4F18" w:rsidRPr="00B24D4B">
              <w:t xml:space="preserve"> Outstanding </w:t>
            </w:r>
            <w:r w:rsidR="00E85E36" w:rsidRPr="00B24D4B">
              <w:t>Loan Balances</w:t>
            </w:r>
            <w:r w:rsidR="00AA4F18" w:rsidRPr="00B24D4B">
              <w:t xml:space="preserve"> and Available Inv</w:t>
            </w:r>
            <w:r w:rsidRPr="00B24D4B">
              <w:t>estment Funds</w:t>
            </w:r>
          </w:p>
          <w:p w:rsidR="00CF6612" w:rsidRPr="00B24D4B" w:rsidRDefault="00CF6612" w:rsidP="000F4216">
            <w:pPr>
              <w:pStyle w:val="ListParagraph"/>
              <w:numPr>
                <w:ilvl w:val="0"/>
                <w:numId w:val="12"/>
              </w:numPr>
              <w:spacing w:before="0" w:after="0"/>
              <w:ind w:right="0"/>
            </w:pPr>
            <w:r w:rsidRPr="00B24D4B">
              <w:t xml:space="preserve">The Available Closing cash gadget shows a significant </w:t>
            </w:r>
            <w:r w:rsidR="00E85E36" w:rsidRPr="00B24D4B">
              <w:t>positive balance</w:t>
            </w:r>
            <w:r w:rsidR="00B24D4B" w:rsidRPr="00B24D4B">
              <w:t xml:space="preserve"> of 1.8 million</w:t>
            </w:r>
            <w:r w:rsidR="00E85E36" w:rsidRPr="00B24D4B">
              <w:t>, well beyond our target</w:t>
            </w:r>
            <w:r w:rsidR="00B24D4B" w:rsidRPr="00B24D4B">
              <w:t xml:space="preserve"> of 1.25 million</w:t>
            </w:r>
            <w:r w:rsidR="00E85E36" w:rsidRPr="00B24D4B">
              <w:t>! Thanks to this instant insight I can make some decisions on what to do with our surplus cash.</w:t>
            </w:r>
          </w:p>
          <w:p w:rsidR="002733C9" w:rsidRPr="00B24D4B" w:rsidRDefault="00AA4F18" w:rsidP="000F4216">
            <w:pPr>
              <w:pStyle w:val="ListParagraph"/>
              <w:numPr>
                <w:ilvl w:val="0"/>
                <w:numId w:val="12"/>
              </w:numPr>
              <w:spacing w:before="0" w:after="0"/>
              <w:ind w:right="0"/>
            </w:pPr>
            <w:r w:rsidRPr="00B24D4B">
              <w:t xml:space="preserve">Let's roll some of the Available Closing cash into the </w:t>
            </w:r>
            <w:r w:rsidR="00B34228" w:rsidRPr="00B24D4B">
              <w:t>Loan Balances</w:t>
            </w:r>
            <w:r w:rsidRPr="00B24D4B">
              <w:t xml:space="preserve"> </w:t>
            </w:r>
            <w:r w:rsidR="00B34228" w:rsidRPr="00B24D4B">
              <w:t>gadget</w:t>
            </w:r>
            <w:r w:rsidR="00B24D4B" w:rsidRPr="00B24D4B">
              <w:t>'s Revolving Line Of Credit</w:t>
            </w:r>
            <w:r w:rsidRPr="00B24D4B">
              <w:t xml:space="preserve"> since it has a high inte</w:t>
            </w:r>
            <w:r w:rsidR="00B24D4B" w:rsidRPr="00B24D4B">
              <w:t>rest rate and a long maturity past the</w:t>
            </w:r>
            <w:r w:rsidRPr="00B24D4B">
              <w:t xml:space="preserve"> year 20</w:t>
            </w:r>
            <w:r w:rsidR="00B34228" w:rsidRPr="00B24D4B">
              <w:t>24</w:t>
            </w:r>
            <w:r w:rsidRPr="00B24D4B">
              <w:t xml:space="preserve">.  </w:t>
            </w:r>
            <w:r w:rsidR="00B34228" w:rsidRPr="00B24D4B">
              <w:t>Lets SIMULATE paying it down by 300000</w:t>
            </w:r>
          </w:p>
          <w:p w:rsidR="002733C9" w:rsidRPr="00B24D4B" w:rsidRDefault="00B34228" w:rsidP="000F4216">
            <w:pPr>
              <w:pStyle w:val="ListParagraph"/>
              <w:numPr>
                <w:ilvl w:val="0"/>
                <w:numId w:val="12"/>
              </w:numPr>
              <w:spacing w:before="0" w:after="0"/>
              <w:ind w:right="0"/>
            </w:pPr>
            <w:r w:rsidRPr="00B24D4B">
              <w:t>When I click SIMULATE, t</w:t>
            </w:r>
            <w:r w:rsidR="00AA4F18" w:rsidRPr="00B24D4B">
              <w:t xml:space="preserve">he </w:t>
            </w:r>
            <w:r w:rsidRPr="00B24D4B">
              <w:t xml:space="preserve">chart adjusts the </w:t>
            </w:r>
            <w:r w:rsidR="00AA4F18" w:rsidRPr="00B24D4B">
              <w:t>Revolving LOC's maturity</w:t>
            </w:r>
            <w:r w:rsidRPr="00B24D4B">
              <w:t>. The simulation also adjusts</w:t>
            </w:r>
            <w:r w:rsidR="00AA4F18" w:rsidRPr="00B24D4B">
              <w:t xml:space="preserve"> the Available Cash </w:t>
            </w:r>
            <w:r w:rsidRPr="00B24D4B">
              <w:t xml:space="preserve">gadget </w:t>
            </w:r>
            <w:r w:rsidR="00AA4F18" w:rsidRPr="00B24D4B">
              <w:t>from 1.8 million to 1.5 million.  The simulated transaction displays here too.</w:t>
            </w:r>
          </w:p>
        </w:tc>
      </w:tr>
      <w:tr w:rsidR="00B24D4B" w:rsidRPr="00B24D4B" w:rsidTr="00650443">
        <w:tc>
          <w:tcPr>
            <w:tcW w:w="4365" w:type="dxa"/>
            <w:shd w:val="clear" w:color="auto" w:fill="FFFFFF"/>
            <w:tcMar>
              <w:top w:w="120" w:type="dxa"/>
              <w:left w:w="120" w:type="dxa"/>
              <w:bottom w:w="120" w:type="dxa"/>
              <w:right w:w="120" w:type="dxa"/>
            </w:tcMar>
          </w:tcPr>
          <w:p w:rsidR="00B24D4B" w:rsidRPr="00B24D4B" w:rsidRDefault="00B24D4B" w:rsidP="00B24D4B">
            <w:pPr>
              <w:spacing w:before="0" w:after="0"/>
              <w:ind w:left="0" w:right="0"/>
              <w:contextualSpacing w:val="0"/>
            </w:pPr>
            <w:r w:rsidRPr="00B24D4B">
              <w:t xml:space="preserve">In the 6 Month Historical Rates gadget, enter </w:t>
            </w:r>
            <w:r w:rsidRPr="00B24D4B">
              <w:lastRenderedPageBreak/>
              <w:t>750000 in the text box on the line for”DOMESTIC INDEX FUND #1”, then click SIMULATE.</w:t>
            </w:r>
          </w:p>
          <w:p w:rsidR="00B24D4B" w:rsidRPr="00B24D4B" w:rsidRDefault="00B24D4B" w:rsidP="00B24D4B">
            <w:pPr>
              <w:spacing w:before="0" w:after="0"/>
              <w:ind w:left="0" w:right="0"/>
              <w:contextualSpacing w:val="0"/>
            </w:pPr>
          </w:p>
          <w:p w:rsidR="00B24D4B" w:rsidRPr="00B24D4B" w:rsidRDefault="00B24D4B" w:rsidP="00B24D4B">
            <w:pPr>
              <w:spacing w:before="0" w:after="0"/>
              <w:ind w:left="0" w:right="0"/>
              <w:contextualSpacing w:val="0"/>
            </w:pPr>
            <w:r w:rsidRPr="00B24D4B">
              <w:t>Point out the adjusted “Closing Available” chart in the Available Cash gadget</w:t>
            </w:r>
          </w:p>
        </w:tc>
        <w:tc>
          <w:tcPr>
            <w:tcW w:w="5565" w:type="dxa"/>
            <w:shd w:val="clear" w:color="auto" w:fill="FFFFFF"/>
            <w:tcMar>
              <w:top w:w="120" w:type="dxa"/>
              <w:left w:w="120" w:type="dxa"/>
              <w:bottom w:w="120" w:type="dxa"/>
              <w:right w:w="120" w:type="dxa"/>
            </w:tcMar>
          </w:tcPr>
          <w:p w:rsidR="00B24D4B" w:rsidRPr="00B24D4B" w:rsidRDefault="00B24D4B" w:rsidP="000F4216">
            <w:pPr>
              <w:pStyle w:val="ListParagraph"/>
              <w:numPr>
                <w:ilvl w:val="0"/>
                <w:numId w:val="13"/>
              </w:numPr>
              <w:spacing w:before="0" w:after="0"/>
              <w:ind w:right="0"/>
            </w:pPr>
            <w:r w:rsidRPr="00B24D4B">
              <w:lastRenderedPageBreak/>
              <w:t xml:space="preserve">Next let's make an investment decision, I’ll sweep some </w:t>
            </w:r>
            <w:r w:rsidRPr="00B24D4B">
              <w:lastRenderedPageBreak/>
              <w:t>more of our Available Closing cash into the Domestic Index Fund #1 since it has a high current rate of 5.0 and it's 6 month historical view looks better than the other funds.  I’ll simulate buying 750000 additional shares of Domestic Index Fund #1</w:t>
            </w:r>
          </w:p>
          <w:p w:rsidR="00B24D4B" w:rsidRPr="00B24D4B" w:rsidRDefault="00B24D4B" w:rsidP="000F4216">
            <w:pPr>
              <w:pStyle w:val="ListParagraph"/>
              <w:numPr>
                <w:ilvl w:val="0"/>
                <w:numId w:val="13"/>
              </w:numPr>
              <w:spacing w:before="0" w:after="0"/>
              <w:ind w:right="0"/>
            </w:pPr>
            <w:r w:rsidRPr="00B24D4B">
              <w:t>Now the Available Closing total has appropriately decremented by 750,000.  The simulated transaction displays here too.</w:t>
            </w:r>
          </w:p>
          <w:p w:rsidR="00EA1CF2" w:rsidRDefault="00B24D4B" w:rsidP="000F4216">
            <w:pPr>
              <w:pStyle w:val="ListParagraph"/>
              <w:numPr>
                <w:ilvl w:val="0"/>
                <w:numId w:val="13"/>
              </w:numPr>
              <w:spacing w:before="0" w:after="0"/>
              <w:ind w:right="0"/>
            </w:pPr>
            <w:r w:rsidRPr="00B24D4B">
              <w:t>The simulated transaction information can now be sent to internal transaction systems to execute the transfers.</w:t>
            </w:r>
          </w:p>
          <w:p w:rsidR="00B24D4B" w:rsidRPr="00B24D4B" w:rsidRDefault="00B24D4B" w:rsidP="000F4216">
            <w:pPr>
              <w:pStyle w:val="ListParagraph"/>
              <w:numPr>
                <w:ilvl w:val="0"/>
                <w:numId w:val="13"/>
              </w:numPr>
              <w:spacing w:before="0" w:after="0"/>
              <w:ind w:right="0"/>
            </w:pPr>
            <w:r w:rsidRPr="00B24D4B">
              <w:t>Thanks to an informative and interactive experience with account data, the Treasury director can make discoveries, evaluate potential actions via simulation, then execute the actions, all from a single interface.</w:t>
            </w:r>
          </w:p>
        </w:tc>
      </w:tr>
    </w:tbl>
    <w:p w:rsidR="002733C9" w:rsidRPr="00B24D4B" w:rsidRDefault="002733C9">
      <w:pPr>
        <w:spacing w:before="0" w:after="225"/>
        <w:ind w:left="0" w:right="0"/>
        <w:contextualSpacing w:val="0"/>
      </w:pPr>
    </w:p>
    <w:p w:rsidR="002733C9" w:rsidRPr="00443D79" w:rsidRDefault="00AA4F18">
      <w:pPr>
        <w:pStyle w:val="Heading2"/>
        <w:spacing w:before="0"/>
        <w:contextualSpacing w:val="0"/>
      </w:pPr>
      <w:r w:rsidRPr="00443D79">
        <w:t>Role – Treasury and Cash Flow Analysts</w:t>
      </w:r>
    </w:p>
    <w:p w:rsidR="002733C9" w:rsidRPr="00B24D4B" w:rsidRDefault="009A4689">
      <w:pPr>
        <w:spacing w:before="0" w:after="0"/>
        <w:ind w:left="0" w:right="0"/>
        <w:contextualSpacing w:val="0"/>
      </w:pPr>
      <w:r w:rsidRPr="00B24D4B">
        <w:t>OpenText Analytics can provide</w:t>
      </w:r>
      <w:r w:rsidR="00AA4F18" w:rsidRPr="00B24D4B">
        <w:t xml:space="preserve"> improved the analysis and interactivity capabilities for Treasury Analysts.</w:t>
      </w:r>
    </w:p>
    <w:p w:rsidR="002733C9" w:rsidRPr="00B24D4B" w:rsidRDefault="002733C9">
      <w:pPr>
        <w:spacing w:before="0" w:after="0"/>
        <w:ind w:left="0" w:right="0"/>
        <w:contextualSpacing w:val="0"/>
      </w:pPr>
    </w:p>
    <w:p w:rsidR="002733C9" w:rsidRPr="00B24D4B" w:rsidRDefault="009A4689">
      <w:pPr>
        <w:spacing w:before="0" w:after="0"/>
        <w:ind w:left="0" w:right="0"/>
        <w:contextualSpacing w:val="0"/>
      </w:pPr>
      <w:r w:rsidRPr="00B24D4B">
        <w:t>For the corporate customer, it expands the value of banking services beyond</w:t>
      </w:r>
      <w:r w:rsidR="00AA4F18" w:rsidRPr="00B24D4B">
        <w:t xml:space="preserve"> a simple repository for transactional data to a </w:t>
      </w:r>
      <w:r w:rsidR="00AA4F18" w:rsidRPr="00B24D4B">
        <w:rPr>
          <w:i/>
        </w:rPr>
        <w:t>live analysis hub for Treasury Analysts</w:t>
      </w:r>
      <w:r w:rsidR="00AA4F18" w:rsidRPr="00B24D4B">
        <w:t xml:space="preserve">. While </w:t>
      </w:r>
      <w:r w:rsidRPr="00B24D4B">
        <w:t>most treasury</w:t>
      </w:r>
      <w:r w:rsidR="00AA4F18" w:rsidRPr="00B24D4B">
        <w:t xml:space="preserve"> analysts will </w:t>
      </w:r>
      <w:r w:rsidRPr="00B24D4B">
        <w:t>use</w:t>
      </w:r>
      <w:r w:rsidR="00AA4F18" w:rsidRPr="00B24D4B">
        <w:t xml:space="preserve"> in-house financial system</w:t>
      </w:r>
      <w:r w:rsidRPr="00B24D4B">
        <w:t>s</w:t>
      </w:r>
      <w:r w:rsidR="00AA4F18" w:rsidRPr="00B24D4B">
        <w:t xml:space="preserve"> </w:t>
      </w:r>
      <w:r w:rsidRPr="00B24D4B">
        <w:t>for</w:t>
      </w:r>
      <w:r w:rsidR="00AA4F18" w:rsidRPr="00B24D4B">
        <w:t xml:space="preserve"> monthly, quarterly and </w:t>
      </w:r>
      <w:r w:rsidRPr="00B24D4B">
        <w:t>annual</w:t>
      </w:r>
      <w:r w:rsidR="00AA4F18" w:rsidRPr="00B24D4B">
        <w:t xml:space="preserve"> </w:t>
      </w:r>
      <w:r w:rsidRPr="00B24D4B">
        <w:t>accounting</w:t>
      </w:r>
      <w:r w:rsidR="00AA4F18" w:rsidRPr="00B24D4B">
        <w:t xml:space="preserve">, </w:t>
      </w:r>
      <w:r w:rsidRPr="00B24D4B">
        <w:t>OpenText iHub</w:t>
      </w:r>
      <w:r w:rsidR="00AA4F18" w:rsidRPr="00B24D4B">
        <w:t xml:space="preserve"> provides lightweight analysis for </w:t>
      </w:r>
      <w:r w:rsidR="00AA4F18" w:rsidRPr="00B24D4B">
        <w:rPr>
          <w:i/>
        </w:rPr>
        <w:t>daily and intra-day decisions</w:t>
      </w:r>
      <w:r w:rsidR="00AA4F18" w:rsidRPr="00B24D4B">
        <w:t xml:space="preserve"> for investment and debt.</w:t>
      </w:r>
    </w:p>
    <w:p w:rsidR="002733C9" w:rsidRPr="00B24D4B" w:rsidRDefault="002733C9">
      <w:pPr>
        <w:spacing w:before="0" w:after="0"/>
        <w:ind w:left="0" w:right="0"/>
        <w:contextualSpacing w:val="0"/>
      </w:pPr>
    </w:p>
    <w:tbl>
      <w:tblP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65"/>
        <w:gridCol w:w="4815"/>
      </w:tblGrid>
      <w:tr w:rsidR="002733C9" w:rsidRPr="00B24D4B" w:rsidTr="000F4216">
        <w:tc>
          <w:tcPr>
            <w:tcW w:w="4365" w:type="dxa"/>
            <w:shd w:val="clear" w:color="auto" w:fill="FFFFFF"/>
            <w:tcMar>
              <w:top w:w="120" w:type="dxa"/>
              <w:left w:w="120" w:type="dxa"/>
              <w:bottom w:w="120" w:type="dxa"/>
              <w:right w:w="120" w:type="dxa"/>
            </w:tcMar>
          </w:tcPr>
          <w:p w:rsidR="002733C9" w:rsidRPr="00B24D4B" w:rsidRDefault="00AA4F18">
            <w:pPr>
              <w:spacing w:before="0" w:after="0"/>
              <w:ind w:left="0" w:right="0"/>
              <w:contextualSpacing w:val="0"/>
            </w:pPr>
            <w:r w:rsidRPr="00B24D4B">
              <w:t xml:space="preserve">Treasury </w:t>
            </w:r>
            <w:r w:rsidR="00CD1AE5" w:rsidRPr="00B24D4B">
              <w:t>Analysis Dashboard Tab</w:t>
            </w:r>
          </w:p>
          <w:p w:rsidR="002733C9" w:rsidRPr="00B24D4B" w:rsidRDefault="002733C9">
            <w:pPr>
              <w:spacing w:before="0" w:after="0"/>
              <w:ind w:left="0" w:right="0"/>
              <w:contextualSpacing w:val="0"/>
            </w:pPr>
          </w:p>
          <w:p w:rsidR="00EA1CF2" w:rsidRPr="00B24D4B" w:rsidRDefault="00EA1CF2" w:rsidP="00EA1CF2">
            <w:pPr>
              <w:spacing w:before="0" w:after="0"/>
              <w:ind w:left="0" w:right="0"/>
              <w:contextualSpacing w:val="0"/>
            </w:pPr>
            <w:r w:rsidRPr="00B24D4B">
              <w:t>Point out gadgets</w:t>
            </w:r>
          </w:p>
          <w:p w:rsidR="002733C9" w:rsidRDefault="002733C9" w:rsidP="007607F0">
            <w:pPr>
              <w:spacing w:before="0" w:after="0"/>
              <w:ind w:left="0" w:right="0"/>
              <w:contextualSpacing w:val="0"/>
            </w:pPr>
          </w:p>
          <w:p w:rsidR="00EA1CF2" w:rsidRDefault="00E27B67" w:rsidP="00EA1CF2">
            <w:pPr>
              <w:spacing w:before="0" w:after="0"/>
              <w:ind w:left="0" w:right="0"/>
              <w:contextualSpacing w:val="0"/>
            </w:pPr>
            <w:r>
              <w:t xml:space="preserve">Click EDIT in the upper right of dashboard to display the toolbar. </w:t>
            </w:r>
            <w:r w:rsidR="00EA1CF2">
              <w:t>Open dashboard gadget gallery, select the gadget “</w:t>
            </w:r>
            <w:r w:rsidR="00EA1CF2" w:rsidRPr="00EA1CF2">
              <w:t>ALERT - Balances Less than 100K</w:t>
            </w:r>
            <w:r w:rsidR="00EA1CF2">
              <w:t xml:space="preserve">” </w:t>
            </w:r>
          </w:p>
          <w:p w:rsidR="00444F21" w:rsidRDefault="00444F21" w:rsidP="00EA1CF2">
            <w:pPr>
              <w:spacing w:before="0" w:after="0"/>
              <w:ind w:left="0" w:right="0"/>
              <w:contextualSpacing w:val="0"/>
            </w:pPr>
          </w:p>
          <w:p w:rsidR="00444F21" w:rsidRPr="00B24D4B" w:rsidRDefault="00444F21" w:rsidP="00EA1CF2">
            <w:pPr>
              <w:spacing w:before="0" w:after="0"/>
              <w:ind w:left="0" w:right="0"/>
              <w:contextualSpacing w:val="0"/>
            </w:pPr>
            <w:r w:rsidRPr="00B24D4B">
              <w:t>Click on TRE-4567-987 link in the alert to drill to details in a fully functional Excel Workbook</w:t>
            </w:r>
          </w:p>
        </w:tc>
        <w:tc>
          <w:tcPr>
            <w:tcW w:w="4815" w:type="dxa"/>
            <w:shd w:val="clear" w:color="auto" w:fill="FFFFFF"/>
            <w:tcMar>
              <w:top w:w="120" w:type="dxa"/>
              <w:left w:w="120" w:type="dxa"/>
              <w:bottom w:w="120" w:type="dxa"/>
              <w:right w:w="120" w:type="dxa"/>
            </w:tcMar>
          </w:tcPr>
          <w:p w:rsidR="002733C9" w:rsidRPr="00B24D4B" w:rsidRDefault="00294F74" w:rsidP="000F4216">
            <w:pPr>
              <w:pStyle w:val="ListParagraph"/>
              <w:numPr>
                <w:ilvl w:val="0"/>
                <w:numId w:val="14"/>
              </w:numPr>
              <w:spacing w:before="0" w:after="0"/>
              <w:ind w:right="0"/>
            </w:pPr>
            <w:r w:rsidRPr="00B24D4B">
              <w:t xml:space="preserve">The analyst can customize their dashboard in self-service fashion, creating a view of important metrics on one page: </w:t>
            </w:r>
            <w:r w:rsidR="00AA4F18" w:rsidRPr="00B24D4B">
              <w:t>Balance - All Accounts, Current Day Balance by Currency and Current Day Balance by Region.</w:t>
            </w:r>
            <w:r w:rsidR="00F25F7D" w:rsidRPr="00B24D4B">
              <w:t xml:space="preserve"> All the metrics offer drill down to detail.</w:t>
            </w:r>
          </w:p>
          <w:p w:rsidR="002733C9" w:rsidRPr="00B24D4B" w:rsidRDefault="00AA4F18" w:rsidP="000F4216">
            <w:pPr>
              <w:pStyle w:val="ListParagraph"/>
              <w:numPr>
                <w:ilvl w:val="0"/>
                <w:numId w:val="14"/>
              </w:numPr>
              <w:spacing w:before="0" w:after="0"/>
              <w:ind w:right="0"/>
            </w:pPr>
            <w:r w:rsidRPr="00B24D4B">
              <w:t xml:space="preserve">Click on European Business - EUR in Current Day Balance by Currency </w:t>
            </w:r>
            <w:r w:rsidR="004710F6" w:rsidRPr="00B24D4B">
              <w:t>gadget</w:t>
            </w:r>
            <w:r w:rsidRPr="00B24D4B">
              <w:t xml:space="preserve"> to drill into currency report that shows detail report account information.</w:t>
            </w:r>
          </w:p>
          <w:p w:rsidR="002733C9" w:rsidRPr="00B24D4B" w:rsidRDefault="00AA4F18" w:rsidP="000F4216">
            <w:pPr>
              <w:pStyle w:val="ListParagraph"/>
              <w:numPr>
                <w:ilvl w:val="0"/>
                <w:numId w:val="14"/>
              </w:numPr>
              <w:spacing w:before="0" w:after="0"/>
              <w:ind w:right="0"/>
            </w:pPr>
            <w:r w:rsidRPr="00B24D4B">
              <w:t>Click on Ireland in Current Day Balance by Region to show detail report of all currency and accounts transacted in that region.</w:t>
            </w:r>
          </w:p>
          <w:p w:rsidR="00444F21" w:rsidRDefault="00F25F7D" w:rsidP="000F4216">
            <w:pPr>
              <w:pStyle w:val="ListParagraph"/>
              <w:numPr>
                <w:ilvl w:val="0"/>
                <w:numId w:val="14"/>
              </w:numPr>
              <w:spacing w:before="0" w:after="0"/>
              <w:ind w:right="0"/>
            </w:pPr>
            <w:r w:rsidRPr="00B24D4B">
              <w:t xml:space="preserve">I’ll add an alert to my dashboard for any account balances that are currently falling below 100k. Conditional highlighting makes it easy to see those accounts most in need of attention. Here we see that the </w:t>
            </w:r>
            <w:r w:rsidR="00EA1CF2">
              <w:t>Yankee</w:t>
            </w:r>
            <w:r w:rsidRPr="00B24D4B">
              <w:t xml:space="preserve"> General account closing balance is critically low.</w:t>
            </w:r>
            <w:r w:rsidR="00AA4F18" w:rsidRPr="00B24D4B">
              <w:t> </w:t>
            </w:r>
          </w:p>
          <w:p w:rsidR="002733C9" w:rsidRPr="00B24D4B" w:rsidRDefault="00AA4F18" w:rsidP="000F4216">
            <w:pPr>
              <w:pStyle w:val="ListParagraph"/>
              <w:numPr>
                <w:ilvl w:val="0"/>
                <w:numId w:val="14"/>
              </w:numPr>
              <w:spacing w:before="0" w:after="0"/>
              <w:ind w:right="0"/>
            </w:pPr>
            <w:r w:rsidRPr="00B24D4B">
              <w:t xml:space="preserve">Click on </w:t>
            </w:r>
            <w:r w:rsidR="00F25F7D" w:rsidRPr="00B24D4B">
              <w:t>TRE-4567-987</w:t>
            </w:r>
            <w:r w:rsidRPr="00B24D4B">
              <w:t xml:space="preserve"> link </w:t>
            </w:r>
            <w:r w:rsidR="00F25F7D" w:rsidRPr="00B24D4B">
              <w:t>in the alert to drill to details in a</w:t>
            </w:r>
            <w:r w:rsidRPr="00B24D4B">
              <w:t xml:space="preserve"> fully functional Excel </w:t>
            </w:r>
            <w:r w:rsidR="00F25F7D" w:rsidRPr="00B24D4B">
              <w:t>Workbook</w:t>
            </w:r>
          </w:p>
        </w:tc>
      </w:tr>
      <w:tr w:rsidR="002733C9" w:rsidRPr="00B24D4B" w:rsidTr="000F4216">
        <w:tc>
          <w:tcPr>
            <w:tcW w:w="4365" w:type="dxa"/>
            <w:shd w:val="clear" w:color="auto" w:fill="FFFFFF"/>
            <w:tcMar>
              <w:top w:w="120" w:type="dxa"/>
              <w:left w:w="120" w:type="dxa"/>
              <w:bottom w:w="120" w:type="dxa"/>
              <w:right w:w="120" w:type="dxa"/>
            </w:tcMar>
          </w:tcPr>
          <w:p w:rsidR="002733C9" w:rsidRPr="00B24D4B" w:rsidRDefault="00AA4F18">
            <w:pPr>
              <w:spacing w:before="0" w:after="0"/>
              <w:ind w:left="0" w:right="0"/>
              <w:contextualSpacing w:val="0"/>
            </w:pPr>
            <w:r w:rsidRPr="00B24D4B">
              <w:t>Daily Analysis Tools</w:t>
            </w:r>
          </w:p>
          <w:p w:rsidR="002733C9" w:rsidRPr="00B24D4B" w:rsidRDefault="002733C9">
            <w:pPr>
              <w:spacing w:before="0" w:after="0"/>
              <w:ind w:left="0" w:right="0"/>
              <w:contextualSpacing w:val="0"/>
            </w:pPr>
          </w:p>
          <w:p w:rsidR="002733C9" w:rsidRPr="00B24D4B" w:rsidRDefault="00AA4F18">
            <w:pPr>
              <w:spacing w:before="0" w:after="0"/>
              <w:ind w:left="0" w:right="0"/>
              <w:contextualSpacing w:val="0"/>
            </w:pPr>
            <w:r w:rsidRPr="00B24D4B">
              <w:t>Live Excel Output Option</w:t>
            </w:r>
          </w:p>
          <w:p w:rsidR="002733C9" w:rsidRPr="00B24D4B" w:rsidRDefault="002733C9">
            <w:pPr>
              <w:spacing w:before="0" w:after="0"/>
              <w:ind w:left="0" w:right="0"/>
              <w:contextualSpacing w:val="0"/>
            </w:pPr>
          </w:p>
          <w:p w:rsidR="002733C9" w:rsidRPr="00B24D4B" w:rsidRDefault="00AA4F18">
            <w:pPr>
              <w:spacing w:before="0" w:after="0"/>
              <w:ind w:left="0" w:right="0"/>
              <w:contextualSpacing w:val="0"/>
            </w:pPr>
            <w:r w:rsidRPr="00B24D4B">
              <w:t xml:space="preserve">Not your typical CSV data dump. Live </w:t>
            </w:r>
            <w:r w:rsidRPr="00B24D4B">
              <w:lastRenderedPageBreak/>
              <w:t>formulas allow “what-if” scenarios.</w:t>
            </w:r>
          </w:p>
          <w:p w:rsidR="002733C9" w:rsidRDefault="002733C9">
            <w:pPr>
              <w:spacing w:before="0" w:after="0"/>
              <w:ind w:left="0" w:right="0"/>
              <w:contextualSpacing w:val="0"/>
            </w:pPr>
          </w:p>
          <w:p w:rsidR="00444F21" w:rsidRPr="00B24D4B" w:rsidRDefault="00444F21" w:rsidP="00444F21">
            <w:pPr>
              <w:spacing w:before="200" w:after="200"/>
              <w:ind w:left="0" w:right="0"/>
              <w:contextualSpacing w:val="0"/>
            </w:pPr>
            <w:r w:rsidRPr="00B24D4B">
              <w:t>Expand Excel outlining to see details.</w:t>
            </w:r>
          </w:p>
          <w:p w:rsidR="00444F21" w:rsidRPr="00B24D4B" w:rsidRDefault="00444F21">
            <w:pPr>
              <w:spacing w:before="0" w:after="0"/>
              <w:ind w:left="0" w:right="0"/>
              <w:contextualSpacing w:val="0"/>
            </w:pPr>
            <w:r w:rsidRPr="00B24D4B">
              <w:t>Enter 75000 in Other receipts cell</w:t>
            </w:r>
            <w:r>
              <w:t xml:space="preserve"> (cell C18) and click ENTER</w:t>
            </w:r>
            <w:r w:rsidRPr="00B24D4B">
              <w:t xml:space="preserve"> to recalculate</w:t>
            </w:r>
            <w:r>
              <w:t>. Point out Excel formula and adjusted Daily Dash Position</w:t>
            </w:r>
          </w:p>
        </w:tc>
        <w:tc>
          <w:tcPr>
            <w:tcW w:w="4815" w:type="dxa"/>
            <w:shd w:val="clear" w:color="auto" w:fill="FFFFFF"/>
            <w:tcMar>
              <w:top w:w="120" w:type="dxa"/>
              <w:left w:w="120" w:type="dxa"/>
              <w:bottom w:w="120" w:type="dxa"/>
              <w:right w:w="120" w:type="dxa"/>
            </w:tcMar>
          </w:tcPr>
          <w:p w:rsidR="00C921B8" w:rsidRDefault="00F25F7D" w:rsidP="000F4216">
            <w:pPr>
              <w:pStyle w:val="ListParagraph"/>
              <w:numPr>
                <w:ilvl w:val="0"/>
                <w:numId w:val="14"/>
              </w:numPr>
              <w:spacing w:before="0" w:after="0"/>
              <w:ind w:right="0"/>
              <w:contextualSpacing w:val="0"/>
            </w:pPr>
            <w:r w:rsidRPr="00B24D4B">
              <w:lastRenderedPageBreak/>
              <w:t>Not your typical CSV data dump. Live formulas that allow “what-if” scenarios.</w:t>
            </w:r>
          </w:p>
          <w:p w:rsidR="002733C9" w:rsidRPr="00B24D4B" w:rsidRDefault="00F25F7D" w:rsidP="000F4216">
            <w:pPr>
              <w:pStyle w:val="ListParagraph"/>
              <w:numPr>
                <w:ilvl w:val="0"/>
                <w:numId w:val="14"/>
              </w:numPr>
              <w:spacing w:before="0" w:after="0"/>
              <w:ind w:right="0"/>
              <w:contextualSpacing w:val="0"/>
            </w:pPr>
            <w:r w:rsidRPr="00B24D4B">
              <w:t>The</w:t>
            </w:r>
            <w:r w:rsidR="00AA4F18" w:rsidRPr="00B24D4B">
              <w:t xml:space="preserve"> Daily Position looks </w:t>
            </w:r>
            <w:r w:rsidR="00F86128" w:rsidRPr="00B24D4B">
              <w:t>excessively</w:t>
            </w:r>
            <w:r w:rsidR="00AA4F18" w:rsidRPr="00B24D4B">
              <w:t xml:space="preserve"> low,</w:t>
            </w:r>
            <w:r w:rsidRPr="00B24D4B">
              <w:t xml:space="preserve"> which is no doubt contributing to the balance alert!</w:t>
            </w:r>
            <w:r w:rsidR="00AA4F18" w:rsidRPr="00B24D4B">
              <w:t xml:space="preserve"> </w:t>
            </w:r>
            <w:r w:rsidR="00F86128" w:rsidRPr="00B24D4B">
              <w:lastRenderedPageBreak/>
              <w:t xml:space="preserve">Suppose in </w:t>
            </w:r>
            <w:r w:rsidR="00AA4F18" w:rsidRPr="00B24D4B">
              <w:t>look</w:t>
            </w:r>
            <w:r w:rsidR="00F86128" w:rsidRPr="00B24D4B">
              <w:t>ing</w:t>
            </w:r>
            <w:r w:rsidR="00AA4F18" w:rsidRPr="00B24D4B">
              <w:t xml:space="preserve"> at </w:t>
            </w:r>
            <w:r w:rsidR="00F86128" w:rsidRPr="00B24D4B">
              <w:t xml:space="preserve">the </w:t>
            </w:r>
            <w:r w:rsidR="00AA4F18" w:rsidRPr="00B24D4B">
              <w:t xml:space="preserve">details </w:t>
            </w:r>
            <w:r w:rsidR="00F86128" w:rsidRPr="00B24D4B">
              <w:t>we realize a missing</w:t>
            </w:r>
            <w:r w:rsidR="00AA4F18" w:rsidRPr="00B24D4B">
              <w:t xml:space="preserve"> $75,000 receipt. It </w:t>
            </w:r>
            <w:r w:rsidR="00F86128" w:rsidRPr="00B24D4B">
              <w:t>was likely</w:t>
            </w:r>
            <w:r w:rsidR="00AA4F18" w:rsidRPr="00B24D4B">
              <w:t xml:space="preserve"> miscategorized </w:t>
            </w:r>
            <w:r w:rsidR="00F86128" w:rsidRPr="00B24D4B">
              <w:t xml:space="preserve">during data entry, </w:t>
            </w:r>
            <w:r w:rsidR="00AA4F18" w:rsidRPr="00B24D4B">
              <w:t>a</w:t>
            </w:r>
            <w:r w:rsidR="00444F21">
              <w:t>nd belongs in Other Receipts.  I’ll e</w:t>
            </w:r>
            <w:r w:rsidR="00AA4F18" w:rsidRPr="00B24D4B">
              <w:t xml:space="preserve">nter </w:t>
            </w:r>
            <w:r w:rsidR="00F86128" w:rsidRPr="00B24D4B">
              <w:t xml:space="preserve">75000 </w:t>
            </w:r>
            <w:r w:rsidR="00444F21">
              <w:t>in the</w:t>
            </w:r>
            <w:r w:rsidR="00AA4F18" w:rsidRPr="00B24D4B">
              <w:t xml:space="preserve"> Other receipts cell to recalculate.</w:t>
            </w:r>
            <w:r w:rsidR="00F86128" w:rsidRPr="00B24D4B">
              <w:t xml:space="preserve"> Now we know the actual cash position for this account.</w:t>
            </w:r>
          </w:p>
        </w:tc>
      </w:tr>
      <w:tr w:rsidR="00F86128" w:rsidRPr="00B24D4B" w:rsidTr="000F4216">
        <w:tc>
          <w:tcPr>
            <w:tcW w:w="4365" w:type="dxa"/>
            <w:shd w:val="clear" w:color="auto" w:fill="FFFFFF"/>
            <w:tcMar>
              <w:top w:w="120" w:type="dxa"/>
              <w:left w:w="120" w:type="dxa"/>
              <w:bottom w:w="120" w:type="dxa"/>
              <w:right w:w="120" w:type="dxa"/>
            </w:tcMar>
          </w:tcPr>
          <w:p w:rsidR="00C921B8" w:rsidRDefault="00C921B8" w:rsidP="00C921B8">
            <w:pPr>
              <w:spacing w:before="0" w:after="0"/>
              <w:ind w:left="0" w:right="0"/>
              <w:contextualSpacing w:val="0"/>
            </w:pPr>
            <w:r w:rsidRPr="00B24D4B">
              <w:lastRenderedPageBreak/>
              <w:t>Maximize the “Current Day Consolidated Summary By Currency” gadget</w:t>
            </w:r>
            <w:r>
              <w:t xml:space="preserve"> by double clicking the header/title.</w:t>
            </w:r>
          </w:p>
          <w:p w:rsidR="00F86128" w:rsidRPr="00B24D4B" w:rsidRDefault="00C921B8" w:rsidP="00C921B8">
            <w:pPr>
              <w:spacing w:before="0" w:after="0"/>
              <w:ind w:left="0" w:right="0"/>
              <w:contextualSpacing w:val="0"/>
            </w:pPr>
            <w:r>
              <w:t xml:space="preserve">Right click over the Closing Balance column and select Format&gt;Conditonal Format. </w:t>
            </w:r>
            <w:r w:rsidRPr="00B24D4B">
              <w:t>CONDTIONAL HIGHLIGHT the closing balance column to turn RED when balances fall below 2m</w:t>
            </w:r>
            <w:r>
              <w:t>.</w:t>
            </w:r>
          </w:p>
        </w:tc>
        <w:tc>
          <w:tcPr>
            <w:tcW w:w="4815" w:type="dxa"/>
            <w:shd w:val="clear" w:color="auto" w:fill="FFFFFF"/>
            <w:tcMar>
              <w:top w:w="120" w:type="dxa"/>
              <w:left w:w="120" w:type="dxa"/>
              <w:bottom w:w="120" w:type="dxa"/>
              <w:right w:w="120" w:type="dxa"/>
            </w:tcMar>
          </w:tcPr>
          <w:p w:rsidR="00C921B8" w:rsidRDefault="00F86128" w:rsidP="000F4216">
            <w:pPr>
              <w:pStyle w:val="ListParagraph"/>
              <w:numPr>
                <w:ilvl w:val="0"/>
                <w:numId w:val="14"/>
              </w:numPr>
              <w:spacing w:before="0" w:after="0"/>
              <w:ind w:right="0"/>
              <w:contextualSpacing w:val="0"/>
            </w:pPr>
            <w:r w:rsidRPr="00B24D4B">
              <w:t>Alerts are a more proactive way to minimize overdrafts across a complex maze of accounts, and are created by the user in a simple way.</w:t>
            </w:r>
          </w:p>
          <w:p w:rsidR="00F86128" w:rsidRPr="00B24D4B" w:rsidRDefault="00F86128" w:rsidP="000F4216">
            <w:pPr>
              <w:pStyle w:val="ListParagraph"/>
              <w:spacing w:before="0" w:after="0"/>
              <w:ind w:right="0"/>
              <w:contextualSpacing w:val="0"/>
            </w:pPr>
          </w:p>
        </w:tc>
      </w:tr>
      <w:tr w:rsidR="00CD1AE5" w:rsidRPr="00B24D4B" w:rsidTr="000F4216">
        <w:tc>
          <w:tcPr>
            <w:tcW w:w="4365" w:type="dxa"/>
            <w:shd w:val="clear" w:color="auto" w:fill="FFFFFF"/>
            <w:tcMar>
              <w:top w:w="120" w:type="dxa"/>
              <w:left w:w="120" w:type="dxa"/>
              <w:bottom w:w="120" w:type="dxa"/>
              <w:right w:w="120" w:type="dxa"/>
            </w:tcMar>
          </w:tcPr>
          <w:p w:rsidR="00CD1AE5" w:rsidRPr="00B24D4B" w:rsidRDefault="00CD1AE5">
            <w:pPr>
              <w:spacing w:before="0" w:after="0"/>
              <w:ind w:left="0" w:right="0"/>
              <w:contextualSpacing w:val="0"/>
            </w:pPr>
          </w:p>
        </w:tc>
        <w:tc>
          <w:tcPr>
            <w:tcW w:w="4815" w:type="dxa"/>
            <w:shd w:val="clear" w:color="auto" w:fill="FFFFFF"/>
            <w:tcMar>
              <w:top w:w="120" w:type="dxa"/>
              <w:left w:w="120" w:type="dxa"/>
              <w:bottom w:w="120" w:type="dxa"/>
              <w:right w:w="120" w:type="dxa"/>
            </w:tcMar>
          </w:tcPr>
          <w:p w:rsidR="00CD1AE5" w:rsidRPr="00B24D4B" w:rsidRDefault="00CD1AE5" w:rsidP="000F4216">
            <w:pPr>
              <w:pStyle w:val="ListParagraph"/>
              <w:numPr>
                <w:ilvl w:val="0"/>
                <w:numId w:val="14"/>
              </w:numPr>
              <w:spacing w:before="0" w:after="0"/>
              <w:ind w:right="0"/>
              <w:contextualSpacing w:val="0"/>
            </w:pPr>
            <w:r w:rsidRPr="00B24D4B">
              <w:t>Thanks to flexible self-service access to daily account balance information, the treasury analyst can make better, more informed decisions about corporate investments and debt in a much more timely manner than month end or quarter end.</w:t>
            </w:r>
          </w:p>
        </w:tc>
      </w:tr>
    </w:tbl>
    <w:p w:rsidR="002733C9" w:rsidRPr="00B24D4B" w:rsidRDefault="002733C9">
      <w:pPr>
        <w:spacing w:before="0" w:after="0"/>
        <w:ind w:left="0" w:right="0"/>
        <w:contextualSpacing w:val="0"/>
      </w:pPr>
    </w:p>
    <w:p w:rsidR="002733C9" w:rsidRPr="00B24D4B" w:rsidRDefault="002733C9">
      <w:pPr>
        <w:spacing w:before="0" w:after="0"/>
        <w:ind w:left="0" w:right="0"/>
        <w:contextualSpacing w:val="0"/>
      </w:pPr>
    </w:p>
    <w:sectPr w:rsidR="002733C9" w:rsidRPr="00B24D4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96A94"/>
    <w:multiLevelType w:val="multilevel"/>
    <w:tmpl w:val="16062820"/>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1">
    <w:nsid w:val="0E464390"/>
    <w:multiLevelType w:val="multilevel"/>
    <w:tmpl w:val="7B781E10"/>
    <w:lvl w:ilvl="0">
      <w:start w:val="1"/>
      <w:numFmt w:val="decimal"/>
      <w:lvlText w:val="%1."/>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2">
    <w:nsid w:val="202E4C35"/>
    <w:multiLevelType w:val="hybridMultilevel"/>
    <w:tmpl w:val="66B46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2D51A8"/>
    <w:multiLevelType w:val="hybridMultilevel"/>
    <w:tmpl w:val="D71A9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0012DC8"/>
    <w:multiLevelType w:val="multilevel"/>
    <w:tmpl w:val="37B0C9F0"/>
    <w:lvl w:ilvl="0">
      <w:start w:val="1"/>
      <w:numFmt w:val="bullet"/>
      <w:lvlText w:val=""/>
      <w:lvlJc w:val="left"/>
      <w:pPr>
        <w:ind w:left="0" w:firstLine="0"/>
      </w:pPr>
      <w:rPr>
        <w:rFonts w:ascii="Symbol" w:hAnsi="Symbol" w:hint="default"/>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5">
    <w:nsid w:val="4237081D"/>
    <w:multiLevelType w:val="hybridMultilevel"/>
    <w:tmpl w:val="E3AA6E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A7F2FF9"/>
    <w:multiLevelType w:val="multilevel"/>
    <w:tmpl w:val="27C61C52"/>
    <w:lvl w:ilvl="0">
      <w:start w:val="1"/>
      <w:numFmt w:val="decimal"/>
      <w:lvlText w:val="%1."/>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7">
    <w:nsid w:val="4DF62AF2"/>
    <w:multiLevelType w:val="multilevel"/>
    <w:tmpl w:val="7FF4520A"/>
    <w:lvl w:ilvl="0">
      <w:start w:val="4"/>
      <w:numFmt w:val="decimal"/>
      <w:lvlText w:val="%1."/>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8">
    <w:nsid w:val="567D41D2"/>
    <w:multiLevelType w:val="multilevel"/>
    <w:tmpl w:val="B3C62B14"/>
    <w:lvl w:ilvl="0">
      <w:start w:val="1"/>
      <w:numFmt w:val="decimal"/>
      <w:lvlText w:val="%1."/>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9">
    <w:nsid w:val="60737319"/>
    <w:multiLevelType w:val="hybridMultilevel"/>
    <w:tmpl w:val="9EB63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5275558"/>
    <w:multiLevelType w:val="multilevel"/>
    <w:tmpl w:val="BFD260E0"/>
    <w:lvl w:ilvl="0">
      <w:start w:val="1"/>
      <w:numFmt w:val="decimal"/>
      <w:lvlText w:val="%1."/>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11">
    <w:nsid w:val="67C706BC"/>
    <w:multiLevelType w:val="multilevel"/>
    <w:tmpl w:val="37B0C9F0"/>
    <w:lvl w:ilvl="0">
      <w:start w:val="1"/>
      <w:numFmt w:val="bullet"/>
      <w:lvlText w:val=""/>
      <w:lvlJc w:val="left"/>
      <w:pPr>
        <w:ind w:left="0" w:firstLine="0"/>
      </w:pPr>
      <w:rPr>
        <w:rFonts w:ascii="Symbol" w:hAnsi="Symbol" w:hint="default"/>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12">
    <w:nsid w:val="6EB32725"/>
    <w:multiLevelType w:val="multilevel"/>
    <w:tmpl w:val="CB5062B4"/>
    <w:lvl w:ilvl="0">
      <w:start w:val="1"/>
      <w:numFmt w:val="decimal"/>
      <w:lvlText w:val="%1."/>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13">
    <w:nsid w:val="79272508"/>
    <w:multiLevelType w:val="multilevel"/>
    <w:tmpl w:val="972E4C12"/>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num w:numId="1">
    <w:abstractNumId w:val="13"/>
  </w:num>
  <w:num w:numId="2">
    <w:abstractNumId w:val="7"/>
  </w:num>
  <w:num w:numId="3">
    <w:abstractNumId w:val="8"/>
  </w:num>
  <w:num w:numId="4">
    <w:abstractNumId w:val="1"/>
  </w:num>
  <w:num w:numId="5">
    <w:abstractNumId w:val="6"/>
  </w:num>
  <w:num w:numId="6">
    <w:abstractNumId w:val="10"/>
  </w:num>
  <w:num w:numId="7">
    <w:abstractNumId w:val="12"/>
  </w:num>
  <w:num w:numId="8">
    <w:abstractNumId w:val="0"/>
  </w:num>
  <w:num w:numId="9">
    <w:abstractNumId w:val="2"/>
  </w:num>
  <w:num w:numId="10">
    <w:abstractNumId w:val="11"/>
  </w:num>
  <w:num w:numId="11">
    <w:abstractNumId w:val="4"/>
  </w:num>
  <w:num w:numId="12">
    <w:abstractNumId w:val="5"/>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displayBackgroundShape/>
  <w:defaultTabStop w:val="720"/>
  <w:characterSpacingControl w:val="doNotCompress"/>
  <w:compat>
    <w:compatSetting w:name="compatibilityMode" w:uri="http://schemas.microsoft.com/office/word" w:val="14"/>
  </w:compat>
  <w:rsids>
    <w:rsidRoot w:val="002733C9"/>
    <w:rsid w:val="00005474"/>
    <w:rsid w:val="000F4216"/>
    <w:rsid w:val="001945A5"/>
    <w:rsid w:val="0024564B"/>
    <w:rsid w:val="002733C9"/>
    <w:rsid w:val="00294F74"/>
    <w:rsid w:val="003840B6"/>
    <w:rsid w:val="00443D79"/>
    <w:rsid w:val="00444F21"/>
    <w:rsid w:val="004710F6"/>
    <w:rsid w:val="004D07C8"/>
    <w:rsid w:val="00536E23"/>
    <w:rsid w:val="00635537"/>
    <w:rsid w:val="00650443"/>
    <w:rsid w:val="006736C1"/>
    <w:rsid w:val="007607F0"/>
    <w:rsid w:val="007E6444"/>
    <w:rsid w:val="00841557"/>
    <w:rsid w:val="00870A9F"/>
    <w:rsid w:val="009A4689"/>
    <w:rsid w:val="00A12E43"/>
    <w:rsid w:val="00A15B43"/>
    <w:rsid w:val="00AA4F18"/>
    <w:rsid w:val="00B24D4B"/>
    <w:rsid w:val="00B34228"/>
    <w:rsid w:val="00BF3542"/>
    <w:rsid w:val="00C921B8"/>
    <w:rsid w:val="00CD1AE5"/>
    <w:rsid w:val="00CF6612"/>
    <w:rsid w:val="00DE2BCD"/>
    <w:rsid w:val="00E27B67"/>
    <w:rsid w:val="00E85E36"/>
    <w:rsid w:val="00EA1CF2"/>
    <w:rsid w:val="00F25F7D"/>
    <w:rsid w:val="00F86128"/>
    <w:rsid w:val="00FE3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lang w:val="en-US" w:eastAsia="en-US" w:bidi="ar-SA"/>
      </w:rPr>
    </w:rPrDefault>
    <w:pPrDefault>
      <w:pPr>
        <w:widowControl w:val="0"/>
        <w:spacing w:before="90" w:after="90"/>
        <w:ind w:left="90" w:right="90"/>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40" w:after="240"/>
      <w:ind w:left="0" w:right="0"/>
      <w:outlineLvl w:val="0"/>
    </w:pPr>
    <w:rPr>
      <w:b/>
      <w:sz w:val="36"/>
    </w:rPr>
  </w:style>
  <w:style w:type="paragraph" w:styleId="Heading2">
    <w:name w:val="heading 2"/>
    <w:basedOn w:val="Normal"/>
    <w:next w:val="Normal"/>
    <w:pPr>
      <w:spacing w:before="225" w:after="225"/>
      <w:ind w:left="0" w:right="0"/>
      <w:outlineLvl w:val="1"/>
    </w:pPr>
    <w:rPr>
      <w:b/>
      <w:sz w:val="28"/>
    </w:rPr>
  </w:style>
  <w:style w:type="paragraph" w:styleId="Heading3">
    <w:name w:val="heading 3"/>
    <w:basedOn w:val="Normal"/>
    <w:next w:val="Normal"/>
    <w:pPr>
      <w:spacing w:before="240" w:after="240"/>
      <w:ind w:left="0" w:right="0"/>
      <w:outlineLvl w:val="2"/>
    </w:pPr>
    <w:rPr>
      <w:b/>
      <w:sz w:val="24"/>
    </w:rPr>
  </w:style>
  <w:style w:type="paragraph" w:styleId="Heading4">
    <w:name w:val="heading 4"/>
    <w:basedOn w:val="Normal"/>
    <w:next w:val="Normal"/>
    <w:pPr>
      <w:spacing w:before="255" w:after="255"/>
      <w:ind w:left="0" w:right="0"/>
      <w:outlineLvl w:val="3"/>
    </w:pPr>
    <w:rPr>
      <w:b/>
    </w:rPr>
  </w:style>
  <w:style w:type="paragraph" w:styleId="Heading5">
    <w:name w:val="heading 5"/>
    <w:basedOn w:val="Normal"/>
    <w:next w:val="Normal"/>
    <w:pPr>
      <w:spacing w:before="255" w:after="255"/>
      <w:ind w:left="0" w:right="0"/>
      <w:outlineLvl w:val="4"/>
    </w:pPr>
    <w:rPr>
      <w:b/>
      <w:sz w:val="16"/>
    </w:rPr>
  </w:style>
  <w:style w:type="paragraph" w:styleId="Heading6">
    <w:name w:val="heading 6"/>
    <w:basedOn w:val="Normal"/>
    <w:next w:val="Normal"/>
    <w:pPr>
      <w:spacing w:before="360" w:after="360"/>
      <w:ind w:left="0" w:right="0"/>
      <w:outlineLvl w:val="5"/>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65044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443"/>
    <w:rPr>
      <w:rFonts w:ascii="Tahoma" w:hAnsi="Tahoma" w:cs="Tahoma"/>
      <w:sz w:val="16"/>
      <w:szCs w:val="16"/>
    </w:rPr>
  </w:style>
  <w:style w:type="paragraph" w:styleId="ListParagraph">
    <w:name w:val="List Paragraph"/>
    <w:basedOn w:val="Normal"/>
    <w:uiPriority w:val="34"/>
    <w:qFormat/>
    <w:rsid w:val="00444F21"/>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lang w:val="en-US" w:eastAsia="en-US" w:bidi="ar-SA"/>
      </w:rPr>
    </w:rPrDefault>
    <w:pPrDefault>
      <w:pPr>
        <w:widowControl w:val="0"/>
        <w:spacing w:before="90" w:after="90"/>
        <w:ind w:left="90" w:right="90"/>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40" w:after="240"/>
      <w:ind w:left="0" w:right="0"/>
      <w:outlineLvl w:val="0"/>
    </w:pPr>
    <w:rPr>
      <w:b/>
      <w:sz w:val="36"/>
    </w:rPr>
  </w:style>
  <w:style w:type="paragraph" w:styleId="Heading2">
    <w:name w:val="heading 2"/>
    <w:basedOn w:val="Normal"/>
    <w:next w:val="Normal"/>
    <w:pPr>
      <w:spacing w:before="225" w:after="225"/>
      <w:ind w:left="0" w:right="0"/>
      <w:outlineLvl w:val="1"/>
    </w:pPr>
    <w:rPr>
      <w:b/>
      <w:sz w:val="28"/>
    </w:rPr>
  </w:style>
  <w:style w:type="paragraph" w:styleId="Heading3">
    <w:name w:val="heading 3"/>
    <w:basedOn w:val="Normal"/>
    <w:next w:val="Normal"/>
    <w:pPr>
      <w:spacing w:before="240" w:after="240"/>
      <w:ind w:left="0" w:right="0"/>
      <w:outlineLvl w:val="2"/>
    </w:pPr>
    <w:rPr>
      <w:b/>
      <w:sz w:val="24"/>
    </w:rPr>
  </w:style>
  <w:style w:type="paragraph" w:styleId="Heading4">
    <w:name w:val="heading 4"/>
    <w:basedOn w:val="Normal"/>
    <w:next w:val="Normal"/>
    <w:pPr>
      <w:spacing w:before="255" w:after="255"/>
      <w:ind w:left="0" w:right="0"/>
      <w:outlineLvl w:val="3"/>
    </w:pPr>
    <w:rPr>
      <w:b/>
    </w:rPr>
  </w:style>
  <w:style w:type="paragraph" w:styleId="Heading5">
    <w:name w:val="heading 5"/>
    <w:basedOn w:val="Normal"/>
    <w:next w:val="Normal"/>
    <w:pPr>
      <w:spacing w:before="255" w:after="255"/>
      <w:ind w:left="0" w:right="0"/>
      <w:outlineLvl w:val="4"/>
    </w:pPr>
    <w:rPr>
      <w:b/>
      <w:sz w:val="16"/>
    </w:rPr>
  </w:style>
  <w:style w:type="paragraph" w:styleId="Heading6">
    <w:name w:val="heading 6"/>
    <w:basedOn w:val="Normal"/>
    <w:next w:val="Normal"/>
    <w:pPr>
      <w:spacing w:before="360" w:after="360"/>
      <w:ind w:left="0" w:right="0"/>
      <w:outlineLvl w:val="5"/>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65044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443"/>
    <w:rPr>
      <w:rFonts w:ascii="Tahoma" w:hAnsi="Tahoma" w:cs="Tahoma"/>
      <w:sz w:val="16"/>
      <w:szCs w:val="16"/>
    </w:rPr>
  </w:style>
  <w:style w:type="paragraph" w:styleId="ListParagraph">
    <w:name w:val="List Paragraph"/>
    <w:basedOn w:val="Normal"/>
    <w:uiPriority w:val="34"/>
    <w:qFormat/>
    <w:rsid w:val="00444F2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Corporate Online Banking Script.docx</vt:lpstr>
    </vt:vector>
  </TitlesOfParts>
  <Company/>
  <LinksUpToDate>false</LinksUpToDate>
  <CharactersWithSpaces>6807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Online Banking Script.docx</dc:title>
  <dc:creator>Mark Gamble</dc:creator>
  <cp:lastModifiedBy>Windows User</cp:lastModifiedBy>
  <cp:revision>7</cp:revision>
  <dcterms:created xsi:type="dcterms:W3CDTF">2016-10-24T20:21:00Z</dcterms:created>
  <dcterms:modified xsi:type="dcterms:W3CDTF">2016-10-24T20:37:00Z</dcterms:modified>
</cp:coreProperties>
</file>