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A50ACC">
        <w:rPr>
          <w:sz w:val="24"/>
        </w:rPr>
        <w:t xml:space="preserve">,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BF243E" w:rsidRDefault="005D7C8F" w:rsidP="00BF243E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A50ACC">
        <w:rPr>
          <w:sz w:val="24"/>
        </w:rPr>
        <w:t xml:space="preserve"> </w:t>
      </w:r>
      <w:r w:rsidR="00C877CB" w:rsidRPr="00A50ACC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8366C4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645B59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w:proofErr w:type="spellEnd"/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281C18" w:rsidRPr="00281C18" w:rsidRDefault="00281C18" w:rsidP="00A50ACC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przeciętne od mediany</w:t>
            </w:r>
          </w:p>
        </w:tc>
        <w:tc>
          <w:tcPr>
            <w:tcW w:w="4961" w:type="dxa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Me</m:t>
                        </m:r>
                      </m:e>
                    </m:d>
                  </m:e>
                </m:nary>
              </m:oMath>
            </m:oMathPara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*100%</m:t>
                </m:r>
              </m:oMath>
            </m:oMathPara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gdzie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nary>
              </m:oMath>
            </m:oMathPara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gdzie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nary>
              </m:oMath>
            </m:oMathPara>
          </w:p>
        </w:tc>
      </w:tr>
      <w:tr w:rsidR="001111E3" w:rsidTr="001111E3">
        <w:tc>
          <w:tcPr>
            <w:tcW w:w="4503" w:type="dxa"/>
          </w:tcPr>
          <w:p w:rsidR="001111E3" w:rsidRDefault="001111E3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Pr="00281C18" w:rsidRDefault="00281C18" w:rsidP="00281C18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q=K-3</m:t>
                </m:r>
              </m:oMath>
            </m:oMathPara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6954E0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6954E0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645B59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645B59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645B59">
        <w:tc>
          <w:tcPr>
            <w:tcW w:w="9464" w:type="dxa"/>
            <w:gridSpan w:val="2"/>
          </w:tcPr>
          <w:p w:rsidR="0032174C" w:rsidRDefault="0032174C" w:rsidP="00645B59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BC649D" w:rsidRDefault="00BC649D" w:rsidP="00BC649D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C0376" w:rsidTr="00645B59">
        <w:tc>
          <w:tcPr>
            <w:tcW w:w="4503" w:type="dxa"/>
          </w:tcPr>
          <w:p w:rsidR="009C0376" w:rsidRDefault="009C0376" w:rsidP="00645B5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3F6980" w:rsidRDefault="003F6980" w:rsidP="003F6980">
            <w:pPr>
              <w:tabs>
                <w:tab w:val="left" w:pos="2967"/>
              </w:tabs>
              <w:spacing w:before="120" w:after="120"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Mo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9C0376" w:rsidRDefault="006954E0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8A0BBE" w:rsidRDefault="008A0BBE" w:rsidP="009C0376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modą</w:t>
            </w:r>
          </w:p>
          <w:p w:rsidR="009C0376" w:rsidRDefault="006954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6954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6954E0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Me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C877CB" w:rsidRDefault="006954E0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6954E0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/>
      </w:tblPr>
      <w:tblGrid>
        <w:gridCol w:w="4503"/>
        <w:gridCol w:w="4961"/>
      </w:tblGrid>
      <w:tr w:rsidR="00C877CB" w:rsidTr="00645B59">
        <w:tc>
          <w:tcPr>
            <w:tcW w:w="4503" w:type="dxa"/>
          </w:tcPr>
          <w:p w:rsidR="00C877CB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Kwartyl</w:t>
            </w:r>
            <w:proofErr w:type="spellEnd"/>
            <w:r w:rsidR="00C877CB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1C7D2B" w:rsidRDefault="006954E0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6954E0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645B59">
        <w:tc>
          <w:tcPr>
            <w:tcW w:w="4503" w:type="dxa"/>
          </w:tcPr>
          <w:p w:rsidR="00C877CB" w:rsidRDefault="00463669" w:rsidP="004636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C877CB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295C7E" w:rsidRDefault="006954E0" w:rsidP="001807F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1807F3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6954E0" w:rsidP="001807F3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1807F3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Me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*100%</m:t>
                </m:r>
              </m:oMath>
            </m:oMathPara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645B59">
        <w:tc>
          <w:tcPr>
            <w:tcW w:w="4503" w:type="dxa"/>
          </w:tcPr>
          <w:p w:rsidR="00DD5E5F" w:rsidRDefault="00DD5E5F" w:rsidP="00645B5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-Mo</m:t>
                </m:r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 gdzie  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B13F1B" w:rsidTr="00645B59">
        <w:tc>
          <w:tcPr>
            <w:tcW w:w="9464" w:type="dxa"/>
            <w:gridSpan w:val="2"/>
          </w:tcPr>
          <w:p w:rsidR="00B13F1B" w:rsidRDefault="00B13F1B" w:rsidP="00645B59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,gdzie   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877CB" w:rsidTr="00645B59">
        <w:tc>
          <w:tcPr>
            <w:tcW w:w="4503" w:type="dxa"/>
          </w:tcPr>
          <w:p w:rsidR="00C877CB" w:rsidRDefault="00C877CB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Pr="003F6980" w:rsidRDefault="003F6980" w:rsidP="003F6980">
            <w:pPr>
              <w:tabs>
                <w:tab w:val="left" w:pos="2967"/>
              </w:tabs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q=K-3</m:t>
                </m:r>
              </m:oMath>
            </m:oMathPara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DD35C0" w:rsidTr="00645B59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645B59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645B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645B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35.71429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645B59"/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35.75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37.79412 </w:t>
            </w:r>
          </w:p>
        </w:tc>
      </w:tr>
      <w:tr w:rsidR="00DD35C0" w:rsidTr="00645B59">
        <w:tc>
          <w:tcPr>
            <w:tcW w:w="5353" w:type="dxa"/>
          </w:tcPr>
          <w:p w:rsidR="00DD35C0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A50ACC">
              <w:rPr>
                <w:sz w:val="24"/>
              </w:rPr>
              <w:t xml:space="preserve"> </w:t>
            </w:r>
            <w:r w:rsidR="00DD35C0">
              <w:rPr>
                <w:sz w:val="24"/>
              </w:rPr>
              <w:t>Q1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34.26471 </w:t>
            </w:r>
          </w:p>
        </w:tc>
      </w:tr>
      <w:tr w:rsidR="00DD35C0" w:rsidTr="00645B59">
        <w:tc>
          <w:tcPr>
            <w:tcW w:w="5353" w:type="dxa"/>
          </w:tcPr>
          <w:p w:rsidR="00DD35C0" w:rsidRDefault="00463669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A50ACC">
              <w:rPr>
                <w:sz w:val="24"/>
              </w:rPr>
              <w:t xml:space="preserve"> </w:t>
            </w:r>
            <w:r w:rsidR="00DD35C0">
              <w:rPr>
                <w:sz w:val="24"/>
              </w:rPr>
              <w:t>Q3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24.4898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25.21008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4.948717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5.020964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3.510204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4.163866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4.867647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645B59"/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-0.03571429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-0.8191157 </w:t>
            </w:r>
          </w:p>
        </w:tc>
      </w:tr>
      <w:tr w:rsidR="00DD35C0" w:rsidTr="00645B59">
        <w:trPr>
          <w:trHeight w:val="58"/>
        </w:trPr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645B59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645B59">
            <w:r w:rsidRPr="007F74A8">
              <w:t xml:space="preserve">4.605208 </w:t>
            </w:r>
          </w:p>
        </w:tc>
      </w:tr>
      <w:tr w:rsidR="00DD35C0" w:rsidTr="00645B59">
        <w:tc>
          <w:tcPr>
            <w:tcW w:w="5353" w:type="dxa"/>
          </w:tcPr>
          <w:p w:rsidR="00DD35C0" w:rsidRDefault="00DD35C0" w:rsidP="00645B5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645B59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645B59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r>
              <w:rPr>
                <w:sz w:val="24"/>
              </w:rPr>
              <w:t>Kwartyl</w:t>
            </w:r>
            <w:bookmarkStart w:id="0" w:name="_GoBack"/>
            <w:bookmarkEnd w:id="0"/>
            <w:r w:rsidR="00DD35C0">
              <w:rPr>
                <w:sz w:val="24"/>
              </w:rPr>
              <w:t xml:space="preserve">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6954E0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6954E0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Kołmogorowa-Lillieforsa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6954E0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 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645B59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6954E0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</w:t>
      </w:r>
      <w:proofErr w:type="spellStart"/>
      <w:r>
        <w:rPr>
          <w:sz w:val="24"/>
          <w:szCs w:val="24"/>
        </w:rPr>
        <w:t>Fishera-Snedecora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=0,05 o stopniach swobody: </w:t>
      </w:r>
      <w:r w:rsidR="005476DC">
        <w:rPr>
          <w:sz w:val="24"/>
          <w:szCs w:val="24"/>
        </w:rPr>
        <w:t xml:space="preserve">u = 47 i v=34 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545">
        <w:rPr>
          <w:rFonts w:ascii="Lucida Console" w:hAnsi="Lucida Console"/>
          <w:color w:val="0000FF"/>
        </w:rPr>
        <w:t>&gt;</w:t>
      </w:r>
      <w:proofErr w:type="spellStart"/>
      <w:r w:rsidRPr="00EB6545">
        <w:rPr>
          <w:rFonts w:ascii="Lucida Console" w:hAnsi="Lucida Console"/>
          <w:color w:val="0000FF"/>
        </w:rPr>
        <w:t>wartosc_krytyczna_rozkladu_fishera</w:t>
      </w:r>
      <w:proofErr w:type="spellEnd"/>
      <w:r>
        <w:rPr>
          <w:rFonts w:ascii="Lucida Console" w:hAnsi="Lucida Console"/>
          <w:color w:val="0000FF"/>
        </w:rPr>
        <w:t xml:space="preserve"> =</w:t>
      </w:r>
      <w:r w:rsidR="002619EB">
        <w:rPr>
          <w:rFonts w:ascii="Lucida Console" w:hAnsi="Lucida Console"/>
          <w:color w:val="000000"/>
          <w:bdr w:val="none" w:sz="0" w:space="0" w:color="auto" w:frame="1"/>
        </w:rPr>
        <w:t xml:space="preserve"> 1.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721589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6954E0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6954E0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6954E0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Default="005F25D3" w:rsidP="00A50AC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 w:rsidR="002619EB">
        <w:rPr>
          <w:sz w:val="24"/>
          <w:szCs w:val="24"/>
        </w:rPr>
        <w:t xml:space="preserve">  to wartości </w:t>
      </w:r>
      <w:proofErr w:type="spellStart"/>
      <w:r w:rsidR="002619EB">
        <w:rPr>
          <w:sz w:val="24"/>
          <w:szCs w:val="24"/>
        </w:rPr>
        <w:t>kwantyli</w:t>
      </w:r>
      <w:proofErr w:type="spellEnd"/>
      <w:r w:rsidR="002619EB">
        <w:rPr>
          <w:sz w:val="24"/>
          <w:szCs w:val="24"/>
        </w:rPr>
        <w:t xml:space="preserve"> rozkładu </w:t>
      </w:r>
      <w:proofErr w:type="spellStart"/>
      <w:r>
        <w:rPr>
          <w:sz w:val="24"/>
          <w:szCs w:val="24"/>
        </w:rPr>
        <w:t>T-Studenta</w:t>
      </w:r>
      <w:proofErr w:type="spellEnd"/>
      <w:r>
        <w:rPr>
          <w:sz w:val="24"/>
          <w:szCs w:val="24"/>
        </w:rPr>
        <w:t>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76C5">
        <w:rPr>
          <w:rFonts w:ascii="Lucida Console" w:hAnsi="Lucida Console"/>
          <w:color w:val="0000FF"/>
        </w:rPr>
        <w:t>&gt;</w:t>
      </w:r>
      <w:proofErr w:type="spellStart"/>
      <w:r w:rsidRPr="003776C5">
        <w:rPr>
          <w:rFonts w:ascii="Lucida Console" w:hAnsi="Lucida Console"/>
          <w:color w:val="0000FF"/>
        </w:rPr>
        <w:t>wartosc_krytyczna_c</w:t>
      </w:r>
      <w:proofErr w:type="spellEnd"/>
      <w:r>
        <w:rPr>
          <w:rFonts w:ascii="Lucida Console" w:hAnsi="Lucida Console"/>
          <w:color w:val="0000FF"/>
        </w:rPr>
        <w:t xml:space="preserve"> = 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1.683006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Pr="00A50ACC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sectPr w:rsidR="005F25D3" w:rsidRPr="00A50ACC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565AB"/>
    <w:rsid w:val="00077A37"/>
    <w:rsid w:val="00105293"/>
    <w:rsid w:val="001111E3"/>
    <w:rsid w:val="0011682D"/>
    <w:rsid w:val="001807F3"/>
    <w:rsid w:val="001C7D2B"/>
    <w:rsid w:val="001F5936"/>
    <w:rsid w:val="002619EB"/>
    <w:rsid w:val="00281C18"/>
    <w:rsid w:val="00295C7E"/>
    <w:rsid w:val="002D0949"/>
    <w:rsid w:val="0032174C"/>
    <w:rsid w:val="0036705F"/>
    <w:rsid w:val="003741C2"/>
    <w:rsid w:val="003F6980"/>
    <w:rsid w:val="00443A40"/>
    <w:rsid w:val="00450FFF"/>
    <w:rsid w:val="00463669"/>
    <w:rsid w:val="00486AED"/>
    <w:rsid w:val="004E58D3"/>
    <w:rsid w:val="005476DC"/>
    <w:rsid w:val="005A64C5"/>
    <w:rsid w:val="005D7C8F"/>
    <w:rsid w:val="005F25D3"/>
    <w:rsid w:val="00645B59"/>
    <w:rsid w:val="00682924"/>
    <w:rsid w:val="00684AF2"/>
    <w:rsid w:val="006869B5"/>
    <w:rsid w:val="006954E0"/>
    <w:rsid w:val="006C3EC8"/>
    <w:rsid w:val="00717538"/>
    <w:rsid w:val="00793345"/>
    <w:rsid w:val="007D6929"/>
    <w:rsid w:val="008366C4"/>
    <w:rsid w:val="00890FBA"/>
    <w:rsid w:val="008A0BBE"/>
    <w:rsid w:val="008B3D22"/>
    <w:rsid w:val="0090766B"/>
    <w:rsid w:val="00923985"/>
    <w:rsid w:val="00935426"/>
    <w:rsid w:val="009C0376"/>
    <w:rsid w:val="00A272A8"/>
    <w:rsid w:val="00A50ACC"/>
    <w:rsid w:val="00AF62A7"/>
    <w:rsid w:val="00B13F1B"/>
    <w:rsid w:val="00B3216E"/>
    <w:rsid w:val="00B565AB"/>
    <w:rsid w:val="00BB63F2"/>
    <w:rsid w:val="00BC649D"/>
    <w:rsid w:val="00BE2ECB"/>
    <w:rsid w:val="00BE5A47"/>
    <w:rsid w:val="00BF243E"/>
    <w:rsid w:val="00C60AE4"/>
    <w:rsid w:val="00C877CB"/>
    <w:rsid w:val="00C97460"/>
    <w:rsid w:val="00CD0F7E"/>
    <w:rsid w:val="00CE219F"/>
    <w:rsid w:val="00CE3B14"/>
    <w:rsid w:val="00D07FFA"/>
    <w:rsid w:val="00D369A3"/>
    <w:rsid w:val="00D87143"/>
    <w:rsid w:val="00DD35C0"/>
    <w:rsid w:val="00DD5E5F"/>
    <w:rsid w:val="00E163C7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CB61-24FC-4B14-867D-8BEAB1CC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1507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46</cp:revision>
  <cp:lastPrinted>2018-06-14T13:01:00Z</cp:lastPrinted>
  <dcterms:created xsi:type="dcterms:W3CDTF">2018-06-02T14:03:00Z</dcterms:created>
  <dcterms:modified xsi:type="dcterms:W3CDTF">2018-06-14T13:02:00Z</dcterms:modified>
</cp:coreProperties>
</file>