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widowControl w:val="0"/>
        <w:spacing w:after="0" w:before="0" w:line="360" w:lineRule="auto"/>
        <w:ind w:left="0" w:right="63" w:firstLine="708.661417322834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keepNext w:val="1"/>
        <w:keepLines w:val="0"/>
        <w:widowControl w:val="0"/>
        <w:spacing w:after="0" w:before="0" w:line="360" w:lineRule="auto"/>
        <w:ind w:left="0" w:right="63" w:firstLine="708.661417322834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1"/>
        <w:keepLines w:val="0"/>
        <w:widowControl w:val="0"/>
        <w:spacing w:after="0" w:before="0" w:line="360" w:lineRule="auto"/>
        <w:ind w:left="0" w:right="63" w:firstLine="708.661417322834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PROGRAMA DE INICIAÇÃO CIENTÍFICA – 2025 </w:t>
      </w:r>
    </w:p>
    <w:p w:rsidR="00000000" w:rsidDel="00000000" w:rsidP="00000000" w:rsidRDefault="00000000" w:rsidRPr="00000000" w14:paraId="00000004">
      <w:pPr>
        <w:keepNext w:val="1"/>
        <w:keepLines w:val="0"/>
        <w:widowControl w:val="0"/>
        <w:spacing w:after="0" w:before="0" w:line="360" w:lineRule="auto"/>
        <w:ind w:left="0" w:right="61" w:firstLine="708.661417322834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RELATÓRIO FINAL</w:t>
      </w:r>
    </w:p>
    <w:p w:rsidR="00000000" w:rsidDel="00000000" w:rsidP="00000000" w:rsidRDefault="00000000" w:rsidRPr="00000000" w14:paraId="00000005">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1"/>
        <w:keepLines w:val="0"/>
        <w:widowControl w:val="0"/>
        <w:spacing w:after="0" w:before="0" w:line="360" w:lineRule="auto"/>
        <w:ind w:left="0"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INCLUSÃO FINANCEIRA DE JOVENS PERIFÉRICOS: COMPORTAMENTO E BARREIRAS NO ACESSO A SERVIÇOS FINANCEIROS</w:t>
      </w:r>
    </w:p>
    <w:p w:rsidR="00000000" w:rsidDel="00000000" w:rsidP="00000000" w:rsidRDefault="00000000" w:rsidRPr="00000000" w14:paraId="0000000F">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1"/>
        <w:keepLines w:val="0"/>
        <w:widowControl w:val="0"/>
        <w:spacing w:after="0" w:before="0" w:line="360" w:lineRule="auto"/>
        <w:ind w:left="0" w:firstLine="708.661417322834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14">
      <w:pPr>
        <w:keepNext w:val="1"/>
        <w:keepLines w:val="0"/>
        <w:widowControl w:val="0"/>
        <w:spacing w:after="0" w:before="0" w:line="360" w:lineRule="auto"/>
        <w:ind w:left="0"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ANDRADE, Marco Antonio</w:t>
      </w:r>
    </w:p>
    <w:p w:rsidR="00000000" w:rsidDel="00000000" w:rsidP="00000000" w:rsidRDefault="00000000" w:rsidRPr="00000000" w14:paraId="00000015">
      <w:pPr>
        <w:keepNext w:val="1"/>
        <w:keepLines w:val="0"/>
        <w:widowControl w:val="0"/>
        <w:spacing w:after="0" w:before="0" w:line="360" w:lineRule="auto"/>
        <w:ind w:left="0"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 João Vitor Silva</w:t>
      </w:r>
    </w:p>
    <w:p w:rsidR="00000000" w:rsidDel="00000000" w:rsidP="00000000" w:rsidRDefault="00000000" w:rsidRPr="00000000" w14:paraId="00000016">
      <w:pPr>
        <w:keepNext w:val="1"/>
        <w:keepLines w:val="0"/>
        <w:widowControl w:val="0"/>
        <w:spacing w:after="0" w:before="0" w:line="360" w:lineRule="auto"/>
        <w:ind w:left="0"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KRAKAUER, Patrícia Viveiros de Castro</w:t>
      </w:r>
    </w:p>
    <w:p w:rsidR="00000000" w:rsidDel="00000000" w:rsidP="00000000" w:rsidRDefault="00000000" w:rsidRPr="00000000" w14:paraId="00000017">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1"/>
        <w:keepLines w:val="0"/>
        <w:widowControl w:val="0"/>
        <w:spacing w:after="0" w:before="0" w:line="360" w:lineRule="auto"/>
        <w:ind w:left="0"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keepNext w:val="1"/>
        <w:keepLines w:val="0"/>
        <w:widowControl w:val="0"/>
        <w:spacing w:after="0" w:before="0" w:line="360" w:lineRule="auto"/>
        <w:ind w:left="0" w:right="0" w:firstLine="708.6614173228347"/>
        <w:jc w:val="both"/>
        <w:rPr>
          <w:b w:val="1"/>
          <w:bCs w:val="1"/>
        </w:rPr>
      </w:pPr>
      <w:r w:rsidDel="00000000" w:rsidR="00000000" w:rsidRPr="00000000">
        <w:rPr>
          <w:b w:val="1"/>
          <w:bCs w:val="1"/>
          <w:rtl w:val="0"/>
        </w:rPr>
        <w:t xml:space="preserve">RESUMO </w:t>
      </w:r>
    </w:p>
    <w:p w:rsidR="00000000" w:rsidDel="00000000" w:rsidP="00000000" w:rsidRDefault="00000000" w:rsidRPr="00000000" w14:paraId="0000002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relatório apresenta os resultados finais da pesquisa “Inclusão Financeira de Jovens Periféricos”, realizada com jovens da Grande São Paulo, combinando dados primários (survey quantitativo e questões abertas qualitativas) e dados secundários (ANBIMA, Banco Central, Serasa, PNAD/IBGE e literatura sociológica e de marketing).</w:t>
      </w:r>
    </w:p>
    <w:p w:rsidR="00000000" w:rsidDel="00000000" w:rsidP="00000000" w:rsidRDefault="00000000" w:rsidRPr="00000000" w14:paraId="0000002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achados revelam que a juventude periférica vive uma inclusão financeira incompleta: acesso tecnológico e bancário amplo convive com vulnerabilidade emocional, endividamento, informalidade laboral e baixa proteção financeira. A digitalização expandiu o uso de apps bancários, mas não aumentou a estabilidade financeira.</w:t>
      </w:r>
    </w:p>
    <w:p w:rsidR="00000000" w:rsidDel="00000000" w:rsidP="00000000" w:rsidRDefault="00000000" w:rsidRPr="00000000" w14:paraId="00000024">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confirma quatro hipóteses principais:</w:t>
      </w:r>
    </w:p>
    <w:p w:rsidR="00000000" w:rsidDel="00000000" w:rsidP="00000000" w:rsidRDefault="00000000" w:rsidRPr="00000000" w14:paraId="0000002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morar na periferia não é barreira digital;</w:t>
      </w:r>
    </w:p>
    <w:p w:rsidR="00000000" w:rsidDel="00000000" w:rsidP="00000000" w:rsidRDefault="00000000" w:rsidRPr="00000000" w14:paraId="0000002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escolaridade maior não reduz inadimplência;</w:t>
      </w:r>
    </w:p>
    <w:p w:rsidR="00000000" w:rsidDel="00000000" w:rsidP="00000000" w:rsidRDefault="00000000" w:rsidRPr="00000000" w14:paraId="0000002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guardar dinheiro não significa ter fundo de emergência;</w:t>
      </w:r>
    </w:p>
    <w:p w:rsidR="00000000" w:rsidDel="00000000" w:rsidP="00000000" w:rsidRDefault="00000000" w:rsidRPr="00000000" w14:paraId="00000028">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 motivo do crédito é indicador central de risco — crédito para necessidades básicas aumenta inadimplência de forma expressiva.</w:t>
      </w:r>
    </w:p>
    <w:p w:rsidR="00000000" w:rsidDel="00000000" w:rsidP="00000000" w:rsidRDefault="00000000" w:rsidRPr="00000000" w14:paraId="0000002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análises qualitativas (Blocos B, C e F — 231 respostas abertas) revelam demandas explícitas dos jovens: comunicação acessível, educação financeira embutida nos aplicativos, atendimento humano (e não apenas IA), produtos compatíveis com renda variável, juros justos e uma comunicação que respeite e de protagonismo a identidade periférica.</w:t>
      </w:r>
    </w:p>
    <w:p w:rsidR="00000000" w:rsidDel="00000000" w:rsidP="00000000" w:rsidRDefault="00000000" w:rsidRPr="00000000" w14:paraId="0000002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triangulação com ANBIMA (2024) mostra que programas genéricos de educação financeira são insuficientes: os jovens pedem orientação contextualizada, personalizada e aplicada ao cotidiano de baixa renda.</w:t>
      </w:r>
    </w:p>
    <w:p w:rsidR="00000000" w:rsidDel="00000000" w:rsidP="00000000" w:rsidRDefault="00000000" w:rsidRPr="00000000" w14:paraId="0000002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permitem identificar tensões centrais, barreiras estruturais, emocionais e de mercado, além de oportunidades para instituições financeiras e políticas públicas.</w:t>
      </w:r>
    </w:p>
    <w:p w:rsidR="00000000" w:rsidDel="00000000" w:rsidP="00000000" w:rsidRDefault="00000000" w:rsidRPr="00000000" w14:paraId="0000002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Palavras-chave: Juventude periférica; Inclusão financeira; Educação financeira; Comportamento do consumidor; Vulnerabilidade; Marketing inclusivo.</w:t>
      </w:r>
    </w:p>
    <w:p w:rsidR="00000000" w:rsidDel="00000000" w:rsidP="00000000" w:rsidRDefault="00000000" w:rsidRPr="00000000" w14:paraId="0000002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1"/>
        <w:keepLines w:val="0"/>
        <w:widowControl w:val="0"/>
        <w:numPr>
          <w:ilvl w:val="0"/>
          <w:numId w:val="1"/>
        </w:numPr>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 (CONTEXTO E JUSTIFICATIVA)</w:t>
      </w:r>
      <w:r w:rsidDel="00000000" w:rsidR="00000000" w:rsidRPr="00000000">
        <w:rPr>
          <w:rtl w:val="0"/>
        </w:rPr>
      </w:r>
    </w:p>
    <w:p w:rsidR="00000000" w:rsidDel="00000000" w:rsidP="00000000" w:rsidRDefault="00000000" w:rsidRPr="00000000" w14:paraId="0000002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inclusão financeira é um tema central no debate econômico e social brasileiro, sobretudo quando se observa a juventude das periferias urbanas, historicamente afastada dos serviços bancários tradicionais. Apesar dos avanços recentes – como a digitalização dos serviços, o crescimento das fintechs e a popularização de meios eletrônicos de pagamento – ainda existe um contingente expressivo de jovens com acesso limitado ou inexistente ao sistema financeiro formal, o que compromete seu protagonismo econômico e restringe suas oportunidades de mobilidade social.</w:t>
      </w:r>
    </w:p>
    <w:p w:rsidR="00000000" w:rsidDel="00000000" w:rsidP="00000000" w:rsidRDefault="00000000" w:rsidRPr="00000000" w14:paraId="0000003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próprio conceito de mobilidade social, frequentemente associado ao “mito do mérito” e à narrativa de que o esforço individual seria suficiente para a ascensão econômica, precisa ser problematizado. Como lembra Zygmunt Bauman (2013) em </w:t>
      </w:r>
      <w:r w:rsidDel="00000000" w:rsidR="00000000" w:rsidRPr="00000000">
        <w:rPr>
          <w:rFonts w:ascii="Times New Roman" w:cs="Times New Roman" w:eastAsia="Times New Roman" w:hAnsi="Times New Roman"/>
          <w:i w:val="1"/>
          <w:iCs w:val="1"/>
          <w:sz w:val="24"/>
          <w:szCs w:val="24"/>
          <w:rtl w:val="0"/>
        </w:rPr>
        <w:t xml:space="preserve">Danos Colaterais</w:t>
      </w:r>
      <w:r w:rsidDel="00000000" w:rsidR="00000000" w:rsidRPr="00000000">
        <w:rPr>
          <w:rFonts w:ascii="Times New Roman" w:cs="Times New Roman" w:eastAsia="Times New Roman" w:hAnsi="Times New Roman"/>
          <w:sz w:val="24"/>
          <w:szCs w:val="24"/>
          <w:rtl w:val="0"/>
        </w:rPr>
        <w:t xml:space="preserve">, o progresso econômico e as políticas macro priorizam determinados grupos, deixando que populações vulneráveis arquem com os custos sociais de exclusões persistentes. No Brasil, esse fenômeno se reflete na manutenção de um modelo financeiro que, mesmo sob a promessa de democratização digital, continua a excluir jovens periféricos, negros e de baixa renda.</w:t>
      </w:r>
    </w:p>
    <w:p w:rsidR="00000000" w:rsidDel="00000000" w:rsidP="00000000" w:rsidRDefault="00000000" w:rsidRPr="00000000" w14:paraId="0000003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do Banco Central mostram que 86,5% dos jovens de 15 a 29 anos possuem conta em banco – um indicativo de que o acesso formal avançou. Entretanto, análises da PNADC (IBGE, 2023) revelam que 19,8% desses jovens são “nem-nem” (não estudam nem trabalham) e que quase 39,2% da população economicamente ativa está na informalidade. Isso significa que a inclusão, na prática, não se traduz automaticamente em uso qualificado ou em oportunidades reais de melhoria de vida.</w:t>
      </w:r>
    </w:p>
    <w:p w:rsidR="00000000" w:rsidDel="00000000" w:rsidP="00000000" w:rsidRDefault="00000000" w:rsidRPr="00000000" w14:paraId="0000003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jovens enfrentam barreiras tecnológicas, culturais e simbólicas, além de uma relação histórica de desconfiança com instituições financeiras, o que aprofunda o ciclo de exclusão. Do ponto de vista do marketing, trata-se de um público com enorme potencial (latent demand) de engajamento, mas que exige estratégias de comunicação autênticas, conectadas às suas narrativas e experiências de vida. Compreender como eles percebem, acessam e utilizam os serviços financeiros é, portanto, um passo essencial para superar o mito da meritocracia e propor soluções que promovam uma inclusão financeira de fato emancipatória.</w:t>
      </w:r>
    </w:p>
    <w:p w:rsidR="00000000" w:rsidDel="00000000" w:rsidP="00000000" w:rsidRDefault="00000000" w:rsidRPr="00000000" w14:paraId="0000003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keepNext w:val="1"/>
        <w:keepLines w:val="0"/>
        <w:widowControl w:val="0"/>
        <w:numPr>
          <w:ilvl w:val="0"/>
          <w:numId w:val="17"/>
        </w:numPr>
        <w:spacing w:after="0" w:before="0" w:line="360" w:lineRule="auto"/>
        <w:ind w:left="0" w:right="0" w:firstLine="708.6614173228347"/>
        <w:jc w:val="both"/>
        <w:rPr/>
      </w:pPr>
      <w:r w:rsidDel="00000000" w:rsidR="00000000" w:rsidRPr="00000000">
        <w:rPr>
          <w:b w:val="1"/>
          <w:bCs w:val="1"/>
          <w:rtl w:val="0"/>
        </w:rPr>
        <w:t xml:space="preserve">PROBLEMA E OBJETIVOS </w:t>
      </w:r>
    </w:p>
    <w:p w:rsidR="00000000" w:rsidDel="00000000" w:rsidP="00000000" w:rsidRDefault="00000000" w:rsidRPr="00000000" w14:paraId="0000003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bookmarkStart w:colFirst="0" w:colLast="0" w:name="_mb408uekt5fo" w:id="0"/>
      <w:bookmarkEnd w:id="0"/>
      <w:r w:rsidDel="00000000" w:rsidR="00000000" w:rsidRPr="00000000">
        <w:rPr>
          <w:rFonts w:ascii="Times New Roman" w:cs="Times New Roman" w:eastAsia="Times New Roman" w:hAnsi="Times New Roman"/>
          <w:b w:val="1"/>
          <w:bCs w:val="1"/>
          <w:sz w:val="24"/>
          <w:szCs w:val="24"/>
          <w:rtl w:val="0"/>
        </w:rPr>
        <w:t xml:space="preserve">Problema de pesquisa:</w:t>
        <w:br w:type="textWrapping"/>
      </w:r>
      <w:r w:rsidDel="00000000" w:rsidR="00000000" w:rsidRPr="00000000">
        <w:rPr>
          <w:rFonts w:ascii="Times New Roman" w:cs="Times New Roman" w:eastAsia="Times New Roman" w:hAnsi="Times New Roman"/>
          <w:sz w:val="24"/>
          <w:szCs w:val="24"/>
          <w:rtl w:val="0"/>
        </w:rPr>
        <w:t xml:space="preserve"> Quais são as barreiras e motivações da inclusão financeira entre jovens periféricos, e como o marketing pode atuar para ampliar esse acesso e dialogar com esse público?</w:t>
      </w:r>
    </w:p>
    <w:p w:rsidR="00000000" w:rsidDel="00000000" w:rsidP="00000000" w:rsidRDefault="00000000" w:rsidRPr="00000000" w14:paraId="0000003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geral:</w:t>
        <w:br w:type="textWrapping"/>
      </w:r>
      <w:r w:rsidDel="00000000" w:rsidR="00000000" w:rsidRPr="00000000">
        <w:rPr>
          <w:rFonts w:ascii="Times New Roman" w:cs="Times New Roman" w:eastAsia="Times New Roman" w:hAnsi="Times New Roman"/>
          <w:sz w:val="24"/>
          <w:szCs w:val="24"/>
          <w:rtl w:val="0"/>
        </w:rPr>
        <w:t xml:space="preserve">Investigar o comportamento e as barreiras enfrentadas por jovens periféricos no acesso e uso de serviços financeiros formais, considerando dimensões de escolaridade, raça/cor, endividamento e informalidade.</w:t>
      </w:r>
    </w:p>
    <w:p w:rsidR="00000000" w:rsidDel="00000000" w:rsidP="00000000" w:rsidRDefault="00000000" w:rsidRPr="00000000" w14:paraId="0000003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keepNext w:val="1"/>
        <w:keepLines w:val="0"/>
        <w:widowControl w:val="0"/>
        <w:numPr>
          <w:ilvl w:val="0"/>
          <w:numId w:val="17"/>
        </w:numPr>
        <w:spacing w:after="0" w:before="0" w:line="360" w:lineRule="auto"/>
        <w:ind w:left="0" w:right="0" w:firstLine="708.6614173228347"/>
        <w:jc w:val="both"/>
        <w:rPr/>
      </w:pPr>
      <w:r w:rsidDel="00000000" w:rsidR="00000000" w:rsidRPr="00000000">
        <w:rPr>
          <w:b w:val="1"/>
          <w:bCs w:val="1"/>
          <w:rtl w:val="0"/>
        </w:rPr>
        <w:t xml:space="preserve">FUNDAMENTOS TEÓRICOS </w:t>
      </w:r>
    </w:p>
    <w:p w:rsidR="00000000" w:rsidDel="00000000" w:rsidP="00000000" w:rsidRDefault="00000000" w:rsidRPr="00000000" w14:paraId="0000003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Inclusão Financeira e Juventude Periférica</w:t>
        <w:br w:type="textWrapping"/>
      </w:r>
      <w:r w:rsidDel="00000000" w:rsidR="00000000" w:rsidRPr="00000000">
        <w:rPr>
          <w:rFonts w:ascii="Times New Roman" w:cs="Times New Roman" w:eastAsia="Times New Roman" w:hAnsi="Times New Roman"/>
          <w:sz w:val="24"/>
          <w:szCs w:val="24"/>
          <w:rtl w:val="0"/>
        </w:rPr>
        <w:t xml:space="preserve"> Segundo o Banco Central (2022), mais de 28 milhões de brasileiros não possuem conta bancária, sendo a maioria jovens, negros e moradores de periferias. PRATES E PERUFFO,2020)</w:t>
        <w:br w:type="textWrapping"/>
        <w:t xml:space="preserve">argumentam que a exclusão financeira é tanto econômica quanto simbólica. Para Bourdieu (1986), os jovens carecem de “capitais” estruturais que funcionam como amortecedores de risco — o que torna pequenas oscilações financeiras profundamente impactantes.</w:t>
      </w:r>
    </w:p>
    <w:p w:rsidR="00000000" w:rsidDel="00000000" w:rsidP="00000000" w:rsidRDefault="00000000" w:rsidRPr="00000000" w14:paraId="0000003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Marketing Social e Comunicação Inclusiva</w:t>
        <w:br w:type="textWrapping"/>
      </w:r>
      <w:r w:rsidDel="00000000" w:rsidR="00000000" w:rsidRPr="00000000">
        <w:rPr>
          <w:rFonts w:ascii="Times New Roman" w:cs="Times New Roman" w:eastAsia="Times New Roman" w:hAnsi="Times New Roman"/>
          <w:sz w:val="24"/>
          <w:szCs w:val="24"/>
          <w:rtl w:val="0"/>
        </w:rPr>
        <w:t xml:space="preserve"> O marketing social, conforme Kotler e Lee (2008), tem o papel de influenciar comportamentos em prol do bem coletivo. Já o marketing inclusivo busca representar e integrar de forma autêntica grupos historicamente marginalizados (SANDHU, 2020).</w:t>
      </w:r>
    </w:p>
    <w:p w:rsidR="00000000" w:rsidDel="00000000" w:rsidP="00000000" w:rsidRDefault="00000000" w:rsidRPr="00000000" w14:paraId="0000003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Comportamento Financeiro, Cidadania e Danos Colaterais</w:t>
        <w:br w:type="textWrapping"/>
      </w:r>
      <w:r w:rsidDel="00000000" w:rsidR="00000000" w:rsidRPr="00000000">
        <w:rPr>
          <w:rFonts w:ascii="Times New Roman" w:cs="Times New Roman" w:eastAsia="Times New Roman" w:hAnsi="Times New Roman"/>
          <w:sz w:val="24"/>
          <w:szCs w:val="24"/>
          <w:rtl w:val="0"/>
        </w:rPr>
        <w:t xml:space="preserve"> A cidadania financeira envolve o direito de participar plenamente do sistema econômico com acesso a produtos, serviços e conhecimento necessários para uma vida econômica saudável. Bauman (2013) destaca que as desigualdades contemporâneas são, muitas vezes, efeitos colaterais de decisões macro que não consideram o impacto real sobre os grupos mais vulneráveis. No Brasil, essa dinâmica se manifesta na exclusão persistente de jovens periféricos, que enfrentam não apenas limitações materiais, mas também barreiras culturais e simbólicas</w:t>
      </w:r>
    </w:p>
    <w:p w:rsidR="00000000" w:rsidDel="00000000" w:rsidP="00000000" w:rsidRDefault="00000000" w:rsidRPr="00000000" w14:paraId="0000003E">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bookmarkStart w:colFirst="0" w:colLast="0" w:name="_7w3kr5qgxqh6" w:id="1"/>
      <w:bookmarkEnd w:id="1"/>
      <w:r w:rsidDel="00000000" w:rsidR="00000000" w:rsidRPr="00000000">
        <w:rPr>
          <w:rFonts w:ascii="Times New Roman" w:cs="Times New Roman" w:eastAsia="Times New Roman" w:hAnsi="Times New Roman"/>
          <w:b w:val="1"/>
          <w:bCs w:val="1"/>
          <w:sz w:val="24"/>
          <w:szCs w:val="24"/>
          <w:rtl w:val="0"/>
        </w:rPr>
        <w:t xml:space="preserve">3.4 Saúde Financeira: O Índice de Saúde Financeira do Brasileiro</w:t>
        <w:br w:type="textWrapping"/>
      </w:r>
      <w:r w:rsidDel="00000000" w:rsidR="00000000" w:rsidRPr="00000000">
        <w:rPr>
          <w:rFonts w:ascii="Times New Roman" w:cs="Times New Roman" w:eastAsia="Times New Roman" w:hAnsi="Times New Roman"/>
          <w:sz w:val="24"/>
          <w:szCs w:val="24"/>
          <w:rtl w:val="0"/>
        </w:rPr>
        <w:t xml:space="preserve"> (I-SFB) ficou em 56,7 pontos em 2024, colocando a maioria dos brasileiros em faixa “baixa” ou “ok”, o que confirma a vulnerabilidade econômica desse público.</w:t>
      </w:r>
    </w:p>
    <w:p w:rsidR="00000000" w:rsidDel="00000000" w:rsidP="00000000" w:rsidRDefault="00000000" w:rsidRPr="00000000" w14:paraId="0000004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bookmarkStart w:colFirst="0" w:colLast="0" w:name="_k65j896ksp5j" w:id="2"/>
      <w:bookmarkEnd w:id="2"/>
      <w:r w:rsidDel="00000000" w:rsidR="00000000" w:rsidRPr="00000000">
        <w:rPr>
          <w:rtl w:val="0"/>
        </w:rPr>
      </w:r>
    </w:p>
    <w:p w:rsidR="00000000" w:rsidDel="00000000" w:rsidP="00000000" w:rsidRDefault="00000000" w:rsidRPr="00000000" w14:paraId="00000041">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Educação financeira e achados ANBIMA</w:t>
        <w:br w:type="textWrapping"/>
      </w:r>
      <w:r w:rsidDel="00000000" w:rsidR="00000000" w:rsidRPr="00000000">
        <w:rPr>
          <w:rFonts w:ascii="Times New Roman" w:cs="Times New Roman" w:eastAsia="Times New Roman" w:hAnsi="Times New Roman"/>
          <w:sz w:val="24"/>
          <w:szCs w:val="24"/>
          <w:rtl w:val="0"/>
        </w:rPr>
        <w:t xml:space="preserve">A ANBIMA (2024) identificou:</w:t>
      </w:r>
      <w:r w:rsidDel="00000000" w:rsidR="00000000" w:rsidRPr="00000000">
        <w:rPr>
          <w:rtl w:val="0"/>
        </w:rPr>
      </w:r>
    </w:p>
    <w:p w:rsidR="00000000" w:rsidDel="00000000" w:rsidP="00000000" w:rsidRDefault="00000000" w:rsidRPr="00000000" w14:paraId="00000042">
      <w:pPr>
        <w:keepNext w:val="1"/>
        <w:keepLines w:val="0"/>
        <w:widowControl w:val="0"/>
        <w:numPr>
          <w:ilvl w:val="0"/>
          <w:numId w:val="6"/>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queda no número de programas, mas aumento de alcance digital;</w:t>
      </w:r>
    </w:p>
    <w:p w:rsidR="00000000" w:rsidDel="00000000" w:rsidP="00000000" w:rsidRDefault="00000000" w:rsidRPr="00000000" w14:paraId="00000043">
      <w:pPr>
        <w:keepNext w:val="1"/>
        <w:keepLines w:val="0"/>
        <w:widowControl w:val="0"/>
        <w:numPr>
          <w:ilvl w:val="0"/>
          <w:numId w:val="6"/>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ausência de segmentação por classe, raça ou território;</w:t>
      </w:r>
    </w:p>
    <w:p w:rsidR="00000000" w:rsidDel="00000000" w:rsidP="00000000" w:rsidRDefault="00000000" w:rsidRPr="00000000" w14:paraId="00000044">
      <w:pPr>
        <w:keepNext w:val="1"/>
        <w:keepLines w:val="0"/>
        <w:widowControl w:val="0"/>
        <w:numPr>
          <w:ilvl w:val="0"/>
          <w:numId w:val="6"/>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dependência crescente de finfluencers;</w:t>
      </w:r>
    </w:p>
    <w:p w:rsidR="00000000" w:rsidDel="00000000" w:rsidP="00000000" w:rsidRDefault="00000000" w:rsidRPr="00000000" w14:paraId="00000045">
      <w:pPr>
        <w:keepNext w:val="1"/>
        <w:keepLines w:val="0"/>
        <w:widowControl w:val="0"/>
        <w:numPr>
          <w:ilvl w:val="0"/>
          <w:numId w:val="6"/>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linguagem excessivamente técnica;</w:t>
      </w:r>
    </w:p>
    <w:p w:rsidR="00000000" w:rsidDel="00000000" w:rsidP="00000000" w:rsidRDefault="00000000" w:rsidRPr="00000000" w14:paraId="00000046">
      <w:pPr>
        <w:keepNext w:val="1"/>
        <w:keepLines w:val="0"/>
        <w:widowControl w:val="0"/>
        <w:numPr>
          <w:ilvl w:val="0"/>
          <w:numId w:val="6"/>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baixa eficácia emocional e comportamental.</w:t>
      </w:r>
    </w:p>
    <w:p w:rsidR="00000000" w:rsidDel="00000000" w:rsidP="00000000" w:rsidRDefault="00000000" w:rsidRPr="00000000" w14:paraId="0000004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MÉTODO </w:t>
      </w:r>
      <w:r w:rsidDel="00000000" w:rsidR="00000000" w:rsidRPr="00000000">
        <w:rPr>
          <w:rtl w:val="0"/>
        </w:rPr>
      </w:r>
    </w:p>
    <w:p w:rsidR="00000000" w:rsidDel="00000000" w:rsidP="00000000" w:rsidRDefault="00000000" w:rsidRPr="00000000" w14:paraId="0000004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bookmarkStart w:colFirst="0" w:colLast="0" w:name="_xa4nk2jl8uow" w:id="3"/>
      <w:bookmarkEnd w:id="3"/>
      <w:r w:rsidDel="00000000" w:rsidR="00000000" w:rsidRPr="00000000">
        <w:rPr>
          <w:rFonts w:ascii="Times New Roman" w:cs="Times New Roman" w:eastAsia="Times New Roman" w:hAnsi="Times New Roman"/>
          <w:sz w:val="24"/>
          <w:szCs w:val="24"/>
          <w:rtl w:val="0"/>
        </w:rPr>
        <w:t xml:space="preserve">Esta pesquisa adota uma abordagem mista (quantitativa e qualitativa), com caráter exploratório e descritivo (GIL, 2019). O método principal será levantamento com questionário estruturado, aplicado digitalmente e presencialmente com jovens de 15 a 30 anos, moradores de periferias da Grande SP.</w:t>
      </w:r>
    </w:p>
    <w:p w:rsidR="00000000" w:rsidDel="00000000" w:rsidP="00000000" w:rsidRDefault="00000000" w:rsidRPr="00000000" w14:paraId="0000004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amostragem é não probabilística por conveniência, alcançando respondentes em coletivos, escolas, redes sociais e espaços culturais. Os dados quantitativos serão analisados com estatística descritiva (frequência, média), e os dados qualitativos por análise de conteúdo (BARDIN, 2011).</w:t>
      </w:r>
    </w:p>
    <w:p w:rsidR="00000000" w:rsidDel="00000000" w:rsidP="00000000" w:rsidRDefault="00000000" w:rsidRPr="00000000" w14:paraId="0000004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secundários serão coletados em relatórios do Banco Central, IBGE e FEBRABAN.</w:t>
      </w:r>
    </w:p>
    <w:p w:rsidR="00000000" w:rsidDel="00000000" w:rsidP="00000000" w:rsidRDefault="00000000" w:rsidRPr="00000000" w14:paraId="0000004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Limitações: amostra por conveniência; autorrelato; recorte territorial.</w:t>
      </w:r>
    </w:p>
    <w:p w:rsidR="00000000" w:rsidDel="00000000" w:rsidP="00000000" w:rsidRDefault="00000000" w:rsidRPr="00000000" w14:paraId="0000004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pStyle w:val="Heading1"/>
        <w:keepNext w:val="1"/>
        <w:keepLines w:val="0"/>
        <w:widowControl w:val="0"/>
        <w:spacing w:after="0" w:before="0" w:line="360" w:lineRule="auto"/>
        <w:ind w:left="0" w:right="0" w:firstLine="708.6614173228347"/>
        <w:jc w:val="both"/>
        <w:rPr>
          <w:b w:val="1"/>
          <w:bCs w:val="1"/>
        </w:rPr>
      </w:pPr>
      <w:r w:rsidDel="00000000" w:rsidR="00000000" w:rsidRPr="00000000">
        <w:rPr>
          <w:b w:val="1"/>
          <w:bCs w:val="1"/>
          <w:rtl w:val="0"/>
        </w:rPr>
        <w:t xml:space="preserve">5.1. RESULTADOS</w:t>
      </w:r>
    </w:p>
    <w:p w:rsidR="00000000" w:rsidDel="00000000" w:rsidP="00000000" w:rsidRDefault="00000000" w:rsidRPr="00000000" w14:paraId="0000004F">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Perfil da amostra</w:t>
      </w:r>
    </w:p>
    <w:p w:rsidR="00000000" w:rsidDel="00000000" w:rsidP="00000000" w:rsidRDefault="00000000" w:rsidRPr="00000000" w14:paraId="00000050">
      <w:pPr>
        <w:keepNext w:val="1"/>
        <w:keepLines w:val="0"/>
        <w:widowControl w:val="0"/>
        <w:numPr>
          <w:ilvl w:val="0"/>
          <w:numId w:val="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Predomínio de ensino superior incompleto e superior completo.</w:t>
      </w:r>
    </w:p>
    <w:p w:rsidR="00000000" w:rsidDel="00000000" w:rsidP="00000000" w:rsidRDefault="00000000" w:rsidRPr="00000000" w14:paraId="00000051">
      <w:pPr>
        <w:keepNext w:val="1"/>
        <w:keepLines w:val="0"/>
        <w:widowControl w:val="0"/>
        <w:numPr>
          <w:ilvl w:val="0"/>
          <w:numId w:val="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Alta taxa de moradores da periferia. (61%)</w:t>
      </w:r>
    </w:p>
    <w:p w:rsidR="00000000" w:rsidDel="00000000" w:rsidP="00000000" w:rsidRDefault="00000000" w:rsidRPr="00000000" w14:paraId="00000052">
      <w:pPr>
        <w:keepNext w:val="1"/>
        <w:keepLines w:val="0"/>
        <w:widowControl w:val="0"/>
        <w:numPr>
          <w:ilvl w:val="0"/>
          <w:numId w:val="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Uso intensivo de apps bancários e Pix.</w:t>
      </w:r>
    </w:p>
    <w:p w:rsidR="00000000" w:rsidDel="00000000" w:rsidP="00000000" w:rsidRDefault="00000000" w:rsidRPr="00000000" w14:paraId="0000005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Periferia não é sinônimo de exclusão digital.</w:t>
      </w:r>
    </w:p>
    <w:p w:rsidR="00000000" w:rsidDel="00000000" w:rsidP="00000000" w:rsidRDefault="00000000" w:rsidRPr="00000000" w14:paraId="00000054">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Resultados Quantitativos</w:t>
      </w:r>
    </w:p>
    <w:p w:rsidR="00000000" w:rsidDel="00000000" w:rsidP="00000000" w:rsidRDefault="00000000" w:rsidRPr="00000000" w14:paraId="0000005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5.2.1. Escolaridade × Periferia × Inadimplência</w:t>
      </w:r>
      <w:r w:rsidDel="00000000" w:rsidR="00000000" w:rsidRPr="00000000">
        <w:rPr>
          <w:rtl w:val="0"/>
        </w:rPr>
      </w:r>
    </w:p>
    <w:p w:rsidR="00000000" w:rsidDel="00000000" w:rsidP="00000000" w:rsidRDefault="00000000" w:rsidRPr="00000000" w14:paraId="0000005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Ensino superior incompleto → estresse (33,3%) e cortes básicos (26,7%).</w:t>
      </w:r>
      <w:r w:rsidDel="00000000" w:rsidR="00000000" w:rsidRPr="00000000">
        <w:rPr>
          <w:rtl w:val="0"/>
        </w:rPr>
      </w:r>
    </w:p>
    <w:p w:rsidR="00000000" w:rsidDel="00000000" w:rsidP="00000000" w:rsidRDefault="00000000" w:rsidRPr="00000000" w14:paraId="00000058">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Ensino médio completo → ajuda familiar (50%) e renda extra (50%).</w:t>
      </w:r>
      <w:r w:rsidDel="00000000" w:rsidR="00000000" w:rsidRPr="00000000">
        <w:rPr>
          <w:rtl w:val="0"/>
        </w:rPr>
      </w:r>
    </w:p>
    <w:p w:rsidR="00000000" w:rsidDel="00000000" w:rsidP="00000000" w:rsidRDefault="00000000" w:rsidRPr="00000000" w14:paraId="0000005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Ensino superior completo → estresse (50%) e cortes básicos (50%).</w:t>
      </w:r>
      <w:r w:rsidDel="00000000" w:rsidR="00000000" w:rsidRPr="00000000">
        <w:rPr>
          <w:rtl w:val="0"/>
        </w:rPr>
      </w:r>
    </w:p>
    <w:p w:rsidR="00000000" w:rsidDel="00000000" w:rsidP="00000000" w:rsidRDefault="00000000" w:rsidRPr="00000000" w14:paraId="0000005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Escolaridade não protege do risco — pode amplificá-lo.</w:t>
      </w:r>
    </w:p>
    <w:p w:rsidR="00000000" w:rsidDel="00000000" w:rsidP="00000000" w:rsidRDefault="00000000" w:rsidRPr="00000000" w14:paraId="0000005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5.2.2. Renda × Fundo de Emergência</w:t>
      </w:r>
      <w:r w:rsidDel="00000000" w:rsidR="00000000" w:rsidRPr="00000000">
        <w:rPr>
          <w:rtl w:val="0"/>
        </w:rPr>
      </w:r>
    </w:p>
    <w:p w:rsidR="00000000" w:rsidDel="00000000" w:rsidP="00000000" w:rsidRDefault="00000000" w:rsidRPr="00000000" w14:paraId="0000005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Mesmo entre quem ganha acima de 5 SM, apenas 33% guardam com regularidade.</w:t>
      </w:r>
    </w:p>
    <w:p w:rsidR="00000000" w:rsidDel="00000000" w:rsidP="00000000" w:rsidRDefault="00000000" w:rsidRPr="00000000" w14:paraId="0000005E">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r w:rsidDel="00000000" w:rsidR="00000000" w:rsidRPr="00000000">
        <w:rPr>
          <w:rFonts w:ascii="Gungsuh" w:cs="Gungsuh" w:eastAsia="Gungsuh" w:hAnsi="Gungsuh"/>
          <w:sz w:val="24"/>
          <w:szCs w:val="24"/>
          <w:rtl w:val="0"/>
        </w:rPr>
        <w:t xml:space="preserve"> Guardar dinheiro ≠ ter fundo.</w:t>
      </w:r>
      <w:r w:rsidDel="00000000" w:rsidR="00000000" w:rsidRPr="00000000">
        <w:rPr>
          <w:rtl w:val="0"/>
        </w:rPr>
      </w:r>
    </w:p>
    <w:p w:rsidR="00000000" w:rsidDel="00000000" w:rsidP="00000000" w:rsidRDefault="00000000" w:rsidRPr="00000000" w14:paraId="0000005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5.2.3. Motivo do crédito × inadimplência</w:t>
      </w:r>
      <w:r w:rsidDel="00000000" w:rsidR="00000000" w:rsidRPr="00000000">
        <w:rPr>
          <w:rtl w:val="0"/>
        </w:rPr>
      </w:r>
    </w:p>
    <w:p w:rsidR="00000000" w:rsidDel="00000000" w:rsidP="00000000" w:rsidRDefault="00000000" w:rsidRPr="00000000" w14:paraId="0000006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Inadimplentes usam crédito para necessidades básicas (27%).</w:t>
      </w:r>
    </w:p>
    <w:p w:rsidR="00000000" w:rsidDel="00000000" w:rsidP="00000000" w:rsidRDefault="00000000" w:rsidRPr="00000000" w14:paraId="0000006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Adimplentes usam majoritariamente para bens (52%).</w:t>
      </w:r>
    </w:p>
    <w:p w:rsidR="00000000" w:rsidDel="00000000" w:rsidP="00000000" w:rsidRDefault="00000000" w:rsidRPr="00000000" w14:paraId="0000006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Crédito para sobrevivência gera inadimplência.</w:t>
      </w:r>
    </w:p>
    <w:p w:rsidR="00000000" w:rsidDel="00000000" w:rsidP="00000000" w:rsidRDefault="00000000" w:rsidRPr="00000000" w14:paraId="00000064">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5.2.4. Serviços financeiros × Periferia</w:t>
      </w:r>
    </w:p>
    <w:p w:rsidR="00000000" w:rsidDel="00000000" w:rsidP="00000000" w:rsidRDefault="00000000" w:rsidRPr="00000000" w14:paraId="0000006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Achado Principal</w:t>
      </w:r>
    </w:p>
    <w:p w:rsidR="00000000" w:rsidDel="00000000" w:rsidP="00000000" w:rsidRDefault="00000000" w:rsidRPr="00000000" w14:paraId="00000067">
      <w:pPr>
        <w:keepNext w:val="1"/>
        <w:keepLines w:val="0"/>
        <w:widowControl w:val="0"/>
        <w:numPr>
          <w:ilvl w:val="0"/>
          <w:numId w:val="7"/>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 Uso sempre de serviços financeiros:</w:t>
      </w:r>
    </w:p>
    <w:p w:rsidR="00000000" w:rsidDel="00000000" w:rsidP="00000000" w:rsidRDefault="00000000" w:rsidRPr="00000000" w14:paraId="00000068">
      <w:pPr>
        <w:keepNext w:val="1"/>
        <w:keepLines w:val="0"/>
        <w:widowControl w:val="0"/>
        <w:numPr>
          <w:ilvl w:val="0"/>
          <w:numId w:val="7"/>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Periferia: 64% (39 de 61)</w:t>
      </w:r>
    </w:p>
    <w:p w:rsidR="00000000" w:rsidDel="00000000" w:rsidP="00000000" w:rsidRDefault="00000000" w:rsidRPr="00000000" w14:paraId="00000069">
      <w:pPr>
        <w:keepNext w:val="1"/>
        <w:keepLines w:val="0"/>
        <w:widowControl w:val="0"/>
        <w:numPr>
          <w:ilvl w:val="0"/>
          <w:numId w:val="7"/>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Não periferia: 63% (24 de 38)</w:t>
      </w:r>
    </w:p>
    <w:p w:rsidR="00000000" w:rsidDel="00000000" w:rsidP="00000000" w:rsidRDefault="00000000" w:rsidRPr="00000000" w14:paraId="0000006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Frequência de uso é praticamente igual entre os dois grupos.</w:t>
      </w:r>
      <w:r w:rsidDel="00000000" w:rsidR="00000000" w:rsidRPr="00000000">
        <w:rPr>
          <w:rtl w:val="0"/>
        </w:rPr>
      </w:r>
    </w:p>
    <w:p w:rsidR="00000000" w:rsidDel="00000000" w:rsidP="00000000" w:rsidRDefault="00000000" w:rsidRPr="00000000" w14:paraId="0000006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Principais serviços usados: Pix, crédito débito aparecem com alta frequência em ambos os grupos.</w:t>
      </w:r>
    </w:p>
    <w:p w:rsidR="00000000" w:rsidDel="00000000" w:rsidP="00000000" w:rsidRDefault="00000000" w:rsidRPr="00000000" w14:paraId="0000006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Investimentos: Uso muito baixo nos dois grupos, indicando barreira de acesso ou falta de conhecimento.</w:t>
      </w:r>
    </w:p>
    <w:p w:rsidR="00000000" w:rsidDel="00000000" w:rsidP="00000000" w:rsidRDefault="00000000" w:rsidRPr="00000000" w14:paraId="0000006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Diferença está na profundidade do uso:</w:t>
      </w:r>
    </w:p>
    <w:p w:rsidR="00000000" w:rsidDel="00000000" w:rsidP="00000000" w:rsidRDefault="00000000" w:rsidRPr="00000000" w14:paraId="0000006E">
      <w:pPr>
        <w:keepNext w:val="1"/>
        <w:keepLines w:val="0"/>
        <w:widowControl w:val="0"/>
        <w:numPr>
          <w:ilvl w:val="1"/>
          <w:numId w:val="7"/>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Ambos usam Pix, crédito e débito com frequência.</w:t>
      </w:r>
    </w:p>
    <w:p w:rsidR="00000000" w:rsidDel="00000000" w:rsidP="00000000" w:rsidRDefault="00000000" w:rsidRPr="00000000" w14:paraId="0000006F">
      <w:pPr>
        <w:keepNext w:val="1"/>
        <w:keepLines w:val="0"/>
        <w:widowControl w:val="0"/>
        <w:numPr>
          <w:ilvl w:val="1"/>
          <w:numId w:val="7"/>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Investimentos e produtos de planejamento financeiro têm uso muito baixo nos dois grupos, mas especialmente na periferia.</w:t>
      </w:r>
    </w:p>
    <w:p w:rsidR="00000000" w:rsidDel="00000000" w:rsidP="00000000" w:rsidRDefault="00000000" w:rsidRPr="00000000" w14:paraId="0000007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“Inclusão digital não garante inclusão financeira completa: moradores da periferia usam serviços digitais com frequência, mas permanecem restritos a operações básicas (Pix, crédito e débito), sem avançar para investimentos ou gestão financeira.”</w:t>
      </w:r>
    </w:p>
    <w:p w:rsidR="00000000" w:rsidDel="00000000" w:rsidP="00000000" w:rsidRDefault="00000000" w:rsidRPr="00000000" w14:paraId="0000007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que isso importa?</w:t>
      </w:r>
    </w:p>
    <w:p w:rsidR="00000000" w:rsidDel="00000000" w:rsidP="00000000" w:rsidRDefault="00000000" w:rsidRPr="00000000" w14:paraId="00000073">
      <w:pPr>
        <w:keepNext w:val="1"/>
        <w:keepLines w:val="0"/>
        <w:widowControl w:val="0"/>
        <w:numPr>
          <w:ilvl w:val="0"/>
          <w:numId w:val="8"/>
        </w:numPr>
        <w:spacing w:after="0" w:before="0" w:line="360" w:lineRule="auto"/>
        <w:ind w:left="0" w:firstLine="708.6614173228347"/>
        <w:jc w:val="both"/>
        <w:rPr/>
      </w:pPr>
      <w:r w:rsidDel="00000000" w:rsidR="00000000" w:rsidRPr="00000000">
        <w:rPr>
          <w:rFonts w:ascii="Gungsuh" w:cs="Gungsuh" w:eastAsia="Gungsuh" w:hAnsi="Gungsuh"/>
          <w:sz w:val="24"/>
          <w:szCs w:val="24"/>
          <w:rtl w:val="0"/>
        </w:rPr>
        <w:t xml:space="preserve">Mostra que acesso ao app ≠ empoderamento financeiro.</w:t>
      </w:r>
      <w:r w:rsidDel="00000000" w:rsidR="00000000" w:rsidRPr="00000000">
        <w:rPr>
          <w:rtl w:val="0"/>
        </w:rPr>
      </w:r>
    </w:p>
    <w:p w:rsidR="00000000" w:rsidDel="00000000" w:rsidP="00000000" w:rsidRDefault="00000000" w:rsidRPr="00000000" w14:paraId="00000074">
      <w:pPr>
        <w:keepNext w:val="1"/>
        <w:keepLines w:val="0"/>
        <w:widowControl w:val="0"/>
        <w:numPr>
          <w:ilvl w:val="0"/>
          <w:numId w:val="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Indica oportunidade para: </w:t>
      </w:r>
    </w:p>
    <w:p w:rsidR="00000000" w:rsidDel="00000000" w:rsidP="00000000" w:rsidRDefault="00000000" w:rsidRPr="00000000" w14:paraId="00000075">
      <w:pPr>
        <w:keepNext w:val="1"/>
        <w:keepLines w:val="0"/>
        <w:widowControl w:val="0"/>
        <w:numPr>
          <w:ilvl w:val="1"/>
          <w:numId w:val="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Educação financeira contextualizada (como investir com renda baixa, gestão de dívidas).</w:t>
      </w:r>
    </w:p>
    <w:p w:rsidR="00000000" w:rsidDel="00000000" w:rsidP="00000000" w:rsidRDefault="00000000" w:rsidRPr="00000000" w14:paraId="00000076">
      <w:pPr>
        <w:keepNext w:val="1"/>
        <w:keepLines w:val="0"/>
        <w:widowControl w:val="0"/>
        <w:numPr>
          <w:ilvl w:val="1"/>
          <w:numId w:val="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Produtos acessíveis e simples para diversificação financeira.</w:t>
      </w:r>
    </w:p>
    <w:p w:rsidR="00000000" w:rsidDel="00000000" w:rsidP="00000000" w:rsidRDefault="00000000" w:rsidRPr="00000000" w14:paraId="00000077">
      <w:pPr>
        <w:keepNext w:val="1"/>
        <w:keepLines w:val="0"/>
        <w:widowControl w:val="0"/>
        <w:numPr>
          <w:ilvl w:val="1"/>
          <w:numId w:val="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Ferramentas no app que incentivem planejamento e metas.</w:t>
      </w:r>
    </w:p>
    <w:p w:rsidR="00000000" w:rsidDel="00000000" w:rsidP="00000000" w:rsidRDefault="00000000" w:rsidRPr="00000000" w14:paraId="00000078">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5.2.5 Impactos da inadimplência</w:t>
      </w:r>
    </w:p>
    <w:p w:rsidR="00000000" w:rsidDel="00000000" w:rsidP="00000000" w:rsidRDefault="00000000" w:rsidRPr="00000000" w14:paraId="0000007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Estresse (19%), renda extra (29%), cortes básicos (26%).</w:t>
      </w:r>
    </w:p>
    <w:p w:rsidR="00000000" w:rsidDel="00000000" w:rsidP="00000000" w:rsidRDefault="00000000" w:rsidRPr="00000000" w14:paraId="0000007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Inadimplência é emocional e social.</w:t>
      </w:r>
    </w:p>
    <w:p w:rsidR="00000000" w:rsidDel="00000000" w:rsidP="00000000" w:rsidRDefault="00000000" w:rsidRPr="00000000" w14:paraId="0000007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Resultados Qualitativos (Blocos B, C e F)</w:t>
      </w:r>
      <w:r w:rsidDel="00000000" w:rsidR="00000000" w:rsidRPr="00000000">
        <w:rPr>
          <w:rtl w:val="0"/>
        </w:rPr>
      </w:r>
    </w:p>
    <w:p w:rsidR="00000000" w:rsidDel="00000000" w:rsidP="00000000" w:rsidRDefault="00000000" w:rsidRPr="00000000" w14:paraId="0000007E">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integral das 231 falas)</w:t>
      </w:r>
    </w:p>
    <w:p w:rsidR="00000000" w:rsidDel="00000000" w:rsidP="00000000" w:rsidRDefault="00000000" w:rsidRPr="00000000" w14:paraId="0000007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Bloco F — Relação com Marcas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 Empoderamento do Usuário</w:t>
      </w:r>
    </w:p>
    <w:p w:rsidR="00000000" w:rsidDel="00000000" w:rsidP="00000000" w:rsidRDefault="00000000" w:rsidRPr="00000000" w14:paraId="00000081">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Macrotemas Identificados</w:t>
      </w:r>
    </w:p>
    <w:p w:rsidR="00000000" w:rsidDel="00000000" w:rsidP="00000000" w:rsidRDefault="00000000" w:rsidRPr="00000000" w14:paraId="00000082">
      <w:pPr>
        <w:keepNext w:val="1"/>
        <w:keepLines w:val="0"/>
        <w:widowControl w:val="0"/>
        <w:numPr>
          <w:ilvl w:val="0"/>
          <w:numId w:val="14"/>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Linguagem Simples e Acessível</w:t>
        <w:br w:type="textWrapping"/>
        <w:t xml:space="preserve">Comunicação clara, sem jargões, que aproxima e não afasta.</w:t>
      </w:r>
    </w:p>
    <w:p w:rsidR="00000000" w:rsidDel="00000000" w:rsidP="00000000" w:rsidRDefault="00000000" w:rsidRPr="00000000" w14:paraId="00000083">
      <w:pPr>
        <w:keepNext w:val="1"/>
        <w:keepLines w:val="0"/>
        <w:widowControl w:val="0"/>
        <w:numPr>
          <w:ilvl w:val="0"/>
          <w:numId w:val="14"/>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Representatividade Real</w:t>
        <w:br w:type="textWrapping"/>
        <w:t xml:space="preserve">Inclusão de pessoas da periferia dentro da empresa, não apenas na publicidade.</w:t>
      </w:r>
    </w:p>
    <w:p w:rsidR="00000000" w:rsidDel="00000000" w:rsidP="00000000" w:rsidRDefault="00000000" w:rsidRPr="00000000" w14:paraId="00000084">
      <w:pPr>
        <w:keepNext w:val="1"/>
        <w:keepLines w:val="0"/>
        <w:widowControl w:val="0"/>
        <w:numPr>
          <w:ilvl w:val="0"/>
          <w:numId w:val="14"/>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Compreensão da Realidade</w:t>
        <w:br w:type="textWrapping"/>
        <w:t xml:space="preserve">Marcas devem entender o cotidiano e as dificuldades reais, evitando ações superficiais ou oportunistas.</w:t>
      </w:r>
    </w:p>
    <w:p w:rsidR="00000000" w:rsidDel="00000000" w:rsidP="00000000" w:rsidRDefault="00000000" w:rsidRPr="00000000" w14:paraId="00000085">
      <w:pPr>
        <w:keepNext w:val="1"/>
        <w:keepLines w:val="0"/>
        <w:widowControl w:val="0"/>
        <w:numPr>
          <w:ilvl w:val="0"/>
          <w:numId w:val="14"/>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Oportunidades Concretas</w:t>
        <w:br w:type="textWrapping"/>
        <w:t xml:space="preserve">Programas que gerem impacto: cursos, emprego, capacitação e educação financeira.</w:t>
      </w:r>
    </w:p>
    <w:p w:rsidR="00000000" w:rsidDel="00000000" w:rsidP="00000000" w:rsidRDefault="00000000" w:rsidRPr="00000000" w14:paraId="00000086">
      <w:pPr>
        <w:keepNext w:val="1"/>
        <w:keepLines w:val="0"/>
        <w:widowControl w:val="0"/>
        <w:numPr>
          <w:ilvl w:val="0"/>
          <w:numId w:val="14"/>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Justo e Acessibilidade</w:t>
        <w:br w:type="textWrapping"/>
        <w:t xml:space="preserve">Produtos e serviços com valores compatíveis à renda do público.</w:t>
      </w:r>
    </w:p>
    <w:p w:rsidR="00000000" w:rsidDel="00000000" w:rsidP="00000000" w:rsidRDefault="00000000" w:rsidRPr="00000000" w14:paraId="00000087">
      <w:pPr>
        <w:keepNext w:val="1"/>
        <w:keepLines w:val="0"/>
        <w:widowControl w:val="0"/>
        <w:numPr>
          <w:ilvl w:val="0"/>
          <w:numId w:val="14"/>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Pertencimento Cultural</w:t>
        <w:br w:type="textWrapping"/>
        <w:t xml:space="preserve">Conexão genuína com códigos culturais, influenciadores locais e iniciativas comunitárias.</w:t>
      </w:r>
    </w:p>
    <w:p w:rsidR="00000000" w:rsidDel="00000000" w:rsidP="00000000" w:rsidRDefault="00000000" w:rsidRPr="00000000" w14:paraId="00000088">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Principais Falas Ilustrativas</w:t>
      </w:r>
    </w:p>
    <w:p w:rsidR="00000000" w:rsidDel="00000000" w:rsidP="00000000" w:rsidRDefault="00000000" w:rsidRPr="00000000" w14:paraId="00000089">
      <w:pPr>
        <w:keepNext w:val="1"/>
        <w:keepLines w:val="0"/>
        <w:widowControl w:val="0"/>
        <w:numPr>
          <w:ilvl w:val="0"/>
          <w:numId w:val="1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“Simplificar e tornar acessível a comunicação.”</w:t>
      </w:r>
    </w:p>
    <w:p w:rsidR="00000000" w:rsidDel="00000000" w:rsidP="00000000" w:rsidRDefault="00000000" w:rsidRPr="00000000" w14:paraId="0000008A">
      <w:pPr>
        <w:keepNext w:val="1"/>
        <w:keepLines w:val="0"/>
        <w:widowControl w:val="0"/>
        <w:numPr>
          <w:ilvl w:val="0"/>
          <w:numId w:val="1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“Ter pessoas periféricas dentro da empresa.”</w:t>
      </w:r>
    </w:p>
    <w:p w:rsidR="00000000" w:rsidDel="00000000" w:rsidP="00000000" w:rsidRDefault="00000000" w:rsidRPr="00000000" w14:paraId="0000008B">
      <w:pPr>
        <w:keepNext w:val="1"/>
        <w:keepLines w:val="0"/>
        <w:widowControl w:val="0"/>
        <w:numPr>
          <w:ilvl w:val="0"/>
          <w:numId w:val="1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“Periferia não é só estética.”</w:t>
      </w:r>
    </w:p>
    <w:p w:rsidR="00000000" w:rsidDel="00000000" w:rsidP="00000000" w:rsidRDefault="00000000" w:rsidRPr="00000000" w14:paraId="0000008C">
      <w:pPr>
        <w:keepNext w:val="1"/>
        <w:keepLines w:val="0"/>
        <w:widowControl w:val="0"/>
        <w:numPr>
          <w:ilvl w:val="0"/>
          <w:numId w:val="1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“Ajudar a gerir finanças.”</w:t>
      </w:r>
    </w:p>
    <w:p w:rsidR="00000000" w:rsidDel="00000000" w:rsidP="00000000" w:rsidRDefault="00000000" w:rsidRPr="00000000" w14:paraId="0000008D">
      <w:pPr>
        <w:keepNext w:val="1"/>
        <w:keepLines w:val="0"/>
        <w:widowControl w:val="0"/>
        <w:numPr>
          <w:ilvl w:val="0"/>
          <w:numId w:val="15"/>
        </w:numPr>
        <w:spacing w:after="0" w:before="0" w:line="360" w:lineRule="auto"/>
        <w:ind w:left="0" w:firstLine="708.6614173228347"/>
        <w:jc w:val="both"/>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Ouvir e entender as reais dificuldades dos jovens periféricos.”</w:t>
      </w:r>
      <w:r w:rsidDel="00000000" w:rsidR="00000000" w:rsidRPr="00000000">
        <w:rPr>
          <w:rtl w:val="0"/>
        </w:rPr>
      </w:r>
    </w:p>
    <w:p w:rsidR="00000000" w:rsidDel="00000000" w:rsidP="00000000" w:rsidRDefault="00000000" w:rsidRPr="00000000" w14:paraId="0000008E">
      <w:pPr>
        <w:keepNext w:val="1"/>
        <w:keepLines w:val="0"/>
        <w:widowControl w:val="0"/>
        <w:numPr>
          <w:ilvl w:val="0"/>
          <w:numId w:val="1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“Dar acesso, oportunidade e um empurrão para progredirem na vida.”</w:t>
      </w:r>
    </w:p>
    <w:p w:rsidR="00000000" w:rsidDel="00000000" w:rsidP="00000000" w:rsidRDefault="00000000" w:rsidRPr="00000000" w14:paraId="0000008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Central</w:t>
      </w:r>
    </w:p>
    <w:p w:rsidR="00000000" w:rsidDel="00000000" w:rsidP="00000000" w:rsidRDefault="00000000" w:rsidRPr="00000000" w14:paraId="0000009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se conectar de verdade com jovens da periferia, a marca precisa sair do discurso e entrar na prática: oferecer soluções acessíveis, criar oportunidades reais e comunicar com autenticidade, representatividade e propósito.</w:t>
        <w:br w:type="textWrapping"/>
      </w:r>
    </w:p>
    <w:p w:rsidR="00000000" w:rsidDel="00000000" w:rsidP="00000000" w:rsidRDefault="00000000" w:rsidRPr="00000000" w14:paraId="00000092">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Bloco C — Confiança em Crédito (Complemento com Falas)</w:t>
      </w:r>
    </w:p>
    <w:p w:rsidR="00000000" w:rsidDel="00000000" w:rsidP="00000000" w:rsidRDefault="00000000" w:rsidRPr="00000000" w14:paraId="00000093">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Macrotemas Identificados</w:t>
      </w:r>
    </w:p>
    <w:p w:rsidR="00000000" w:rsidDel="00000000" w:rsidP="00000000" w:rsidRDefault="00000000" w:rsidRPr="00000000" w14:paraId="00000094">
      <w:pPr>
        <w:keepNext w:val="1"/>
        <w:keepLines w:val="0"/>
        <w:widowControl w:val="0"/>
        <w:numPr>
          <w:ilvl w:val="0"/>
          <w:numId w:val="16"/>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Transparência Total</w:t>
        <w:br w:type="textWrapping"/>
        <w:t xml:space="preserve">Mostrar o valor final da dívida, projeção clara do pagamento e condições explícitas.</w:t>
      </w:r>
    </w:p>
    <w:p w:rsidR="00000000" w:rsidDel="00000000" w:rsidP="00000000" w:rsidRDefault="00000000" w:rsidRPr="00000000" w14:paraId="00000095">
      <w:pPr>
        <w:keepNext w:val="1"/>
        <w:keepLines w:val="0"/>
        <w:widowControl w:val="0"/>
        <w:numPr>
          <w:ilvl w:val="0"/>
          <w:numId w:val="16"/>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Juros Justos e Condições Claras</w:t>
        <w:br w:type="textWrapping"/>
        <w:t xml:space="preserve">Taxas menores, sem abusos, e explicadas de forma simples (em reais, não só em porcentagem).</w:t>
      </w:r>
    </w:p>
    <w:p w:rsidR="00000000" w:rsidDel="00000000" w:rsidP="00000000" w:rsidRDefault="00000000" w:rsidRPr="00000000" w14:paraId="00000096">
      <w:pPr>
        <w:keepNext w:val="1"/>
        <w:keepLines w:val="0"/>
        <w:widowControl w:val="0"/>
        <w:numPr>
          <w:ilvl w:val="0"/>
          <w:numId w:val="16"/>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Personalização do Limite e Uso</w:t>
        <w:br w:type="textWrapping"/>
        <w:t xml:space="preserve">Ajuste do crédito à realidade do cliente, sem aumentos automáticos ou incentivos irresponsáveis.</w:t>
      </w:r>
    </w:p>
    <w:p w:rsidR="00000000" w:rsidDel="00000000" w:rsidP="00000000" w:rsidRDefault="00000000" w:rsidRPr="00000000" w14:paraId="00000097">
      <w:pPr>
        <w:keepNext w:val="1"/>
        <w:keepLines w:val="0"/>
        <w:widowControl w:val="0"/>
        <w:numPr>
          <w:ilvl w:val="0"/>
          <w:numId w:val="16"/>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 para Negociar Dívidas</w:t>
        <w:br w:type="textWrapping"/>
        <w:t xml:space="preserve">Opções simples e acessíveis para renegociação e parcelamento.</w:t>
      </w:r>
    </w:p>
    <w:p w:rsidR="00000000" w:rsidDel="00000000" w:rsidP="00000000" w:rsidRDefault="00000000" w:rsidRPr="00000000" w14:paraId="00000098">
      <w:pPr>
        <w:keepNext w:val="1"/>
        <w:keepLines w:val="0"/>
        <w:widowControl w:val="0"/>
        <w:numPr>
          <w:ilvl w:val="0"/>
          <w:numId w:val="16"/>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Atendimento Humano e Acessível</w:t>
        <w:br w:type="textWrapping"/>
        <w:t xml:space="preserve">Canais reais para suporte, além de robôs, com possibilidade de contato físico ou telefônico.</w:t>
      </w:r>
    </w:p>
    <w:p w:rsidR="00000000" w:rsidDel="00000000" w:rsidP="00000000" w:rsidRDefault="00000000" w:rsidRPr="00000000" w14:paraId="0000009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Reputação e Credibilidade</w:t>
        <w:br w:type="textWrapping"/>
      </w:r>
      <w:r w:rsidDel="00000000" w:rsidR="00000000" w:rsidRPr="00000000">
        <w:rPr>
          <w:rFonts w:ascii="Times New Roman" w:cs="Times New Roman" w:eastAsia="Times New Roman" w:hAnsi="Times New Roman"/>
          <w:sz w:val="24"/>
          <w:szCs w:val="24"/>
          <w:rtl w:val="0"/>
        </w:rPr>
        <w:t xml:space="preserve">Empresa consolidada, com boas avaliações e histórico confiável.</w:t>
      </w:r>
    </w:p>
    <w:p w:rsidR="00000000" w:rsidDel="00000000" w:rsidP="00000000" w:rsidRDefault="00000000" w:rsidRPr="00000000" w14:paraId="0000009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Falas Ilustrativas</w:t>
      </w:r>
    </w:p>
    <w:p w:rsidR="00000000" w:rsidDel="00000000" w:rsidP="00000000" w:rsidRDefault="00000000" w:rsidRPr="00000000" w14:paraId="0000009C">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“Formas de negociar as dívidas.”</w:t>
      </w:r>
    </w:p>
    <w:p w:rsidR="00000000" w:rsidDel="00000000" w:rsidP="00000000" w:rsidRDefault="00000000" w:rsidRPr="00000000" w14:paraId="0000009D">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“Limite de acordo com minha realidade, e não ficar aumentando.”</w:t>
      </w:r>
    </w:p>
    <w:p w:rsidR="00000000" w:rsidDel="00000000" w:rsidP="00000000" w:rsidRDefault="00000000" w:rsidRPr="00000000" w14:paraId="0000009E">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“Juros menos abusivos e lucros menos astronômicos.”</w:t>
      </w:r>
    </w:p>
    <w:p w:rsidR="00000000" w:rsidDel="00000000" w:rsidP="00000000" w:rsidRDefault="00000000" w:rsidRPr="00000000" w14:paraId="0000009F">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“Exemplos diretos dos juros. Em reais, não em porcentagem.”</w:t>
      </w:r>
    </w:p>
    <w:p w:rsidR="00000000" w:rsidDel="00000000" w:rsidP="00000000" w:rsidRDefault="00000000" w:rsidRPr="00000000" w14:paraId="000000A0">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“Transparência maior nos juros e valor final de quitação.”</w:t>
      </w:r>
    </w:p>
    <w:p w:rsidR="00000000" w:rsidDel="00000000" w:rsidP="00000000" w:rsidRDefault="00000000" w:rsidRPr="00000000" w14:paraId="000000A1">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“Ter onde reclamar quando der problema.”</w:t>
      </w:r>
    </w:p>
    <w:p w:rsidR="00000000" w:rsidDel="00000000" w:rsidP="00000000" w:rsidRDefault="00000000" w:rsidRPr="00000000" w14:paraId="000000A2">
      <w:pPr>
        <w:keepNext w:val="1"/>
        <w:keepLines w:val="0"/>
        <w:widowControl w:val="0"/>
        <w:numPr>
          <w:ilvl w:val="0"/>
          <w:numId w:val="18"/>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“Empresa consolidada e recomendada.”</w:t>
      </w:r>
    </w:p>
    <w:p w:rsidR="00000000" w:rsidDel="00000000" w:rsidP="00000000" w:rsidRDefault="00000000" w:rsidRPr="00000000" w14:paraId="000000A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Central</w:t>
      </w:r>
    </w:p>
    <w:p w:rsidR="00000000" w:rsidDel="00000000" w:rsidP="00000000" w:rsidRDefault="00000000" w:rsidRPr="00000000" w14:paraId="000000A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Confiança em crédito é construída com clareza, justiça e empatia: mostrar custos reais, oferecer juros acessíveis, permitir negociação simples e garantir suporte humano.</w:t>
      </w:r>
    </w:p>
    <w:p w:rsidR="00000000" w:rsidDel="00000000" w:rsidP="00000000" w:rsidRDefault="00000000" w:rsidRPr="00000000" w14:paraId="000000A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Empoderamento do Usuário</w:t>
      </w:r>
    </w:p>
    <w:p w:rsidR="00000000" w:rsidDel="00000000" w:rsidP="00000000" w:rsidRDefault="00000000" w:rsidRPr="00000000" w14:paraId="000000A8">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aumentar a confiança e dar controle ao cliente:</w:t>
      </w:r>
    </w:p>
    <w:p w:rsidR="00000000" w:rsidDel="00000000" w:rsidP="00000000" w:rsidRDefault="00000000" w:rsidRPr="00000000" w14:paraId="000000A9">
      <w:pPr>
        <w:keepNext w:val="1"/>
        <w:keepLines w:val="0"/>
        <w:widowControl w:val="0"/>
        <w:numPr>
          <w:ilvl w:val="0"/>
          <w:numId w:val="1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Simulação clara: Mostrar quanto vai pagar no total, com juros em reais.</w:t>
      </w:r>
    </w:p>
    <w:p w:rsidR="00000000" w:rsidDel="00000000" w:rsidP="00000000" w:rsidRDefault="00000000" w:rsidRPr="00000000" w14:paraId="000000AA">
      <w:pPr>
        <w:keepNext w:val="1"/>
        <w:keepLines w:val="0"/>
        <w:widowControl w:val="0"/>
        <w:numPr>
          <w:ilvl w:val="0"/>
          <w:numId w:val="1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Alertas proativos: “Sua parcela vence em 3 dias. Evite multa!”</w:t>
      </w:r>
    </w:p>
    <w:p w:rsidR="00000000" w:rsidDel="00000000" w:rsidP="00000000" w:rsidRDefault="00000000" w:rsidRPr="00000000" w14:paraId="000000AB">
      <w:pPr>
        <w:keepNext w:val="1"/>
        <w:keepLines w:val="0"/>
        <w:widowControl w:val="0"/>
        <w:numPr>
          <w:ilvl w:val="0"/>
          <w:numId w:val="1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Ferramenta de renegociação: Opções simples para ajustar dívidas sem burocracia.</w:t>
      </w:r>
    </w:p>
    <w:p w:rsidR="00000000" w:rsidDel="00000000" w:rsidP="00000000" w:rsidRDefault="00000000" w:rsidRPr="00000000" w14:paraId="000000AC">
      <w:pPr>
        <w:keepNext w:val="1"/>
        <w:keepLines w:val="0"/>
        <w:widowControl w:val="0"/>
        <w:numPr>
          <w:ilvl w:val="0"/>
          <w:numId w:val="1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Personalização: Limite ajustado à renda e histórico do cliente.</w:t>
      </w:r>
    </w:p>
    <w:p w:rsidR="00000000" w:rsidDel="00000000" w:rsidP="00000000" w:rsidRDefault="00000000" w:rsidRPr="00000000" w14:paraId="000000AD">
      <w:pPr>
        <w:keepNext w:val="1"/>
        <w:keepLines w:val="0"/>
        <w:widowControl w:val="0"/>
        <w:numPr>
          <w:ilvl w:val="0"/>
          <w:numId w:val="19"/>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Canal humano acessível: Chat, telefone e pontos físicos para suporte.</w:t>
      </w:r>
    </w:p>
    <w:p w:rsidR="00000000" w:rsidDel="00000000" w:rsidP="00000000" w:rsidRDefault="00000000" w:rsidRPr="00000000" w14:paraId="000000AE">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Integração com ANBIMA (2024)</w:t>
      </w:r>
    </w:p>
    <w:p w:rsidR="00000000" w:rsidDel="00000000" w:rsidP="00000000" w:rsidRDefault="00000000" w:rsidRPr="00000000" w14:paraId="000000B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ANBIMA, por meio do Mapa de Iniciativas de Educação Financeira 2024, reforça pontos críticos para transformar a relação das instituições financeiras com os consumidores e promover inclusão financeira real. As diretrizes centrais são:</w:t>
      </w:r>
    </w:p>
    <w:p w:rsidR="00000000" w:rsidDel="00000000" w:rsidP="00000000" w:rsidRDefault="00000000" w:rsidRPr="00000000" w14:paraId="000000B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Pilares Estratégicos</w:t>
      </w:r>
    </w:p>
    <w:p w:rsidR="00000000" w:rsidDel="00000000" w:rsidP="00000000" w:rsidRDefault="00000000" w:rsidRPr="00000000" w14:paraId="000000B3">
      <w:pPr>
        <w:keepNext w:val="1"/>
        <w:keepLines w:val="0"/>
        <w:widowControl w:val="0"/>
        <w:numPr>
          <w:ilvl w:val="0"/>
          <w:numId w:val="20"/>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Segmentação Inteligente</w:t>
      </w:r>
    </w:p>
    <w:p w:rsidR="00000000" w:rsidDel="00000000" w:rsidP="00000000" w:rsidRDefault="00000000" w:rsidRPr="00000000" w14:paraId="000000B4">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Evitar abordagens genéricas: adaptar conteúdos e soluções para diferentes perfis (jovens, mulheres, baixa renda, idosos).</w:t>
      </w:r>
      <w:r w:rsidDel="00000000" w:rsidR="00000000" w:rsidRPr="00000000">
        <w:rPr>
          <w:rtl w:val="0"/>
        </w:rPr>
      </w:r>
    </w:p>
    <w:p w:rsidR="00000000" w:rsidDel="00000000" w:rsidP="00000000" w:rsidRDefault="00000000" w:rsidRPr="00000000" w14:paraId="000000B5">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Personalização aumenta engajamento e impacto.</w:t>
      </w:r>
      <w:r w:rsidDel="00000000" w:rsidR="00000000" w:rsidRPr="00000000">
        <w:rPr>
          <w:rtl w:val="0"/>
        </w:rPr>
      </w:r>
    </w:p>
    <w:p w:rsidR="00000000" w:rsidDel="00000000" w:rsidP="00000000" w:rsidRDefault="00000000" w:rsidRPr="00000000" w14:paraId="000000B6">
      <w:pPr>
        <w:keepNext w:val="1"/>
        <w:keepLines w:val="0"/>
        <w:widowControl w:val="0"/>
        <w:numPr>
          <w:ilvl w:val="0"/>
          <w:numId w:val="20"/>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Educação Contextualizada e Prática</w:t>
      </w:r>
    </w:p>
    <w:p w:rsidR="00000000" w:rsidDel="00000000" w:rsidP="00000000" w:rsidRDefault="00000000" w:rsidRPr="00000000" w14:paraId="000000B7">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Conectar teoria à vida real: simulações de orçamento, renegociação de dívidas, planejamento familiar.</w:t>
      </w:r>
      <w:r w:rsidDel="00000000" w:rsidR="00000000" w:rsidRPr="00000000">
        <w:rPr>
          <w:rtl w:val="0"/>
        </w:rPr>
      </w:r>
    </w:p>
    <w:p w:rsidR="00000000" w:rsidDel="00000000" w:rsidP="00000000" w:rsidRDefault="00000000" w:rsidRPr="00000000" w14:paraId="000000B8">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Uso de metodologias híbridas (presencial + digital) para ampliar alcance e profundidade.</w:t>
      </w:r>
      <w:r w:rsidDel="00000000" w:rsidR="00000000" w:rsidRPr="00000000">
        <w:rPr>
          <w:rtl w:val="0"/>
        </w:rPr>
      </w:r>
    </w:p>
    <w:p w:rsidR="00000000" w:rsidDel="00000000" w:rsidP="00000000" w:rsidRDefault="00000000" w:rsidRPr="00000000" w14:paraId="000000B9">
      <w:pPr>
        <w:keepNext w:val="1"/>
        <w:keepLines w:val="0"/>
        <w:widowControl w:val="0"/>
        <w:numPr>
          <w:ilvl w:val="0"/>
          <w:numId w:val="20"/>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Comunicação Clara e Inclusiva</w:t>
      </w:r>
    </w:p>
    <w:p w:rsidR="00000000" w:rsidDel="00000000" w:rsidP="00000000" w:rsidRDefault="00000000" w:rsidRPr="00000000" w14:paraId="000000BA">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Linguagem simples, sem jargões técnicos.</w:t>
      </w:r>
      <w:r w:rsidDel="00000000" w:rsidR="00000000" w:rsidRPr="00000000">
        <w:rPr>
          <w:rtl w:val="0"/>
        </w:rPr>
      </w:r>
    </w:p>
    <w:p w:rsidR="00000000" w:rsidDel="00000000" w:rsidP="00000000" w:rsidRDefault="00000000" w:rsidRPr="00000000" w14:paraId="000000BB">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Explicitar custos e riscos de forma transparente (ex.: juros em reais, não apenas em %).</w:t>
      </w:r>
      <w:r w:rsidDel="00000000" w:rsidR="00000000" w:rsidRPr="00000000">
        <w:rPr>
          <w:rtl w:val="0"/>
        </w:rPr>
      </w:r>
    </w:p>
    <w:p w:rsidR="00000000" w:rsidDel="00000000" w:rsidP="00000000" w:rsidRDefault="00000000" w:rsidRPr="00000000" w14:paraId="000000BC">
      <w:pPr>
        <w:keepNext w:val="1"/>
        <w:keepLines w:val="0"/>
        <w:widowControl w:val="0"/>
        <w:numPr>
          <w:ilvl w:val="0"/>
          <w:numId w:val="20"/>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Combate à Desinformação Financeira</w:t>
      </w:r>
    </w:p>
    <w:p w:rsidR="00000000" w:rsidDel="00000000" w:rsidP="00000000" w:rsidRDefault="00000000" w:rsidRPr="00000000" w14:paraId="000000BD">
      <w:pPr>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Orientar sobre riscos de apostas e falsas promessas de enriquecimento rápido.</w:t>
      </w:r>
      <w:r w:rsidDel="00000000" w:rsidR="00000000" w:rsidRPr="00000000">
        <w:rPr>
          <w:rtl w:val="0"/>
        </w:rPr>
      </w:r>
    </w:p>
    <w:p w:rsidR="00000000" w:rsidDel="00000000" w:rsidP="00000000" w:rsidRDefault="00000000" w:rsidRPr="00000000" w14:paraId="000000BE">
      <w:pPr>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Diferenciar investimentos legítimos de práticas especulativas.</w:t>
      </w:r>
      <w:r w:rsidDel="00000000" w:rsidR="00000000" w:rsidRPr="00000000">
        <w:rPr>
          <w:rtl w:val="0"/>
        </w:rPr>
      </w:r>
    </w:p>
    <w:p w:rsidR="00000000" w:rsidDel="00000000" w:rsidP="00000000" w:rsidRDefault="00000000" w:rsidRPr="00000000" w14:paraId="000000BF">
      <w:pPr>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Atuar contra conteúdos enganosos em redes sociais.</w:t>
      </w:r>
      <w:r w:rsidDel="00000000" w:rsidR="00000000" w:rsidRPr="00000000">
        <w:rPr>
          <w:rtl w:val="0"/>
        </w:rPr>
      </w:r>
    </w:p>
    <w:p w:rsidR="00000000" w:rsidDel="00000000" w:rsidP="00000000" w:rsidRDefault="00000000" w:rsidRPr="00000000" w14:paraId="000000C0">
      <w:pPr>
        <w:keepNext w:val="1"/>
        <w:keepLines w:val="0"/>
        <w:widowControl w:val="0"/>
        <w:numPr>
          <w:ilvl w:val="0"/>
          <w:numId w:val="20"/>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 e Inovação para Inclusão</w:t>
      </w:r>
    </w:p>
    <w:p w:rsidR="00000000" w:rsidDel="00000000" w:rsidP="00000000" w:rsidRDefault="00000000" w:rsidRPr="00000000" w14:paraId="000000C1">
      <w:pPr>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Aplicativos com trilhas personalizadas, alertas inteligentes e ferramentas de controle financeiro.</w:t>
      </w:r>
      <w:r w:rsidDel="00000000" w:rsidR="00000000" w:rsidRPr="00000000">
        <w:rPr>
          <w:rtl w:val="0"/>
        </w:rPr>
      </w:r>
    </w:p>
    <w:p w:rsidR="00000000" w:rsidDel="00000000" w:rsidP="00000000" w:rsidRDefault="00000000" w:rsidRPr="00000000" w14:paraId="000000C2">
      <w:pPr>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Gamificação e conteúdos interativos para públicos jovens.</w:t>
      </w:r>
      <w:r w:rsidDel="00000000" w:rsidR="00000000" w:rsidRPr="00000000">
        <w:rPr>
          <w:rtl w:val="0"/>
        </w:rPr>
      </w:r>
    </w:p>
    <w:p w:rsidR="00000000" w:rsidDel="00000000" w:rsidP="00000000" w:rsidRDefault="00000000" w:rsidRPr="00000000" w14:paraId="000000C3">
      <w:pPr>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Integração com Open Banking para visão consolidada das finanças.</w:t>
      </w:r>
      <w:r w:rsidDel="00000000" w:rsidR="00000000" w:rsidRPr="00000000">
        <w:rPr>
          <w:rtl w:val="0"/>
        </w:rPr>
      </w:r>
    </w:p>
    <w:p w:rsidR="00000000" w:rsidDel="00000000" w:rsidP="00000000" w:rsidRDefault="00000000" w:rsidRPr="00000000" w14:paraId="000000C4">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que isso importa?</w:t>
      </w:r>
      <w:r w:rsidDel="00000000" w:rsidR="00000000" w:rsidRPr="00000000">
        <w:rPr>
          <w:rtl w:val="0"/>
        </w:rPr>
      </w:r>
    </w:p>
    <w:p w:rsidR="00000000" w:rsidDel="00000000" w:rsidP="00000000" w:rsidRDefault="00000000" w:rsidRPr="00000000" w14:paraId="000000C6">
      <w:pPr>
        <w:keepNext w:val="1"/>
        <w:keepLines w:val="0"/>
        <w:widowControl w:val="0"/>
        <w:numPr>
          <w:ilvl w:val="0"/>
          <w:numId w:val="2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78% das iniciativas atuais não têm periodicidade definida, limitando impacto.</w:t>
      </w:r>
    </w:p>
    <w:p w:rsidR="00000000" w:rsidDel="00000000" w:rsidP="00000000" w:rsidRDefault="00000000" w:rsidRPr="00000000" w14:paraId="000000C7">
      <w:pPr>
        <w:keepNext w:val="1"/>
        <w:keepLines w:val="0"/>
        <w:widowControl w:val="0"/>
        <w:numPr>
          <w:ilvl w:val="0"/>
          <w:numId w:val="2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94% não possuem foco racial e 89% não consideram gênero, o que reduz relevância para públicos vulneráveis.</w:t>
      </w:r>
    </w:p>
    <w:p w:rsidR="00000000" w:rsidDel="00000000" w:rsidP="00000000" w:rsidRDefault="00000000" w:rsidRPr="00000000" w14:paraId="000000C8">
      <w:pPr>
        <w:keepNext w:val="1"/>
        <w:keepLines w:val="0"/>
        <w:widowControl w:val="0"/>
        <w:numPr>
          <w:ilvl w:val="0"/>
          <w:numId w:val="2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73% das ações ocorrem em redes sociais, mas com conteúdos fragmentados e superficiais.</w:t>
      </w:r>
    </w:p>
    <w:p w:rsidR="00000000" w:rsidDel="00000000" w:rsidP="00000000" w:rsidRDefault="00000000" w:rsidRPr="00000000" w14:paraId="000000C9">
      <w:pPr>
        <w:keepNext w:val="1"/>
        <w:keepLines w:val="0"/>
        <w:widowControl w:val="0"/>
        <w:numPr>
          <w:ilvl w:val="0"/>
          <w:numId w:val="2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Endividamento recorde: 77,2% dos brasileiros estão endividados; 12,4% não têm condições de pagar dívidas atrasadas.</w:t>
      </w:r>
    </w:p>
    <w:p w:rsidR="00000000" w:rsidDel="00000000" w:rsidP="00000000" w:rsidRDefault="00000000" w:rsidRPr="00000000" w14:paraId="000000C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Recomendações para integração com ANBIMA</w:t>
      </w:r>
    </w:p>
    <w:p w:rsidR="00000000" w:rsidDel="00000000" w:rsidP="00000000" w:rsidRDefault="00000000" w:rsidRPr="00000000" w14:paraId="000000CC">
      <w:pPr>
        <w:keepNext w:val="1"/>
        <w:keepLines w:val="0"/>
        <w:widowControl w:val="0"/>
        <w:numPr>
          <w:ilvl w:val="0"/>
          <w:numId w:val="2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Adotar padrões de segmentação e personalização sugeridos pela ANBIMA e OCDE.</w:t>
      </w:r>
    </w:p>
    <w:p w:rsidR="00000000" w:rsidDel="00000000" w:rsidP="00000000" w:rsidRDefault="00000000" w:rsidRPr="00000000" w14:paraId="000000CD">
      <w:pPr>
        <w:keepNext w:val="1"/>
        <w:keepLines w:val="0"/>
        <w:widowControl w:val="0"/>
        <w:numPr>
          <w:ilvl w:val="0"/>
          <w:numId w:val="2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Criar programas contínuos, com acompanhamento e indicadores de impacto.</w:t>
      </w:r>
    </w:p>
    <w:p w:rsidR="00000000" w:rsidDel="00000000" w:rsidP="00000000" w:rsidRDefault="00000000" w:rsidRPr="00000000" w14:paraId="000000CE">
      <w:pPr>
        <w:keepNext w:val="1"/>
        <w:keepLines w:val="0"/>
        <w:widowControl w:val="0"/>
        <w:numPr>
          <w:ilvl w:val="0"/>
          <w:numId w:val="2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Incorporar educação financeira nos touchpoints da jornada do cliente (app, atendimento, campanhas).</w:t>
      </w:r>
    </w:p>
    <w:p w:rsidR="00000000" w:rsidDel="00000000" w:rsidP="00000000" w:rsidRDefault="00000000" w:rsidRPr="00000000" w14:paraId="000000CF">
      <w:pPr>
        <w:keepNext w:val="1"/>
        <w:keepLines w:val="0"/>
        <w:widowControl w:val="0"/>
        <w:numPr>
          <w:ilvl w:val="0"/>
          <w:numId w:val="2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Promover parcerias com influenciadores certificados para garantir qualidade e credibilidade.</w:t>
      </w:r>
    </w:p>
    <w:p w:rsidR="00000000" w:rsidDel="00000000" w:rsidP="00000000" w:rsidRDefault="00000000" w:rsidRPr="00000000" w14:paraId="000000D0">
      <w:pPr>
        <w:keepNext w:val="1"/>
        <w:keepLines w:val="0"/>
        <w:widowControl w:val="0"/>
        <w:numPr>
          <w:ilvl w:val="0"/>
          <w:numId w:val="2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Desenvolver conteúdos que abordem finanças comportamentais, ajudando usuários a evitar armadilhas emocionais.</w:t>
      </w:r>
    </w:p>
    <w:p w:rsidR="00000000" w:rsidDel="00000000" w:rsidP="00000000" w:rsidRDefault="00000000" w:rsidRPr="00000000" w14:paraId="000000D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jovens corroboram essas lacunas.</w:t>
      </w:r>
    </w:p>
    <w:p w:rsidR="00000000" w:rsidDel="00000000" w:rsidP="00000000" w:rsidRDefault="00000000" w:rsidRPr="00000000" w14:paraId="000000D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DISCUSSÃO — CONSUMER INSIGHTS</w:t>
      </w:r>
      <w:r w:rsidDel="00000000" w:rsidR="00000000" w:rsidRPr="00000000">
        <w:rPr>
          <w:rtl w:val="0"/>
        </w:rPr>
      </w:r>
    </w:p>
    <w:p w:rsidR="00000000" w:rsidDel="00000000" w:rsidP="00000000" w:rsidRDefault="00000000" w:rsidRPr="00000000" w14:paraId="000000D4">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revela cinco tensões centrais:</w:t>
      </w:r>
    </w:p>
    <w:p w:rsidR="00000000" w:rsidDel="00000000" w:rsidP="00000000" w:rsidRDefault="00000000" w:rsidRPr="00000000" w14:paraId="000000D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Tensão 1 — Acesso vs. Segurança</w:t>
      </w:r>
      <w:r w:rsidDel="00000000" w:rsidR="00000000" w:rsidRPr="00000000">
        <w:rPr>
          <w:rtl w:val="0"/>
        </w:rPr>
      </w:r>
    </w:p>
    <w:p w:rsidR="00000000" w:rsidDel="00000000" w:rsidP="00000000" w:rsidRDefault="00000000" w:rsidRPr="00000000" w14:paraId="000000D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jovem usa o app, mas não confia plenamente.</w:t>
      </w:r>
    </w:p>
    <w:p w:rsidR="00000000" w:rsidDel="00000000" w:rsidP="00000000" w:rsidRDefault="00000000" w:rsidRPr="00000000" w14:paraId="000000D8">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Tensão 2 — Escolaridade vs. Vulnerabilidade</w:t>
      </w:r>
      <w:r w:rsidDel="00000000" w:rsidR="00000000" w:rsidRPr="00000000">
        <w:rPr>
          <w:rtl w:val="0"/>
        </w:rPr>
      </w:r>
    </w:p>
    <w:p w:rsidR="00000000" w:rsidDel="00000000" w:rsidP="00000000" w:rsidRDefault="00000000" w:rsidRPr="00000000" w14:paraId="000000D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Mais estudo aumenta expectativa de consumo, mas não aumenta estabilidade.</w:t>
      </w:r>
    </w:p>
    <w:p w:rsidR="00000000" w:rsidDel="00000000" w:rsidP="00000000" w:rsidRDefault="00000000" w:rsidRPr="00000000" w14:paraId="000000D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Tensão 3 — Poupança aspiracional</w:t>
      </w:r>
      <w:r w:rsidDel="00000000" w:rsidR="00000000" w:rsidRPr="00000000">
        <w:rPr>
          <w:rtl w:val="0"/>
        </w:rPr>
      </w:r>
    </w:p>
    <w:p w:rsidR="00000000" w:rsidDel="00000000" w:rsidP="00000000" w:rsidRDefault="00000000" w:rsidRPr="00000000" w14:paraId="000000D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sem objetivo gera falsa sensação de segurança.</w:t>
      </w:r>
    </w:p>
    <w:p w:rsidR="00000000" w:rsidDel="00000000" w:rsidP="00000000" w:rsidRDefault="00000000" w:rsidRPr="00000000" w14:paraId="000000DE">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Tensão 4 — Crédito como amortecedor da vida</w:t>
      </w:r>
      <w:r w:rsidDel="00000000" w:rsidR="00000000" w:rsidRPr="00000000">
        <w:rPr>
          <w:rtl w:val="0"/>
        </w:rPr>
      </w:r>
    </w:p>
    <w:p w:rsidR="00000000" w:rsidDel="00000000" w:rsidP="00000000" w:rsidRDefault="00000000" w:rsidRPr="00000000" w14:paraId="000000E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 crédito, eu quebro.”</w:t>
      </w:r>
    </w:p>
    <w:p w:rsidR="00000000" w:rsidDel="00000000" w:rsidP="00000000" w:rsidRDefault="00000000" w:rsidRPr="00000000" w14:paraId="000000E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Crédito para necessidades = risco sistêmico.</w:t>
      </w:r>
    </w:p>
    <w:p w:rsidR="00000000" w:rsidDel="00000000" w:rsidP="00000000" w:rsidRDefault="00000000" w:rsidRPr="00000000" w14:paraId="000000E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Tensão 5 — Comunicação publicitária vs. comunicação humana</w:t>
      </w:r>
      <w:r w:rsidDel="00000000" w:rsidR="00000000" w:rsidRPr="00000000">
        <w:rPr>
          <w:rtl w:val="0"/>
        </w:rPr>
      </w:r>
    </w:p>
    <w:p w:rsidR="00000000" w:rsidDel="00000000" w:rsidP="00000000" w:rsidRDefault="00000000" w:rsidRPr="00000000" w14:paraId="000000E4">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jovem quer marcas que escutem, não que apenas falem.</w:t>
      </w:r>
    </w:p>
    <w:p w:rsidR="00000000" w:rsidDel="00000000" w:rsidP="00000000" w:rsidRDefault="00000000" w:rsidRPr="00000000" w14:paraId="000000E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RECOMENDAÇÕES</w:t>
      </w:r>
      <w:r w:rsidDel="00000000" w:rsidR="00000000" w:rsidRPr="00000000">
        <w:rPr>
          <w:rtl w:val="0"/>
        </w:rPr>
      </w:r>
    </w:p>
    <w:p w:rsidR="00000000" w:rsidDel="00000000" w:rsidP="00000000" w:rsidRDefault="00000000" w:rsidRPr="00000000" w14:paraId="000000E7">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empresas financeiras</w:t>
      </w:r>
    </w:p>
    <w:p w:rsidR="00000000" w:rsidDel="00000000" w:rsidP="00000000" w:rsidRDefault="00000000" w:rsidRPr="00000000" w14:paraId="000000E8">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Programas de microfundos automáticos.</w:t>
      </w:r>
    </w:p>
    <w:p w:rsidR="00000000" w:rsidDel="00000000" w:rsidP="00000000" w:rsidRDefault="00000000" w:rsidRPr="00000000" w14:paraId="000000E9">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Limites adaptados à renda variável.</w:t>
      </w:r>
    </w:p>
    <w:p w:rsidR="00000000" w:rsidDel="00000000" w:rsidP="00000000" w:rsidRDefault="00000000" w:rsidRPr="00000000" w14:paraId="000000EA">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Educação financeira dentro do app.</w:t>
      </w:r>
    </w:p>
    <w:p w:rsidR="00000000" w:rsidDel="00000000" w:rsidP="00000000" w:rsidRDefault="00000000" w:rsidRPr="00000000" w14:paraId="000000EB">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SAC humano especializado em vulnerabilidade financeira.</w:t>
      </w:r>
    </w:p>
    <w:p w:rsidR="00000000" w:rsidDel="00000000" w:rsidP="00000000" w:rsidRDefault="00000000" w:rsidRPr="00000000" w14:paraId="000000EC">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Transparência radical nos juros (em reais).</w:t>
      </w:r>
    </w:p>
    <w:p w:rsidR="00000000" w:rsidDel="00000000" w:rsidP="00000000" w:rsidRDefault="00000000" w:rsidRPr="00000000" w14:paraId="000000ED">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Produtos para necessidades básicas (e não só consumo).</w:t>
      </w:r>
    </w:p>
    <w:p w:rsidR="00000000" w:rsidDel="00000000" w:rsidP="00000000" w:rsidRDefault="00000000" w:rsidRPr="00000000" w14:paraId="000000EE">
      <w:pPr>
        <w:keepNext w:val="1"/>
        <w:keepLines w:val="0"/>
        <w:widowControl w:val="0"/>
        <w:numPr>
          <w:ilvl w:val="0"/>
          <w:numId w:val="5"/>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Contratar pessoas da periferia para estratégia, não só para campanhas.</w:t>
      </w:r>
    </w:p>
    <w:p w:rsidR="00000000" w:rsidDel="00000000" w:rsidP="00000000" w:rsidRDefault="00000000" w:rsidRPr="00000000" w14:paraId="000000E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políticas públicas</w:t>
      </w:r>
    </w:p>
    <w:p w:rsidR="00000000" w:rsidDel="00000000" w:rsidP="00000000" w:rsidRDefault="00000000" w:rsidRPr="00000000" w14:paraId="000000F1">
      <w:pPr>
        <w:keepNext w:val="1"/>
        <w:keepLines w:val="0"/>
        <w:widowControl w:val="0"/>
        <w:numPr>
          <w:ilvl w:val="0"/>
          <w:numId w:val="10"/>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Educação financeira contextual na escola.</w:t>
      </w:r>
    </w:p>
    <w:p w:rsidR="00000000" w:rsidDel="00000000" w:rsidP="00000000" w:rsidRDefault="00000000" w:rsidRPr="00000000" w14:paraId="000000F2">
      <w:pPr>
        <w:keepNext w:val="1"/>
        <w:keepLines w:val="0"/>
        <w:widowControl w:val="0"/>
        <w:numPr>
          <w:ilvl w:val="0"/>
          <w:numId w:val="10"/>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Regulação contra aumento automático de limite.</w:t>
      </w:r>
    </w:p>
    <w:p w:rsidR="00000000" w:rsidDel="00000000" w:rsidP="00000000" w:rsidRDefault="00000000" w:rsidRPr="00000000" w14:paraId="000000F3">
      <w:pPr>
        <w:keepNext w:val="1"/>
        <w:keepLines w:val="0"/>
        <w:widowControl w:val="0"/>
        <w:numPr>
          <w:ilvl w:val="0"/>
          <w:numId w:val="10"/>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Incentivos fiscais a produtos de proteção financeira.</w:t>
      </w:r>
    </w:p>
    <w:p w:rsidR="00000000" w:rsidDel="00000000" w:rsidP="00000000" w:rsidRDefault="00000000" w:rsidRPr="00000000" w14:paraId="000000F4">
      <w:pPr>
        <w:keepNext w:val="1"/>
        <w:keepLines w:val="0"/>
        <w:widowControl w:val="0"/>
        <w:numPr>
          <w:ilvl w:val="0"/>
          <w:numId w:val="10"/>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Redes de proteção para jovens em renda instável</w:t>
      </w:r>
    </w:p>
    <w:p w:rsidR="00000000" w:rsidDel="00000000" w:rsidP="00000000" w:rsidRDefault="00000000" w:rsidRPr="00000000" w14:paraId="000000F5">
      <w:pPr>
        <w:keepNext w:val="1"/>
        <w:keepLines w:val="0"/>
        <w:widowControl w:val="0"/>
        <w:spacing w:after="0" w:before="0" w:line="360" w:lineRule="auto"/>
        <w:ind w:left="0"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CONCLUSÃO </w:t>
      </w:r>
      <w:r w:rsidDel="00000000" w:rsidR="00000000" w:rsidRPr="00000000">
        <w:rPr>
          <w:rtl w:val="0"/>
        </w:rPr>
      </w:r>
    </w:p>
    <w:p w:rsidR="00000000" w:rsidDel="00000000" w:rsidP="00000000" w:rsidRDefault="00000000" w:rsidRPr="00000000" w14:paraId="000000F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juventude periférica vive um paradoxo: ampla presença digital, mas baixa segurança financeira.</w:t>
      </w:r>
    </w:p>
    <w:p w:rsidR="00000000" w:rsidDel="00000000" w:rsidP="00000000" w:rsidRDefault="00000000" w:rsidRPr="00000000" w14:paraId="000000F8">
      <w:pPr>
        <w:keepNext w:val="1"/>
        <w:keepLines w:val="0"/>
        <w:widowControl w:val="0"/>
        <w:spacing w:after="0" w:before="0" w:line="360" w:lineRule="auto"/>
        <w:ind w:left="0" w:firstLine="708.661417322834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Os dados revelam que inclusão financeira não é simplesmente ter uma conta — </w:t>
      </w:r>
      <w:r w:rsidDel="00000000" w:rsidR="00000000" w:rsidRPr="00000000">
        <w:rPr>
          <w:rFonts w:ascii="Times New Roman" w:cs="Times New Roman" w:eastAsia="Times New Roman" w:hAnsi="Times New Roman"/>
          <w:i w:val="1"/>
          <w:iCs w:val="1"/>
          <w:sz w:val="24"/>
          <w:szCs w:val="24"/>
          <w:rtl w:val="0"/>
        </w:rPr>
        <w:t xml:space="preserve">é ter condições materiais e emocionais para tomar decisões de forma segura e ser protagonista de sua vida financeiramente..</w:t>
      </w:r>
    </w:p>
    <w:p w:rsidR="00000000" w:rsidDel="00000000" w:rsidP="00000000" w:rsidRDefault="00000000" w:rsidRPr="00000000" w14:paraId="000000F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dos achados:</w:t>
      </w:r>
    </w:p>
    <w:p w:rsidR="00000000" w:rsidDel="00000000" w:rsidP="00000000" w:rsidRDefault="00000000" w:rsidRPr="00000000" w14:paraId="000000FB">
      <w:pPr>
        <w:keepNext w:val="1"/>
        <w:keepLines w:val="0"/>
        <w:widowControl w:val="0"/>
        <w:numPr>
          <w:ilvl w:val="0"/>
          <w:numId w:val="1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escolaridade não neutraliza vulnerabilidade;</w:t>
      </w:r>
    </w:p>
    <w:p w:rsidR="00000000" w:rsidDel="00000000" w:rsidP="00000000" w:rsidRDefault="00000000" w:rsidRPr="00000000" w14:paraId="000000FC">
      <w:pPr>
        <w:keepNext w:val="1"/>
        <w:keepLines w:val="0"/>
        <w:widowControl w:val="0"/>
        <w:numPr>
          <w:ilvl w:val="0"/>
          <w:numId w:val="1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guardar dinheiro não assegura proteção;</w:t>
      </w:r>
    </w:p>
    <w:p w:rsidR="00000000" w:rsidDel="00000000" w:rsidP="00000000" w:rsidRDefault="00000000" w:rsidRPr="00000000" w14:paraId="000000FD">
      <w:pPr>
        <w:keepNext w:val="1"/>
        <w:keepLines w:val="0"/>
        <w:widowControl w:val="0"/>
        <w:numPr>
          <w:ilvl w:val="0"/>
          <w:numId w:val="1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crédito para necessidades básicas é risco crítico;</w:t>
      </w:r>
    </w:p>
    <w:p w:rsidR="00000000" w:rsidDel="00000000" w:rsidP="00000000" w:rsidRDefault="00000000" w:rsidRPr="00000000" w14:paraId="000000FE">
      <w:pPr>
        <w:keepNext w:val="1"/>
        <w:keepLines w:val="0"/>
        <w:widowControl w:val="0"/>
        <w:numPr>
          <w:ilvl w:val="0"/>
          <w:numId w:val="1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inadimplência tem impacto emocional profundo;</w:t>
      </w:r>
    </w:p>
    <w:p w:rsidR="00000000" w:rsidDel="00000000" w:rsidP="00000000" w:rsidRDefault="00000000" w:rsidRPr="00000000" w14:paraId="000000FF">
      <w:pPr>
        <w:keepNext w:val="1"/>
        <w:keepLines w:val="0"/>
        <w:widowControl w:val="0"/>
        <w:numPr>
          <w:ilvl w:val="0"/>
          <w:numId w:val="11"/>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jovens pedem respeito, linguagem clara e oportunidades reais.</w:t>
      </w:r>
    </w:p>
    <w:p w:rsidR="00000000" w:rsidDel="00000000" w:rsidP="00000000" w:rsidRDefault="00000000" w:rsidRPr="00000000" w14:paraId="0000010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inclusão financeira só será emancipatória quando considerar:</w:t>
      </w:r>
    </w:p>
    <w:p w:rsidR="00000000" w:rsidDel="00000000" w:rsidP="00000000" w:rsidRDefault="00000000" w:rsidRPr="00000000" w14:paraId="00000102">
      <w:pPr>
        <w:keepNext w:val="1"/>
        <w:keepLines w:val="0"/>
        <w:widowControl w:val="0"/>
        <w:numPr>
          <w:ilvl w:val="0"/>
          <w:numId w:val="13"/>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w:t>
      </w:r>
    </w:p>
    <w:p w:rsidR="00000000" w:rsidDel="00000000" w:rsidP="00000000" w:rsidRDefault="00000000" w:rsidRPr="00000000" w14:paraId="00000103">
      <w:pPr>
        <w:keepNext w:val="1"/>
        <w:keepLines w:val="0"/>
        <w:widowControl w:val="0"/>
        <w:numPr>
          <w:ilvl w:val="0"/>
          <w:numId w:val="13"/>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território,</w:t>
      </w:r>
    </w:p>
    <w:p w:rsidR="00000000" w:rsidDel="00000000" w:rsidP="00000000" w:rsidRDefault="00000000" w:rsidRPr="00000000" w14:paraId="00000104">
      <w:pPr>
        <w:keepNext w:val="1"/>
        <w:keepLines w:val="0"/>
        <w:widowControl w:val="0"/>
        <w:numPr>
          <w:ilvl w:val="0"/>
          <w:numId w:val="13"/>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emoções,</w:t>
      </w:r>
    </w:p>
    <w:p w:rsidR="00000000" w:rsidDel="00000000" w:rsidP="00000000" w:rsidRDefault="00000000" w:rsidRPr="00000000" w14:paraId="00000105">
      <w:pPr>
        <w:keepNext w:val="1"/>
        <w:keepLines w:val="0"/>
        <w:widowControl w:val="0"/>
        <w:numPr>
          <w:ilvl w:val="0"/>
          <w:numId w:val="13"/>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vulnerabilidades,</w:t>
      </w:r>
    </w:p>
    <w:p w:rsidR="00000000" w:rsidDel="00000000" w:rsidP="00000000" w:rsidRDefault="00000000" w:rsidRPr="00000000" w14:paraId="00000106">
      <w:pPr>
        <w:keepNext w:val="1"/>
        <w:keepLines w:val="0"/>
        <w:widowControl w:val="0"/>
        <w:numPr>
          <w:ilvl w:val="0"/>
          <w:numId w:val="13"/>
        </w:numPr>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 potência da juventude periférica.</w:t>
      </w:r>
    </w:p>
    <w:p w:rsidR="00000000" w:rsidDel="00000000" w:rsidP="00000000" w:rsidRDefault="00000000" w:rsidRPr="00000000" w14:paraId="0000010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1"/>
        <w:keepNext w:val="1"/>
        <w:keepLines w:val="0"/>
        <w:widowControl w:val="0"/>
        <w:spacing w:after="0" w:before="0" w:line="360" w:lineRule="auto"/>
        <w:ind w:left="0" w:right="0" w:firstLine="708.6614173228347"/>
        <w:jc w:val="both"/>
        <w:rPr>
          <w:b w:val="1"/>
          <w:bCs w:val="1"/>
        </w:rPr>
      </w:pPr>
      <w:r w:rsidDel="00000000" w:rsidR="00000000" w:rsidRPr="00000000">
        <w:rPr>
          <w:b w:val="1"/>
          <w:bCs w:val="1"/>
          <w:rtl w:val="0"/>
        </w:rPr>
        <w:t xml:space="preserve">FONTES CONSULTADAS / REFERÊNCIAS BIBLIOGRÁFICAS</w:t>
      </w:r>
    </w:p>
    <w:p w:rsidR="00000000" w:rsidDel="00000000" w:rsidP="00000000" w:rsidRDefault="00000000" w:rsidRPr="00000000" w14:paraId="00000109">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BARDIN, Laurence. Análise de Conteúdo. Lisboa: Edições 70, 2011.</w:t>
      </w:r>
    </w:p>
    <w:p w:rsidR="00000000" w:rsidDel="00000000" w:rsidP="00000000" w:rsidRDefault="00000000" w:rsidRPr="00000000" w14:paraId="0000010A">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CENTRAL DO BRASIL. Relatório de Cidadania Financeira. Brasília, 2022.</w:t>
      </w:r>
    </w:p>
    <w:p w:rsidR="00000000" w:rsidDel="00000000" w:rsidP="00000000" w:rsidRDefault="00000000" w:rsidRPr="00000000" w14:paraId="0000010B">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ANBIMA Relatório mapa iniciativas educação_financeira, 2024</w:t>
      </w:r>
    </w:p>
    <w:p w:rsidR="00000000" w:rsidDel="00000000" w:rsidP="00000000" w:rsidRDefault="00000000" w:rsidRPr="00000000" w14:paraId="0000010C">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CAMPBELL, D. et al. Financial Inclusion in Emerging Markets. Journal of Economic Behavior, 2016.</w:t>
      </w:r>
    </w:p>
    <w:p w:rsidR="00000000" w:rsidDel="00000000" w:rsidP="00000000" w:rsidRDefault="00000000" w:rsidRPr="00000000" w14:paraId="0000010D">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DINIZ, Eduardo H.; BESSA, Mônica. Fintechs e inovação em serviços financeiros. RAP, Rio de Janeiro, v. 52, n. 4, p. 673–696, 2018.</w:t>
      </w:r>
    </w:p>
    <w:p w:rsidR="00000000" w:rsidDel="00000000" w:rsidP="00000000" w:rsidRDefault="00000000" w:rsidRPr="00000000" w14:paraId="0000010E">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 Antonio Carlos. Métodos e Técnicas de Pesquisa Social. 6. ed. São Paulo: Atlas, 2019.</w:t>
      </w:r>
    </w:p>
    <w:p w:rsidR="00000000" w:rsidDel="00000000" w:rsidP="00000000" w:rsidRDefault="00000000" w:rsidRPr="00000000" w14:paraId="0000010F">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GOMES, Wendel S. Juventude periférica e economia informal. RBCS, São Paulo, v. 36, n. 107, 2021.</w:t>
      </w:r>
    </w:p>
    <w:p w:rsidR="00000000" w:rsidDel="00000000" w:rsidP="00000000" w:rsidRDefault="00000000" w:rsidRPr="00000000" w14:paraId="00000110">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 Douglas B. How Brands Become Icons. Harvard Business Press, 2004. IBGE. Síntese de Indicadores Sociais. Rio de Janeiro, 2023.</w:t>
      </w:r>
    </w:p>
    <w:p w:rsidR="00000000" w:rsidDel="00000000" w:rsidP="00000000" w:rsidRDefault="00000000" w:rsidRPr="00000000" w14:paraId="00000111">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KOTLER, Philip; LEE, Nancy. Marketing Social. Porto Alegre: Bookman, 2008.</w:t>
      </w:r>
    </w:p>
    <w:p w:rsidR="00000000" w:rsidDel="00000000" w:rsidP="00000000" w:rsidRDefault="00000000" w:rsidRPr="00000000" w14:paraId="00000112">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PRATES, Daniela; PERUFFO, Lilian. Inclusão financeira e desigualdade no Brasil. Texto para Discussão – IPEA, 2020.</w:t>
      </w:r>
    </w:p>
    <w:p w:rsidR="00000000" w:rsidDel="00000000" w:rsidP="00000000" w:rsidRDefault="00000000" w:rsidRPr="00000000" w14:paraId="00000113">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ROSA, Ricardo L.; SOUZA, Gabriel F. de. Marketing e soluções financeiras para o público de baixa renda. EBAPE.BR, v. 17, n. 3, 2019.</w:t>
      </w:r>
    </w:p>
    <w:p w:rsidR="00000000" w:rsidDel="00000000" w:rsidP="00000000" w:rsidRDefault="00000000" w:rsidRPr="00000000" w14:paraId="00000114">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SANDHU, S. Inclusive Marketing: Why Representation Matters. Marketing Week, 2020.</w:t>
      </w:r>
    </w:p>
    <w:p w:rsidR="00000000" w:rsidDel="00000000" w:rsidP="00000000" w:rsidRDefault="00000000" w:rsidRPr="00000000" w14:paraId="00000115">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SELLTIZ, Claire et al. Métodos de pesquisa nas relações sociais. São Paulo: EPU, 1987.</w:t>
      </w:r>
    </w:p>
    <w:p w:rsidR="00000000" w:rsidDel="00000000" w:rsidP="00000000" w:rsidRDefault="00000000" w:rsidRPr="00000000" w14:paraId="00000116">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Fernanda R.; GONÇALVES, João V. Educação financeira e comportamento de consumo. REPeC, 2020.</w:t>
      </w:r>
    </w:p>
    <w:p w:rsidR="00000000" w:rsidDel="00000000" w:rsidP="00000000" w:rsidRDefault="00000000" w:rsidRPr="00000000" w14:paraId="00000117">
      <w:pPr>
        <w:keepNext w:val="1"/>
        <w:keepLines w:val="0"/>
        <w:widowControl w:val="0"/>
        <w:spacing w:after="0" w:before="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https://youtu.be/Anhn-9sduvI?si=wP647IH8OJHhM4tq</w:t>
      </w:r>
    </w:p>
    <w:p w:rsidR="00000000" w:rsidDel="00000000" w:rsidP="00000000" w:rsidRDefault="00000000" w:rsidRPr="00000000" w14:paraId="00000118">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1"/>
        <w:keepLines w:val="0"/>
        <w:widowControl w:val="0"/>
        <w:spacing w:after="0" w:before="0" w:line="360" w:lineRule="auto"/>
        <w:ind w:left="0" w:right="7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keepNext w:val="1"/>
        <w:keepLines w:val="0"/>
        <w:widowControl w:val="0"/>
        <w:spacing w:after="0" w:before="0" w:line="360" w:lineRule="auto"/>
        <w:ind w:left="0" w:right="793"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1"/>
        <w:keepLines w:val="0"/>
        <w:widowControl w:val="0"/>
        <w:spacing w:after="0" w:before="0" w:line="360" w:lineRule="auto"/>
        <w:ind w:left="0" w:right="793"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1829816" cy="9525"/>
                <wp:effectExtent b="0" l="0" r="0" t="0"/>
                <wp:docPr id="4" name=""/>
                <a:graphic>
                  <a:graphicData uri="http://schemas.microsoft.com/office/word/2010/wordprocessingGroup">
                    <wpg:wgp>
                      <wpg:cNvGrpSpPr/>
                      <wpg:grpSpPr>
                        <a:xfrm>
                          <a:off x="0" y="0"/>
                          <a:ext cx="1829816" cy="9525"/>
                          <a:chOff x="4431075" y="3775225"/>
                          <a:chExt cx="1829850" cy="9550"/>
                        </a:xfrm>
                      </wpg:grpSpPr>
                      <wpg:grpSp>
                        <wpg:cNvGrpSpPr/>
                        <wpg:grpSpPr>
                          <a:xfrm>
                            <a:off x="4431092" y="3775238"/>
                            <a:ext cx="1829816" cy="9525"/>
                            <a:chOff x="0" y="0"/>
                            <a:chExt cx="1829816" cy="9525"/>
                          </a:xfrm>
                        </wpg:grpSpPr>
                        <wps:wsp>
                          <wps:cNvSpPr/>
                          <wps:cNvPr id="3" name="Shape 3"/>
                          <wps:spPr>
                            <a:xfrm>
                              <a:off x="0" y="0"/>
                              <a:ext cx="18298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9816" cy="9525"/>
                            </a:xfrm>
                            <a:custGeom>
                              <a:rect b="b" l="l" r="r" t="t"/>
                              <a:pathLst>
                                <a:path extrusionOk="0" h="9525" w="1829816">
                                  <a:moveTo>
                                    <a:pt x="0" y="0"/>
                                  </a:moveTo>
                                  <a:lnTo>
                                    <a:pt x="1829816" y="0"/>
                                  </a:lnTo>
                                  <a:lnTo>
                                    <a:pt x="1829816" y="9525"/>
                                  </a:lnTo>
                                  <a:lnTo>
                                    <a:pt x="0" y="9525"/>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829816" cy="9525"/>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29816"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D">
      <w:pPr>
        <w:keepNext w:val="1"/>
        <w:keepLines w:val="0"/>
        <w:widowControl w:val="0"/>
        <w:numPr>
          <w:ilvl w:val="0"/>
          <w:numId w:val="1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Aluno do Curso Superior de Marketing da Instituição Fatec Sebrae</w:t>
      </w:r>
    </w:p>
    <w:p w:rsidR="00000000" w:rsidDel="00000000" w:rsidP="00000000" w:rsidRDefault="00000000" w:rsidRPr="00000000" w14:paraId="0000012E">
      <w:pPr>
        <w:keepNext w:val="1"/>
        <w:keepLines w:val="0"/>
        <w:widowControl w:val="0"/>
        <w:numPr>
          <w:ilvl w:val="0"/>
          <w:numId w:val="1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Aluno do Curso Superior de Marketing da Instituição Fatec Sebrae</w:t>
      </w:r>
    </w:p>
    <w:p w:rsidR="00000000" w:rsidDel="00000000" w:rsidP="00000000" w:rsidRDefault="00000000" w:rsidRPr="00000000" w14:paraId="0000012F">
      <w:pPr>
        <w:keepNext w:val="1"/>
        <w:keepLines w:val="0"/>
        <w:widowControl w:val="0"/>
        <w:numPr>
          <w:ilvl w:val="0"/>
          <w:numId w:val="12"/>
        </w:numPr>
        <w:spacing w:after="0" w:before="0" w:line="360" w:lineRule="auto"/>
        <w:ind w:left="0" w:firstLine="708.6614173228347"/>
        <w:jc w:val="both"/>
        <w:rPr/>
      </w:pPr>
      <w:r w:rsidDel="00000000" w:rsidR="00000000" w:rsidRPr="00000000">
        <w:rPr>
          <w:rFonts w:ascii="Times New Roman" w:cs="Times New Roman" w:eastAsia="Times New Roman" w:hAnsi="Times New Roman"/>
          <w:sz w:val="24"/>
          <w:szCs w:val="24"/>
          <w:rtl w:val="0"/>
        </w:rPr>
        <w:t xml:space="preserve">Titulação...............; Professor do Curso Superior em Marketing na Instituição Fatec Sebrae - Email: ................................................. </w:t>
      </w:r>
    </w:p>
    <w:sectPr>
      <w:headerReference r:id="rId9" w:type="default"/>
      <w:headerReference r:id="rId10" w:type="first"/>
      <w:headerReference r:id="rId11" w:type="even"/>
      <w:footerReference r:id="rId12" w:type="default"/>
      <w:footerReference r:id="rId13" w:type="first"/>
      <w:footerReference r:id="rId14" w:type="even"/>
      <w:pgSz w:h="16840" w:w="11905" w:orient="portrait"/>
      <w:pgMar w:bottom="1133.8582677165355" w:top="1700.7874015748032" w:left="1700.7874015748032" w:right="1133.8582677165355"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font w:name="Georgia"/>
  <w:font w:name="Arial"/>
  <w:font w:name="Cardo"/>
  <w:font w:name="Gungsuh"/>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spacing w:after="0" w:lineRule="auto"/>
      <w:ind w:left="1316" w:firstLine="0"/>
      <w:rPr/>
    </w:pPr>
    <w:r w:rsidDel="00000000" w:rsidR="00000000" w:rsidRPr="00000000">
      <w:rPr>
        <w:rFonts w:ascii="Times New Roman" w:cs="Times New Roman" w:eastAsia="Times New Roman" w:hAnsi="Times New Roman"/>
        <w:b w:val="1"/>
        <w:bCs w:val="1"/>
        <w:sz w:val="16"/>
        <w:szCs w:val="16"/>
        <w:rtl w:val="0"/>
      </w:rPr>
      <w:t xml:space="preserve">Fatec Sebrae - Alameda Nothmann, 598 - Campos Elíseos, Cep. 01216-000- SP, São Paulo – SP </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-1084893</wp:posOffset>
              </wp:positionH>
              <wp:positionV relativeFrom="paragraph">
                <wp:posOffset>-4760</wp:posOffset>
              </wp:positionV>
              <wp:extent cx="1130935" cy="357505"/>
              <wp:effectExtent b="0" l="0" r="0" t="0"/>
              <wp:wrapNone/>
              <wp:docPr id="2" name=""/>
              <a:graphic>
                <a:graphicData uri="http://schemas.microsoft.com/office/word/2010/wordprocessingShape">
                  <wps:wsp>
                    <wps:cNvSpPr/>
                    <wps:cNvPr id="11" name="Shape 11"/>
                    <wps:spPr>
                      <a:xfrm>
                        <a:off x="0" y="0"/>
                        <a:ext cx="113093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CONFIDENCIAL</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-1084893</wp:posOffset>
              </wp:positionH>
              <wp:positionV relativeFrom="paragraph">
                <wp:posOffset>-4760</wp:posOffset>
              </wp:positionV>
              <wp:extent cx="1130935" cy="357505"/>
              <wp:effectExtent b="0" l="0" r="0" t="0"/>
              <wp:wrapNone/>
              <wp:docPr id="2"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1130935" cy="357505"/>
                      </a:xfrm>
                      <a:prstGeom prst="rect"/>
                      <a:ln/>
                    </pic:spPr>
                  </pic:pic>
                </a:graphicData>
              </a:graphic>
            </wp:anchor>
          </w:drawing>
        </mc:Fallback>
      </mc:AlternateContent>
    </w:r>
  </w:p>
  <w:p w:rsidR="00000000" w:rsidDel="00000000" w:rsidP="00000000" w:rsidRDefault="00000000" w:rsidRPr="00000000" w14:paraId="00000134">
    <w:pPr>
      <w:spacing w:after="0" w:lineRule="auto"/>
      <w:ind w:left="1011" w:firstLine="0"/>
      <w:rPr/>
    </w:pPr>
    <w:r w:rsidDel="00000000" w:rsidR="00000000" w:rsidRPr="00000000">
      <w:rPr>
        <w:rFonts w:ascii="Times New Roman" w:cs="Times New Roman" w:eastAsia="Times New Roman" w:hAnsi="Times New Roman"/>
        <w:b w:val="1"/>
        <w:bCs w:val="1"/>
        <w:sz w:val="16"/>
        <w:szCs w:val="16"/>
        <w:rtl w:val="0"/>
      </w:rPr>
      <w:t xml:space="preserve">Telefone, (11) 32241260- e-mail: </w:t>
    </w:r>
    <w:r w:rsidDel="00000000" w:rsidR="00000000" w:rsidRPr="00000000">
      <w:rPr>
        <w:rFonts w:ascii="Arial" w:cs="Arial" w:eastAsia="Arial" w:hAnsi="Arial"/>
        <w:color w:val="0000ff"/>
        <w:sz w:val="16"/>
        <w:szCs w:val="16"/>
        <w:u w:val="single"/>
        <w:rtl w:val="0"/>
      </w:rPr>
      <w:t xml:space="preserve">f272.administrativo@fatec.sp.gov.br</w:t>
    </w:r>
    <w:r w:rsidDel="00000000" w:rsidR="00000000" w:rsidRPr="00000000">
      <w:rPr>
        <w:rFonts w:ascii="Times New Roman" w:cs="Times New Roman" w:eastAsia="Times New Roman" w:hAnsi="Times New Roman"/>
        <w:b w:val="1"/>
        <w:bCs w:val="1"/>
        <w:sz w:val="16"/>
        <w:szCs w:val="16"/>
        <w:rtl w:val="0"/>
      </w:rPr>
      <w:t xml:space="preserve">   -   site: </w:t>
    </w:r>
    <w:r w:rsidDel="00000000" w:rsidR="00000000" w:rsidRPr="00000000">
      <w:rPr>
        <w:rFonts w:ascii="Times New Roman" w:cs="Times New Roman" w:eastAsia="Times New Roman" w:hAnsi="Times New Roman"/>
        <w:b w:val="1"/>
        <w:bCs w:val="1"/>
        <w:color w:val="0000ff"/>
        <w:sz w:val="16"/>
        <w:szCs w:val="16"/>
        <w:u w:val="single"/>
        <w:rtl w:val="0"/>
      </w:rPr>
      <w:t xml:space="preserve">www.fatecsebrae.edu.br</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tl w:val="0"/>
      </w:rPr>
    </w:r>
  </w:p>
  <w:p w:rsidR="00000000" w:rsidDel="00000000" w:rsidP="00000000" w:rsidRDefault="00000000" w:rsidRPr="00000000" w14:paraId="00000135">
    <w:pPr>
      <w:spacing w:after="0" w:lineRule="auto"/>
      <w:ind w:right="63"/>
      <w:jc w:val="center"/>
      <w:rPr/>
    </w:pPr>
    <w:r w:rsidDel="00000000" w:rsidR="00000000" w:rsidRPr="00000000">
      <w:rPr>
        <w:b w:val="1"/>
        <w:bCs w:val="1"/>
        <w:sz w:val="16"/>
        <w:szCs w:val="16"/>
        <w:rtl w:val="0"/>
      </w:rPr>
      <w:t xml:space="preserve">EDITAL nº 12/2024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spacing w:after="0" w:lineRule="auto"/>
      <w:ind w:left="1316" w:firstLine="0"/>
      <w:rPr/>
    </w:pPr>
    <w:r w:rsidDel="00000000" w:rsidR="00000000" w:rsidRPr="00000000">
      <w:rPr>
        <w:rFonts w:ascii="Times New Roman" w:cs="Times New Roman" w:eastAsia="Times New Roman" w:hAnsi="Times New Roman"/>
        <w:b w:val="1"/>
        <w:bCs w:val="1"/>
        <w:sz w:val="16"/>
        <w:szCs w:val="16"/>
        <w:rtl w:val="0"/>
      </w:rPr>
      <w:t xml:space="preserve">Fatec Sebrae - Alameda Nothmann, 598 - Campos Elíseos, Cep. 01216-000- SP, São Paulo – SP </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-1084893</wp:posOffset>
              </wp:positionH>
              <wp:positionV relativeFrom="paragraph">
                <wp:posOffset>-4760</wp:posOffset>
              </wp:positionV>
              <wp:extent cx="1130935" cy="357505"/>
              <wp:effectExtent b="0" l="0" r="0" t="0"/>
              <wp:wrapNone/>
              <wp:docPr id="1" name=""/>
              <a:graphic>
                <a:graphicData uri="http://schemas.microsoft.com/office/word/2010/wordprocessingShape">
                  <wps:wsp>
                    <wps:cNvSpPr/>
                    <wps:cNvPr id="6" name="Shape 6"/>
                    <wps:spPr>
                      <a:xfrm>
                        <a:off x="0" y="0"/>
                        <a:ext cx="113093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CONFIDENCIAL</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-1084893</wp:posOffset>
              </wp:positionH>
              <wp:positionV relativeFrom="paragraph">
                <wp:posOffset>-4760</wp:posOffset>
              </wp:positionV>
              <wp:extent cx="1130935" cy="357505"/>
              <wp:effectExtent b="0" l="0" r="0" t="0"/>
              <wp:wrapNone/>
              <wp:docPr id="1"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130935" cy="357505"/>
                      </a:xfrm>
                      <a:prstGeom prst="rect"/>
                      <a:ln/>
                    </pic:spPr>
                  </pic:pic>
                </a:graphicData>
              </a:graphic>
            </wp:anchor>
          </w:drawing>
        </mc:Fallback>
      </mc:AlternateContent>
    </w:r>
  </w:p>
  <w:p w:rsidR="00000000" w:rsidDel="00000000" w:rsidP="00000000" w:rsidRDefault="00000000" w:rsidRPr="00000000" w14:paraId="00000137">
    <w:pPr>
      <w:spacing w:after="0" w:lineRule="auto"/>
      <w:ind w:left="1011" w:firstLine="0"/>
      <w:rPr/>
    </w:pPr>
    <w:r w:rsidDel="00000000" w:rsidR="00000000" w:rsidRPr="00000000">
      <w:rPr>
        <w:rFonts w:ascii="Times New Roman" w:cs="Times New Roman" w:eastAsia="Times New Roman" w:hAnsi="Times New Roman"/>
        <w:b w:val="1"/>
        <w:bCs w:val="1"/>
        <w:sz w:val="16"/>
        <w:szCs w:val="16"/>
        <w:rtl w:val="0"/>
      </w:rPr>
      <w:t xml:space="preserve">Telefone, (11) 32241260- e-mail: </w:t>
    </w:r>
    <w:r w:rsidDel="00000000" w:rsidR="00000000" w:rsidRPr="00000000">
      <w:rPr>
        <w:rFonts w:ascii="Arial" w:cs="Arial" w:eastAsia="Arial" w:hAnsi="Arial"/>
        <w:color w:val="0000ff"/>
        <w:sz w:val="16"/>
        <w:szCs w:val="16"/>
        <w:u w:val="single"/>
        <w:rtl w:val="0"/>
      </w:rPr>
      <w:t xml:space="preserve">f272.administrativo@fatec.sp.gov.br</w:t>
    </w:r>
    <w:r w:rsidDel="00000000" w:rsidR="00000000" w:rsidRPr="00000000">
      <w:rPr>
        <w:rFonts w:ascii="Times New Roman" w:cs="Times New Roman" w:eastAsia="Times New Roman" w:hAnsi="Times New Roman"/>
        <w:b w:val="1"/>
        <w:bCs w:val="1"/>
        <w:sz w:val="16"/>
        <w:szCs w:val="16"/>
        <w:rtl w:val="0"/>
      </w:rPr>
      <w:t xml:space="preserve">   -   site: </w:t>
    </w:r>
    <w:r w:rsidDel="00000000" w:rsidR="00000000" w:rsidRPr="00000000">
      <w:rPr>
        <w:rFonts w:ascii="Times New Roman" w:cs="Times New Roman" w:eastAsia="Times New Roman" w:hAnsi="Times New Roman"/>
        <w:b w:val="1"/>
        <w:bCs w:val="1"/>
        <w:color w:val="0000ff"/>
        <w:sz w:val="16"/>
        <w:szCs w:val="16"/>
        <w:u w:val="single"/>
        <w:rtl w:val="0"/>
      </w:rPr>
      <w:t xml:space="preserve">www.fatecsebrae.edu.br</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tl w:val="0"/>
      </w:rPr>
    </w:r>
  </w:p>
  <w:p w:rsidR="00000000" w:rsidDel="00000000" w:rsidP="00000000" w:rsidRDefault="00000000" w:rsidRPr="00000000" w14:paraId="00000138">
    <w:pPr>
      <w:spacing w:after="0" w:lineRule="auto"/>
      <w:ind w:right="63"/>
      <w:jc w:val="center"/>
      <w:rPr/>
    </w:pPr>
    <w:r w:rsidDel="00000000" w:rsidR="00000000" w:rsidRPr="00000000">
      <w:rPr>
        <w:b w:val="1"/>
        <w:bCs w:val="1"/>
        <w:sz w:val="16"/>
        <w:szCs w:val="16"/>
        <w:rtl w:val="0"/>
      </w:rPr>
      <w:t xml:space="preserve">EDITAL nº 12/2024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spacing w:after="0" w:lineRule="auto"/>
      <w:ind w:left="1316" w:firstLine="0"/>
      <w:rPr/>
    </w:pPr>
    <w:r w:rsidDel="00000000" w:rsidR="00000000" w:rsidRPr="00000000">
      <w:rPr>
        <w:rFonts w:ascii="Times New Roman" w:cs="Times New Roman" w:eastAsia="Times New Roman" w:hAnsi="Times New Roman"/>
        <w:b w:val="1"/>
        <w:bCs w:val="1"/>
        <w:sz w:val="16"/>
        <w:szCs w:val="16"/>
        <w:rtl w:val="0"/>
      </w:rPr>
      <w:t xml:space="preserve">Fatec Sebrae - Alameda Nothmann, 598 - Campos Elíseos, Cep. 01216-000- SP, São Paulo – SP </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-1084893</wp:posOffset>
              </wp:positionH>
              <wp:positionV relativeFrom="paragraph">
                <wp:posOffset>-4760</wp:posOffset>
              </wp:positionV>
              <wp:extent cx="1130935" cy="357505"/>
              <wp:effectExtent b="0" l="0" r="0" t="0"/>
              <wp:wrapNone/>
              <wp:docPr id="3" name=""/>
              <a:graphic>
                <a:graphicData uri="http://schemas.microsoft.com/office/word/2010/wordprocessingShape">
                  <wps:wsp>
                    <wps:cNvSpPr/>
                    <wps:cNvPr id="5" name="Shape 5"/>
                    <wps:spPr>
                      <a:xfrm>
                        <a:off x="0" y="0"/>
                        <a:ext cx="113093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CONFIDENCIAL</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-1084893</wp:posOffset>
              </wp:positionH>
              <wp:positionV relativeFrom="paragraph">
                <wp:posOffset>-4760</wp:posOffset>
              </wp:positionV>
              <wp:extent cx="1130935" cy="357505"/>
              <wp:effectExtent b="0" l="0" r="0" t="0"/>
              <wp:wrapNone/>
              <wp:docPr id="3"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1130935" cy="357505"/>
                      </a:xfrm>
                      <a:prstGeom prst="rect"/>
                      <a:ln/>
                    </pic:spPr>
                  </pic:pic>
                </a:graphicData>
              </a:graphic>
            </wp:anchor>
          </w:drawing>
        </mc:Fallback>
      </mc:AlternateContent>
    </w:r>
  </w:p>
  <w:p w:rsidR="00000000" w:rsidDel="00000000" w:rsidP="00000000" w:rsidRDefault="00000000" w:rsidRPr="00000000" w14:paraId="0000013A">
    <w:pPr>
      <w:spacing w:after="0" w:lineRule="auto"/>
      <w:ind w:left="1011" w:firstLine="0"/>
      <w:rPr/>
    </w:pPr>
    <w:r w:rsidDel="00000000" w:rsidR="00000000" w:rsidRPr="00000000">
      <w:rPr>
        <w:rFonts w:ascii="Times New Roman" w:cs="Times New Roman" w:eastAsia="Times New Roman" w:hAnsi="Times New Roman"/>
        <w:b w:val="1"/>
        <w:bCs w:val="1"/>
        <w:sz w:val="16"/>
        <w:szCs w:val="16"/>
        <w:rtl w:val="0"/>
      </w:rPr>
      <w:t xml:space="preserve">Telefone, (11) 32241260- e-mail: </w:t>
    </w:r>
    <w:r w:rsidDel="00000000" w:rsidR="00000000" w:rsidRPr="00000000">
      <w:rPr>
        <w:rFonts w:ascii="Arial" w:cs="Arial" w:eastAsia="Arial" w:hAnsi="Arial"/>
        <w:color w:val="0000ff"/>
        <w:sz w:val="16"/>
        <w:szCs w:val="16"/>
        <w:u w:val="single"/>
        <w:rtl w:val="0"/>
      </w:rPr>
      <w:t xml:space="preserve">f272.administrativo@fatec.sp.gov.br</w:t>
    </w:r>
    <w:r w:rsidDel="00000000" w:rsidR="00000000" w:rsidRPr="00000000">
      <w:rPr>
        <w:rFonts w:ascii="Times New Roman" w:cs="Times New Roman" w:eastAsia="Times New Roman" w:hAnsi="Times New Roman"/>
        <w:b w:val="1"/>
        <w:bCs w:val="1"/>
        <w:sz w:val="16"/>
        <w:szCs w:val="16"/>
        <w:rtl w:val="0"/>
      </w:rPr>
      <w:t xml:space="preserve">   -   site: </w:t>
    </w:r>
    <w:r w:rsidDel="00000000" w:rsidR="00000000" w:rsidRPr="00000000">
      <w:rPr>
        <w:rFonts w:ascii="Times New Roman" w:cs="Times New Roman" w:eastAsia="Times New Roman" w:hAnsi="Times New Roman"/>
        <w:b w:val="1"/>
        <w:bCs w:val="1"/>
        <w:color w:val="0000ff"/>
        <w:sz w:val="16"/>
        <w:szCs w:val="16"/>
        <w:u w:val="single"/>
        <w:rtl w:val="0"/>
      </w:rPr>
      <w:t xml:space="preserve">www.fatecsebrae.edu.br</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tl w:val="0"/>
      </w:rPr>
    </w:r>
  </w:p>
  <w:p w:rsidR="00000000" w:rsidDel="00000000" w:rsidP="00000000" w:rsidRDefault="00000000" w:rsidRPr="00000000" w14:paraId="0000013B">
    <w:pPr>
      <w:spacing w:after="0" w:lineRule="auto"/>
      <w:ind w:right="63"/>
      <w:jc w:val="center"/>
      <w:rPr/>
    </w:pPr>
    <w:r w:rsidDel="00000000" w:rsidR="00000000" w:rsidRPr="00000000">
      <w:rPr>
        <w:b w:val="1"/>
        <w:bCs w:val="1"/>
        <w:sz w:val="16"/>
        <w:szCs w:val="16"/>
        <w:rtl w:val="0"/>
      </w:rPr>
      <w:t xml:space="preserve">EDITAL nº 12/2024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after="0" w:lineRule="auto"/>
      <w:ind w:right="-542"/>
      <w:jc w:val="righ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align>left</wp:align>
              </wp:positionH>
              <wp:positionV relativeFrom="page">
                <wp:align>top</wp:align>
              </wp:positionV>
              <wp:extent cx="1130935" cy="357505"/>
              <wp:effectExtent b="0" l="0" r="0" t="0"/>
              <wp:wrapNone/>
              <wp:docPr id="10" name=""/>
              <a:graphic>
                <a:graphicData uri="http://schemas.microsoft.com/office/word/2010/wordprocessingShape">
                  <wps:wsp>
                    <wps:cNvSpPr/>
                    <wps:cNvPr id="15" name="Shape 15"/>
                    <wps:spPr>
                      <a:xfrm>
                        <a:off x="0" y="0"/>
                        <a:ext cx="113093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CONFIDENCIAL</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130935" cy="357505"/>
              <wp:effectExtent b="0" l="0" r="0" t="0"/>
              <wp:wrapNone/>
              <wp:docPr id="10" name="image16.png"/>
              <a:graphic>
                <a:graphicData uri="http://schemas.openxmlformats.org/drawingml/2006/picture">
                  <pic:pic>
                    <pic:nvPicPr>
                      <pic:cNvPr id="0" name="image16.png"/>
                      <pic:cNvPicPr preferRelativeResize="0"/>
                    </pic:nvPicPr>
                    <pic:blipFill>
                      <a:blip r:embed="rId3"/>
                      <a:srcRect b="0" l="0" r="0" t="0"/>
                      <a:stretch>
                        <a:fillRect/>
                      </a:stretch>
                    </pic:blipFill>
                    <pic:spPr>
                      <a:xfrm>
                        <a:off x="0" y="0"/>
                        <a:ext cx="1130935" cy="357505"/>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4721860</wp:posOffset>
              </wp:positionH>
              <wp:positionV relativeFrom="page">
                <wp:posOffset>360045</wp:posOffset>
              </wp:positionV>
              <wp:extent cx="2117586" cy="694690"/>
              <wp:effectExtent b="0" l="0" r="0" t="0"/>
              <wp:wrapSquare wrapText="bothSides" distB="0" distT="0" distL="114300" distR="114300"/>
              <wp:docPr id="9" name=""/>
              <a:graphic>
                <a:graphicData uri="http://schemas.microsoft.com/office/word/2010/wordprocessingGroup">
                  <wpg:wgp>
                    <wpg:cNvGrpSpPr/>
                    <wpg:grpSpPr>
                      <a:xfrm>
                        <a:off x="0" y="0"/>
                        <a:ext cx="2117586" cy="694690"/>
                        <a:chOff x="4287200" y="3432650"/>
                        <a:chExt cx="2117600" cy="694700"/>
                      </a:xfrm>
                    </wpg:grpSpPr>
                    <wpg:grpSp>
                      <wpg:cNvGrpSpPr/>
                      <wpg:grpSpPr>
                        <a:xfrm>
                          <a:off x="4287207" y="3432655"/>
                          <a:ext cx="2117586" cy="694690"/>
                          <a:chOff x="0" y="0"/>
                          <a:chExt cx="2117586" cy="694690"/>
                        </a:xfrm>
                      </wpg:grpSpPr>
                      <wps:wsp>
                        <wps:cNvSpPr/>
                        <wps:cNvPr id="3" name="Shape 3"/>
                        <wps:spPr>
                          <a:xfrm>
                            <a:off x="0" y="0"/>
                            <a:ext cx="2117575" cy="69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0" y="85090"/>
                            <a:ext cx="1096861" cy="604520"/>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1104900" y="0"/>
                            <a:ext cx="1012686" cy="69469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4721860</wp:posOffset>
              </wp:positionH>
              <wp:positionV relativeFrom="page">
                <wp:posOffset>360045</wp:posOffset>
              </wp:positionV>
              <wp:extent cx="2117586" cy="694690"/>
              <wp:effectExtent b="0" l="0" r="0" t="0"/>
              <wp:wrapSquare wrapText="bothSides" distB="0" distT="0" distL="114300" distR="114300"/>
              <wp:docPr id="9" name="image15.png"/>
              <a:graphic>
                <a:graphicData uri="http://schemas.openxmlformats.org/drawingml/2006/picture">
                  <pic:pic>
                    <pic:nvPicPr>
                      <pic:cNvPr id="0" name="image15.png"/>
                      <pic:cNvPicPr preferRelativeResize="0"/>
                    </pic:nvPicPr>
                    <pic:blipFill>
                      <a:blip r:embed="rId4"/>
                      <a:srcRect b="0" l="0" r="0" t="0"/>
                      <a:stretch>
                        <a:fillRect/>
                      </a:stretch>
                    </pic:blipFill>
                    <pic:spPr>
                      <a:xfrm>
                        <a:off x="0" y="0"/>
                        <a:ext cx="2117586" cy="694690"/>
                      </a:xfrm>
                      <a:prstGeom prst="rect"/>
                      <a:ln/>
                    </pic:spPr>
                  </pic:pic>
                </a:graphicData>
              </a:graphic>
            </wp:anchor>
          </w:drawing>
        </mc:Fallback>
      </mc:AlternateConten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spacing w:after="0" w:lineRule="auto"/>
      <w:ind w:right="-542"/>
      <w:jc w:val="righ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align>left</wp:align>
              </wp:positionH>
              <wp:positionV relativeFrom="page">
                <wp:align>top</wp:align>
              </wp:positionV>
              <wp:extent cx="1130935" cy="357505"/>
              <wp:effectExtent b="0" l="0" r="0" t="0"/>
              <wp:wrapNone/>
              <wp:docPr id="6" name=""/>
              <a:graphic>
                <a:graphicData uri="http://schemas.microsoft.com/office/word/2010/wordprocessingShape">
                  <wps:wsp>
                    <wps:cNvSpPr/>
                    <wps:cNvPr id="16" name="Shape 16"/>
                    <wps:spPr>
                      <a:xfrm>
                        <a:off x="0" y="0"/>
                        <a:ext cx="113093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CONFIDENCIAL</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130935" cy="357505"/>
              <wp:effectExtent b="0" l="0" r="0" t="0"/>
              <wp:wrapNone/>
              <wp:docPr id="6" name="image12.png"/>
              <a:graphic>
                <a:graphicData uri="http://schemas.openxmlformats.org/drawingml/2006/picture">
                  <pic:pic>
                    <pic:nvPicPr>
                      <pic:cNvPr id="0" name="image12.png"/>
                      <pic:cNvPicPr preferRelativeResize="0"/>
                    </pic:nvPicPr>
                    <pic:blipFill>
                      <a:blip r:embed="rId3"/>
                      <a:srcRect b="0" l="0" r="0" t="0"/>
                      <a:stretch>
                        <a:fillRect/>
                      </a:stretch>
                    </pic:blipFill>
                    <pic:spPr>
                      <a:xfrm>
                        <a:off x="0" y="0"/>
                        <a:ext cx="1130935" cy="357505"/>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4721860</wp:posOffset>
              </wp:positionH>
              <wp:positionV relativeFrom="page">
                <wp:posOffset>360045</wp:posOffset>
              </wp:positionV>
              <wp:extent cx="2117586" cy="694690"/>
              <wp:effectExtent b="0" l="0" r="0" t="0"/>
              <wp:wrapSquare wrapText="bothSides" distB="0" distT="0" distL="114300" distR="114300"/>
              <wp:docPr id="5" name=""/>
              <a:graphic>
                <a:graphicData uri="http://schemas.microsoft.com/office/word/2010/wordprocessingGroup">
                  <wpg:wgp>
                    <wpg:cNvGrpSpPr/>
                    <wpg:grpSpPr>
                      <a:xfrm>
                        <a:off x="0" y="0"/>
                        <a:ext cx="2117586" cy="694690"/>
                        <a:chOff x="4287200" y="3432650"/>
                        <a:chExt cx="2117600" cy="694700"/>
                      </a:xfrm>
                    </wpg:grpSpPr>
                    <wpg:grpSp>
                      <wpg:cNvGrpSpPr/>
                      <wpg:grpSpPr>
                        <a:xfrm>
                          <a:off x="4287207" y="3432655"/>
                          <a:ext cx="2117586" cy="694690"/>
                          <a:chOff x="0" y="0"/>
                          <a:chExt cx="2117586" cy="694690"/>
                        </a:xfrm>
                      </wpg:grpSpPr>
                      <wps:wsp>
                        <wps:cNvSpPr/>
                        <wps:cNvPr id="3" name="Shape 3"/>
                        <wps:spPr>
                          <a:xfrm>
                            <a:off x="0" y="0"/>
                            <a:ext cx="2117575" cy="69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1">
                            <a:alphaModFix/>
                          </a:blip>
                          <a:srcRect b="0" l="0" r="0" t="0"/>
                          <a:stretch/>
                        </pic:blipFill>
                        <pic:spPr>
                          <a:xfrm>
                            <a:off x="0" y="85090"/>
                            <a:ext cx="1096861" cy="604520"/>
                          </a:xfrm>
                          <a:prstGeom prst="rect">
                            <a:avLst/>
                          </a:prstGeom>
                          <a:noFill/>
                          <a:ln>
                            <a:noFill/>
                          </a:ln>
                        </pic:spPr>
                      </pic:pic>
                      <pic:pic>
                        <pic:nvPicPr>
                          <pic:cNvPr id="10" name="Shape 10"/>
                          <pic:cNvPicPr preferRelativeResize="0"/>
                        </pic:nvPicPr>
                        <pic:blipFill rotWithShape="1">
                          <a:blip r:embed="rId2">
                            <a:alphaModFix/>
                          </a:blip>
                          <a:srcRect b="0" l="0" r="0" t="0"/>
                          <a:stretch/>
                        </pic:blipFill>
                        <pic:spPr>
                          <a:xfrm>
                            <a:off x="1104900" y="0"/>
                            <a:ext cx="1012686" cy="69469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4721860</wp:posOffset>
              </wp:positionH>
              <wp:positionV relativeFrom="page">
                <wp:posOffset>360045</wp:posOffset>
              </wp:positionV>
              <wp:extent cx="2117586" cy="694690"/>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4"/>
                      <a:srcRect b="0" l="0" r="0" t="0"/>
                      <a:stretch>
                        <a:fillRect/>
                      </a:stretch>
                    </pic:blipFill>
                    <pic:spPr>
                      <a:xfrm>
                        <a:off x="0" y="0"/>
                        <a:ext cx="2117586" cy="694690"/>
                      </a:xfrm>
                      <a:prstGeom prst="rect"/>
                      <a:ln/>
                    </pic:spPr>
                  </pic:pic>
                </a:graphicData>
              </a:graphic>
            </wp:anchor>
          </w:drawing>
        </mc:Fallback>
      </mc:AlternateConten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spacing w:after="0" w:lineRule="auto"/>
      <w:ind w:right="-542"/>
      <w:jc w:val="righ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align>left</wp:align>
              </wp:positionH>
              <wp:positionV relativeFrom="page">
                <wp:align>top</wp:align>
              </wp:positionV>
              <wp:extent cx="1130935" cy="357505"/>
              <wp:effectExtent b="0" l="0" r="0" t="0"/>
              <wp:wrapNone/>
              <wp:docPr id="8" name=""/>
              <a:graphic>
                <a:graphicData uri="http://schemas.microsoft.com/office/word/2010/wordprocessingShape">
                  <wps:wsp>
                    <wps:cNvSpPr/>
                    <wps:cNvPr id="7" name="Shape 7"/>
                    <wps:spPr>
                      <a:xfrm>
                        <a:off x="0" y="0"/>
                        <a:ext cx="1130935" cy="357505"/>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CONFIDENCIAL</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130935" cy="357505"/>
              <wp:effectExtent b="0" l="0" r="0" t="0"/>
              <wp:wrapNone/>
              <wp:docPr id="8" name="image14.png"/>
              <a:graphic>
                <a:graphicData uri="http://schemas.openxmlformats.org/drawingml/2006/picture">
                  <pic:pic>
                    <pic:nvPicPr>
                      <pic:cNvPr id="0" name="image14.png"/>
                      <pic:cNvPicPr preferRelativeResize="0"/>
                    </pic:nvPicPr>
                    <pic:blipFill>
                      <a:blip r:embed="rId3"/>
                      <a:srcRect b="0" l="0" r="0" t="0"/>
                      <a:stretch>
                        <a:fillRect/>
                      </a:stretch>
                    </pic:blipFill>
                    <pic:spPr>
                      <a:xfrm>
                        <a:off x="0" y="0"/>
                        <a:ext cx="1130935" cy="357505"/>
                      </a:xfrm>
                      <a:prstGeom prst="rect"/>
                      <a:ln/>
                    </pic:spPr>
                  </pic:pic>
                </a:graphicData>
              </a:graphic>
            </wp:anchor>
          </w:drawing>
        </mc:Fallback>
      </mc:AlternateConten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4721860</wp:posOffset>
              </wp:positionH>
              <wp:positionV relativeFrom="page">
                <wp:posOffset>360045</wp:posOffset>
              </wp:positionV>
              <wp:extent cx="2117586" cy="694690"/>
              <wp:effectExtent b="0" l="0" r="0" t="0"/>
              <wp:wrapSquare wrapText="bothSides" distB="0" distT="0" distL="114300" distR="114300"/>
              <wp:docPr id="7" name=""/>
              <a:graphic>
                <a:graphicData uri="http://schemas.microsoft.com/office/word/2010/wordprocessingGroup">
                  <wpg:wgp>
                    <wpg:cNvGrpSpPr/>
                    <wpg:grpSpPr>
                      <a:xfrm>
                        <a:off x="0" y="0"/>
                        <a:ext cx="2117586" cy="694690"/>
                        <a:chOff x="4287200" y="3432650"/>
                        <a:chExt cx="2117600" cy="694700"/>
                      </a:xfrm>
                    </wpg:grpSpPr>
                    <wpg:grpSp>
                      <wpg:cNvGrpSpPr/>
                      <wpg:grpSpPr>
                        <a:xfrm>
                          <a:off x="4287207" y="3432655"/>
                          <a:ext cx="2117586" cy="694690"/>
                          <a:chOff x="0" y="0"/>
                          <a:chExt cx="2117586" cy="694690"/>
                        </a:xfrm>
                      </wpg:grpSpPr>
                      <wps:wsp>
                        <wps:cNvSpPr/>
                        <wps:cNvPr id="3" name="Shape 3"/>
                        <wps:spPr>
                          <a:xfrm>
                            <a:off x="0" y="0"/>
                            <a:ext cx="2117575" cy="69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0" y="85090"/>
                            <a:ext cx="1096861" cy="604520"/>
                          </a:xfrm>
                          <a:prstGeom prst="rect">
                            <a:avLst/>
                          </a:prstGeom>
                          <a:noFill/>
                          <a:ln>
                            <a:noFill/>
                          </a:ln>
                        </pic:spPr>
                      </pic:pic>
                      <pic:pic>
                        <pic:nvPicPr>
                          <pic:cNvPr id="14" name="Shape 14"/>
                          <pic:cNvPicPr preferRelativeResize="0"/>
                        </pic:nvPicPr>
                        <pic:blipFill rotWithShape="1">
                          <a:blip r:embed="rId2">
                            <a:alphaModFix/>
                          </a:blip>
                          <a:srcRect b="0" l="0" r="0" t="0"/>
                          <a:stretch/>
                        </pic:blipFill>
                        <pic:spPr>
                          <a:xfrm>
                            <a:off x="1104900" y="0"/>
                            <a:ext cx="1012686" cy="69469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4721860</wp:posOffset>
              </wp:positionH>
              <wp:positionV relativeFrom="page">
                <wp:posOffset>360045</wp:posOffset>
              </wp:positionV>
              <wp:extent cx="2117586" cy="694690"/>
              <wp:effectExtent b="0" l="0" r="0" t="0"/>
              <wp:wrapSquare wrapText="bothSides" distB="0" distT="0" distL="114300" distR="114300"/>
              <wp:docPr id="7" name="image13.png"/>
              <a:graphic>
                <a:graphicData uri="http://schemas.openxmlformats.org/drawingml/2006/picture">
                  <pic:pic>
                    <pic:nvPicPr>
                      <pic:cNvPr id="0" name="image13.png"/>
                      <pic:cNvPicPr preferRelativeResize="0"/>
                    </pic:nvPicPr>
                    <pic:blipFill>
                      <a:blip r:embed="rId4"/>
                      <a:srcRect b="0" l="0" r="0" t="0"/>
                      <a:stretch>
                        <a:fillRect/>
                      </a:stretch>
                    </pic:blipFill>
                    <pic:spPr>
                      <a:xfrm>
                        <a:off x="0" y="0"/>
                        <a:ext cx="2117586" cy="694690"/>
                      </a:xfrm>
                      <a:prstGeom prst="rect"/>
                      <a:ln/>
                    </pic:spPr>
                  </pic:pic>
                </a:graphicData>
              </a:graphic>
            </wp:anchor>
          </w:drawing>
        </mc:Fallback>
      </mc:AlternateConten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lowerRoman"/>
      <w:lvlText w:val="%1"/>
      <w:lvlJc w:val="left"/>
      <w:pPr>
        <w:ind w:left="146" w:hanging="146"/>
      </w:pPr>
      <w:rPr>
        <w:rFonts w:ascii="Arial" w:cs="Arial" w:eastAsia="Arial" w:hAnsi="Arial"/>
        <w:b w:val="0"/>
        <w:bCs w:val="0"/>
        <w:i w:val="0"/>
        <w:iCs w:val="0"/>
        <w:strike w:val="0"/>
        <w:color w:val="000000"/>
        <w:sz w:val="20"/>
        <w:szCs w:val="20"/>
        <w:u w:val="none"/>
        <w:shd w:fill="auto" w:val="clear"/>
        <w:vertAlign w:val="superscript"/>
      </w:rPr>
    </w:lvl>
    <w:lvl w:ilvl="1">
      <w:start w:val="1"/>
      <w:numFmt w:val="lowerLetter"/>
      <w:lvlText w:val="%2"/>
      <w:lvlJc w:val="left"/>
      <w:pPr>
        <w:ind w:left="1080" w:hanging="1080"/>
      </w:pPr>
      <w:rPr>
        <w:rFonts w:ascii="Arial" w:cs="Arial" w:eastAsia="Arial" w:hAnsi="Arial"/>
        <w:b w:val="0"/>
        <w:bCs w:val="0"/>
        <w:i w:val="0"/>
        <w:iCs w:val="0"/>
        <w:strike w:val="0"/>
        <w:color w:val="000000"/>
        <w:sz w:val="20"/>
        <w:szCs w:val="20"/>
        <w:u w:val="none"/>
        <w:shd w:fill="auto" w:val="clear"/>
        <w:vertAlign w:val="superscript"/>
      </w:rPr>
    </w:lvl>
    <w:lvl w:ilvl="2">
      <w:start w:val="1"/>
      <w:numFmt w:val="lowerRoman"/>
      <w:lvlText w:val="%3"/>
      <w:lvlJc w:val="left"/>
      <w:pPr>
        <w:ind w:left="1800" w:hanging="1800"/>
      </w:pPr>
      <w:rPr>
        <w:rFonts w:ascii="Arial" w:cs="Arial" w:eastAsia="Arial" w:hAnsi="Arial"/>
        <w:b w:val="0"/>
        <w:bCs w:val="0"/>
        <w:i w:val="0"/>
        <w:iCs w:val="0"/>
        <w:strike w:val="0"/>
        <w:color w:val="000000"/>
        <w:sz w:val="20"/>
        <w:szCs w:val="20"/>
        <w:u w:val="none"/>
        <w:shd w:fill="auto" w:val="clear"/>
        <w:vertAlign w:val="superscript"/>
      </w:rPr>
    </w:lvl>
    <w:lvl w:ilvl="3">
      <w:start w:val="1"/>
      <w:numFmt w:val="decimal"/>
      <w:lvlText w:val="%4"/>
      <w:lvlJc w:val="left"/>
      <w:pPr>
        <w:ind w:left="2520" w:hanging="2520"/>
      </w:pPr>
      <w:rPr>
        <w:rFonts w:ascii="Arial" w:cs="Arial" w:eastAsia="Arial" w:hAnsi="Arial"/>
        <w:b w:val="0"/>
        <w:bCs w:val="0"/>
        <w:i w:val="0"/>
        <w:iCs w:val="0"/>
        <w:strike w:val="0"/>
        <w:color w:val="000000"/>
        <w:sz w:val="20"/>
        <w:szCs w:val="20"/>
        <w:u w:val="none"/>
        <w:shd w:fill="auto" w:val="clear"/>
        <w:vertAlign w:val="superscript"/>
      </w:rPr>
    </w:lvl>
    <w:lvl w:ilvl="4">
      <w:start w:val="1"/>
      <w:numFmt w:val="lowerLetter"/>
      <w:lvlText w:val="%5"/>
      <w:lvlJc w:val="left"/>
      <w:pPr>
        <w:ind w:left="3240" w:hanging="3240"/>
      </w:pPr>
      <w:rPr>
        <w:rFonts w:ascii="Arial" w:cs="Arial" w:eastAsia="Arial" w:hAnsi="Arial"/>
        <w:b w:val="0"/>
        <w:bCs w:val="0"/>
        <w:i w:val="0"/>
        <w:iCs w:val="0"/>
        <w:strike w:val="0"/>
        <w:color w:val="000000"/>
        <w:sz w:val="20"/>
        <w:szCs w:val="20"/>
        <w:u w:val="none"/>
        <w:shd w:fill="auto" w:val="clear"/>
        <w:vertAlign w:val="superscript"/>
      </w:rPr>
    </w:lvl>
    <w:lvl w:ilvl="5">
      <w:start w:val="1"/>
      <w:numFmt w:val="lowerRoman"/>
      <w:lvlText w:val="%6"/>
      <w:lvlJc w:val="left"/>
      <w:pPr>
        <w:ind w:left="3960" w:hanging="3960"/>
      </w:pPr>
      <w:rPr>
        <w:rFonts w:ascii="Arial" w:cs="Arial" w:eastAsia="Arial" w:hAnsi="Arial"/>
        <w:b w:val="0"/>
        <w:bCs w:val="0"/>
        <w:i w:val="0"/>
        <w:iCs w:val="0"/>
        <w:strike w:val="0"/>
        <w:color w:val="000000"/>
        <w:sz w:val="20"/>
        <w:szCs w:val="20"/>
        <w:u w:val="none"/>
        <w:shd w:fill="auto" w:val="clear"/>
        <w:vertAlign w:val="superscript"/>
      </w:rPr>
    </w:lvl>
    <w:lvl w:ilvl="6">
      <w:start w:val="1"/>
      <w:numFmt w:val="decimal"/>
      <w:lvlText w:val="%7"/>
      <w:lvlJc w:val="left"/>
      <w:pPr>
        <w:ind w:left="4680" w:hanging="4680"/>
      </w:pPr>
      <w:rPr>
        <w:rFonts w:ascii="Arial" w:cs="Arial" w:eastAsia="Arial" w:hAnsi="Arial"/>
        <w:b w:val="0"/>
        <w:bCs w:val="0"/>
        <w:i w:val="0"/>
        <w:iCs w:val="0"/>
        <w:strike w:val="0"/>
        <w:color w:val="000000"/>
        <w:sz w:val="20"/>
        <w:szCs w:val="20"/>
        <w:u w:val="none"/>
        <w:shd w:fill="auto" w:val="clear"/>
        <w:vertAlign w:val="superscript"/>
      </w:rPr>
    </w:lvl>
    <w:lvl w:ilvl="7">
      <w:start w:val="1"/>
      <w:numFmt w:val="lowerLetter"/>
      <w:lvlText w:val="%8"/>
      <w:lvlJc w:val="left"/>
      <w:pPr>
        <w:ind w:left="5400" w:hanging="5400"/>
      </w:pPr>
      <w:rPr>
        <w:rFonts w:ascii="Arial" w:cs="Arial" w:eastAsia="Arial" w:hAnsi="Arial"/>
        <w:b w:val="0"/>
        <w:bCs w:val="0"/>
        <w:i w:val="0"/>
        <w:iCs w:val="0"/>
        <w:strike w:val="0"/>
        <w:color w:val="000000"/>
        <w:sz w:val="20"/>
        <w:szCs w:val="20"/>
        <w:u w:val="none"/>
        <w:shd w:fill="auto" w:val="clear"/>
        <w:vertAlign w:val="superscript"/>
      </w:rPr>
    </w:lvl>
    <w:lvl w:ilvl="8">
      <w:start w:val="1"/>
      <w:numFmt w:val="lowerRoman"/>
      <w:lvlText w:val="%9"/>
      <w:lvlJc w:val="left"/>
      <w:pPr>
        <w:ind w:left="6120" w:hanging="6120"/>
      </w:pPr>
      <w:rPr>
        <w:rFonts w:ascii="Arial" w:cs="Arial" w:eastAsia="Arial" w:hAnsi="Arial"/>
        <w:b w:val="0"/>
        <w:bCs w:val="0"/>
        <w:i w:val="0"/>
        <w:iCs w:val="0"/>
        <w:strike w:val="0"/>
        <w:color w:val="000000"/>
        <w:sz w:val="20"/>
        <w:szCs w:val="20"/>
        <w:u w:val="none"/>
        <w:shd w:fill="auto" w:val="clear"/>
        <w:vertAlign w:val="superscript"/>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2"/>
      <w:numFmt w:val="decimal"/>
      <w:lvlText w:val="%1."/>
      <w:lvlJc w:val="left"/>
      <w:pPr>
        <w:ind w:left="0" w:firstLine="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366" w:hanging="136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086" w:hanging="208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06" w:hanging="280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526" w:hanging="352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246" w:hanging="424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966" w:hanging="496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686" w:hanging="568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06" w:hanging="640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8" w:before="0" w:line="264" w:lineRule="auto"/>
      <w:ind w:left="10" w:right="67" w:hanging="1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0.png"/></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s>
</file>

<file path=word/_rels/footer3.xml.rels><?xml version="1.0" encoding="UTF-8" standalone="yes"?><Relationships xmlns="http://schemas.openxmlformats.org/package/2006/relationships"><Relationship Id="rId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6.jpg"/><Relationship Id="rId3" Type="http://schemas.openxmlformats.org/officeDocument/2006/relationships/image" Target="media/image16.png"/><Relationship Id="rId4"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6.jpg"/><Relationship Id="rId3" Type="http://schemas.openxmlformats.org/officeDocument/2006/relationships/image" Target="media/image16.png"/><Relationship Id="rId4"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6.jpg"/><Relationship Id="rId3" Type="http://schemas.openxmlformats.org/officeDocument/2006/relationships/image" Target="media/image16.png"/><Relationship Id="rId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