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  <w:jc w:val="center"/>
      </w:pPr>
      <w:r>
        <w:t>Software Requirements Specification (SRS)</w:t>
      </w:r>
    </w:p>
    <w:p>
      <w:pPr>
        <w:jc w:val="center"/>
      </w:pPr>
      <w:r>
        <w:t>Indigenous Language Preservation &amp; Translation Hub</w:t>
      </w:r>
    </w:p>
    <w:p/>
    <w:p>
      <w:pPr>
        <w:pStyle w:val="H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09-09-2025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Team (Dev/QA/DA)</w:t>
            </w:r>
          </w:p>
        </w:tc>
        <w:tc>
          <w:tcPr>
            <w:tcW w:type="dxa" w:w="5040"/>
          </w:tcPr>
          <w:p>
            <w:r>
              <w:t>Initial SRS for MVP</w:t>
            </w:r>
          </w:p>
        </w:tc>
      </w:tr>
    </w:tbl>
    <w:p/>
    <w:p>
      <w:pPr>
        <w:pStyle w:val="H1"/>
      </w:pPr>
      <w:r>
        <w:t>1. Introduction</w:t>
      </w:r>
    </w:p>
    <w:p>
      <w:pPr>
        <w:pStyle w:val="H2"/>
      </w:pPr>
      <w:r>
        <w:t>1.1 Purpose</w:t>
      </w:r>
    </w:p>
    <w:p>
      <w:r>
        <w:t>This SRS specifies functional and non-functional requirements for the Indigenous Language Preservation &amp; Translation Hub. The MVP focuses on a consent-aware digital archive, AUSTLANG-based tagging, parallel text alignment, and assisted translation (English ↔ Kriol first; Yolŋu Matha &amp; Arrernte via lexicon-aided hints), designed with community-led governance.</w:t>
      </w:r>
    </w:p>
    <w:p>
      <w:pPr>
        <w:pStyle w:val="H2"/>
      </w:pPr>
      <w:r>
        <w:t>1.2 Scope</w:t>
      </w:r>
    </w:p>
    <w:p>
      <w:r>
        <w:t>The Hub is an offline-friendly web application (PWA) with role-based access. It supports ingestion of text/audio/images with consent, cataloguing and tagging, alignment and translation workflows with human review, controlled publication, analytics, and export packs.</w:t>
      </w:r>
    </w:p>
    <w:p>
      <w:pPr>
        <w:pStyle w:val="H2"/>
      </w:pPr>
      <w:r>
        <w:t>1.3 Definitions, Acronyms, Abbreviations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720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t>AUSTLANG</w:t>
            </w:r>
          </w:p>
        </w:tc>
        <w:tc>
          <w:tcPr>
            <w:tcW w:type="dxa" w:w="7200"/>
          </w:tcPr>
          <w:p>
            <w:r>
              <w:t>National database of Australian Indigenous languages used for language codes and variants.</w:t>
            </w:r>
          </w:p>
        </w:tc>
      </w:tr>
      <w:tr>
        <w:tc>
          <w:tcPr>
            <w:tcW w:type="dxa" w:w="2880"/>
          </w:tcPr>
          <w:p>
            <w:r>
              <w:t>Custodian</w:t>
            </w:r>
          </w:p>
        </w:tc>
        <w:tc>
          <w:tcPr>
            <w:tcW w:type="dxa" w:w="7200"/>
          </w:tcPr>
          <w:p>
            <w:r>
              <w:t>Community authority responsible for permissions and cultural safety.</w:t>
            </w:r>
          </w:p>
        </w:tc>
      </w:tr>
      <w:tr>
        <w:tc>
          <w:tcPr>
            <w:tcW w:type="dxa" w:w="2880"/>
          </w:tcPr>
          <w:p>
            <w:r>
              <w:t>Consent artefact</w:t>
            </w:r>
          </w:p>
        </w:tc>
        <w:tc>
          <w:tcPr>
            <w:tcW w:type="dxa" w:w="7200"/>
          </w:tcPr>
          <w:p>
            <w:r>
              <w:t>Document or recorded approval defining usage permissions.</w:t>
            </w:r>
          </w:p>
        </w:tc>
      </w:tr>
      <w:tr>
        <w:tc>
          <w:tcPr>
            <w:tcW w:type="dxa" w:w="2880"/>
          </w:tcPr>
          <w:p>
            <w:r>
              <w:t>ACL/RBAC</w:t>
            </w:r>
          </w:p>
        </w:tc>
        <w:tc>
          <w:tcPr>
            <w:tcW w:type="dxa" w:w="7200"/>
          </w:tcPr>
          <w:p>
            <w:r>
              <w:t>Access Control List / Role-Based Access Control.</w:t>
            </w:r>
          </w:p>
        </w:tc>
      </w:tr>
      <w:tr>
        <w:tc>
          <w:tcPr>
            <w:tcW w:type="dxa" w:w="2880"/>
          </w:tcPr>
          <w:p>
            <w:r>
              <w:t>Parallel text</w:t>
            </w:r>
          </w:p>
        </w:tc>
        <w:tc>
          <w:tcPr>
            <w:tcW w:type="dxa" w:w="7200"/>
          </w:tcPr>
          <w:p>
            <w:r>
              <w:t>Aligned bilingual text at sentence/phrase level.</w:t>
            </w:r>
          </w:p>
        </w:tc>
      </w:tr>
    </w:tbl>
    <w:p>
      <w:pPr>
        <w:pStyle w:val="H2"/>
      </w:pPr>
      <w:r>
        <w:t>1.4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</w:tcPr>
          <w:p>
            <w:r>
              <w:rPr>
                <w:b/>
              </w:rPr>
              <w:t>Ref</w:t>
            </w:r>
          </w:p>
        </w:tc>
        <w:tc>
          <w:tcPr>
            <w:tcW w:type="dxa" w:w="8928"/>
          </w:tcPr>
          <w:p>
            <w:r>
              <w:rPr>
                <w:b/>
              </w:rPr>
              <w:t>Title / Source</w:t>
            </w:r>
          </w:p>
        </w:tc>
      </w:tr>
      <w:tr>
        <w:tc>
          <w:tcPr>
            <w:tcW w:type="dxa" w:w="1152"/>
          </w:tcPr>
          <w:p>
            <w:r>
              <w:t>R1</w:t>
            </w:r>
          </w:p>
        </w:tc>
        <w:tc>
          <w:tcPr>
            <w:tcW w:type="dxa" w:w="8928"/>
          </w:tcPr>
          <w:p>
            <w:r>
              <w:t>AIATSIS Code of Ethics for Aboriginal and Torres Strait Islander Research (2020)</w:t>
            </w:r>
          </w:p>
        </w:tc>
      </w:tr>
      <w:tr>
        <w:tc>
          <w:tcPr>
            <w:tcW w:type="dxa" w:w="1152"/>
          </w:tcPr>
          <w:p>
            <w:r>
              <w:t>R2</w:t>
            </w:r>
          </w:p>
        </w:tc>
        <w:tc>
          <w:tcPr>
            <w:tcW w:type="dxa" w:w="8928"/>
          </w:tcPr>
          <w:p>
            <w:r>
              <w:t>CARE Principles for Indigenous Data Governance</w:t>
            </w:r>
          </w:p>
        </w:tc>
      </w:tr>
      <w:tr>
        <w:tc>
          <w:tcPr>
            <w:tcW w:type="dxa" w:w="1152"/>
          </w:tcPr>
          <w:p>
            <w:r>
              <w:t>R3</w:t>
            </w:r>
          </w:p>
        </w:tc>
        <w:tc>
          <w:tcPr>
            <w:tcW w:type="dxa" w:w="8928"/>
          </w:tcPr>
          <w:p>
            <w:r>
              <w:t>AUSTLANG Language Database</w:t>
            </w:r>
          </w:p>
        </w:tc>
      </w:tr>
      <w:tr>
        <w:tc>
          <w:tcPr>
            <w:tcW w:type="dxa" w:w="1152"/>
          </w:tcPr>
          <w:p>
            <w:r>
              <w:t>R4</w:t>
            </w:r>
          </w:p>
        </w:tc>
        <w:tc>
          <w:tcPr>
            <w:tcW w:type="dxa" w:w="8928"/>
          </w:tcPr>
          <w:p>
            <w:r>
              <w:t>WCAG 2.1 Accessibility Guidelines</w:t>
            </w:r>
          </w:p>
        </w:tc>
      </w:tr>
      <w:tr>
        <w:tc>
          <w:tcPr>
            <w:tcW w:type="dxa" w:w="1152"/>
          </w:tcPr>
          <w:p>
            <w:r>
              <w:t>R5</w:t>
            </w:r>
          </w:p>
        </w:tc>
        <w:tc>
          <w:tcPr>
            <w:tcW w:type="dxa" w:w="8928"/>
          </w:tcPr>
          <w:p>
            <w:r>
              <w:t>Australian Privacy Law (Privacy Act 1988)</w:t>
            </w:r>
          </w:p>
        </w:tc>
      </w:tr>
    </w:tbl>
    <w:p>
      <w:pPr>
        <w:pStyle w:val="H2"/>
      </w:pPr>
      <w:r>
        <w:t>1.5 Overview</w:t>
      </w:r>
    </w:p>
    <w:p>
      <w:r>
        <w:t>Sections 2–6 detail product context, interfaces, functional features, NFRs, data, use cases, and validation/acceptance.</w:t>
      </w:r>
    </w:p>
    <w:p>
      <w:pPr>
        <w:pStyle w:val="H1"/>
      </w:pPr>
      <w:r>
        <w:t>2. Overall Description</w:t>
      </w:r>
    </w:p>
    <w:p>
      <w:pPr>
        <w:pStyle w:val="H2"/>
      </w:pPr>
      <w:r>
        <w:t>2.1 Product Perspective</w:t>
      </w:r>
    </w:p>
    <w:p>
      <w:r>
        <w:t>The Hub comprises a React/Next.js PWA client, a FastAPI backend, an object store for media, a Postgres metadata store, and a lightweight ML service. It integrates AUSTLANG codes and enforces community-driven access and consent across the content lifecycle.</w:t>
      </w:r>
    </w:p>
    <w:p>
      <w:pPr>
        <w:pStyle w:val="H2"/>
      </w:pPr>
      <w:r>
        <w:t>2.2 User Classes &amp;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User Class</w:t>
            </w:r>
          </w:p>
        </w:tc>
        <w:tc>
          <w:tcPr>
            <w:tcW w:type="dxa" w:w="7632"/>
          </w:tcPr>
          <w:p>
            <w:r>
              <w:rPr>
                <w:b/>
              </w:rPr>
              <w:t>Characteristics / Goals</w:t>
            </w:r>
          </w:p>
        </w:tc>
      </w:tr>
      <w:tr>
        <w:tc>
          <w:tcPr>
            <w:tcW w:type="dxa" w:w="2448"/>
          </w:tcPr>
          <w:p>
            <w:r>
              <w:t>Elder / Custodian</w:t>
            </w:r>
          </w:p>
        </w:tc>
        <w:tc>
          <w:tcPr>
            <w:tcW w:type="dxa" w:w="7632"/>
          </w:tcPr>
          <w:p>
            <w:r>
              <w:t>Controls access; approves translations; ensures cultural safety.</w:t>
            </w:r>
          </w:p>
        </w:tc>
      </w:tr>
      <w:tr>
        <w:tc>
          <w:tcPr>
            <w:tcW w:type="dxa" w:w="2448"/>
          </w:tcPr>
          <w:p>
            <w:r>
              <w:t>Contributor / Curator</w:t>
            </w:r>
          </w:p>
        </w:tc>
        <w:tc>
          <w:tcPr>
            <w:tcW w:type="dxa" w:w="7632"/>
          </w:tcPr>
          <w:p>
            <w:r>
              <w:t>Uploads items with consent; tags with AUSTLANG; ensures metadata quality.</w:t>
            </w:r>
          </w:p>
        </w:tc>
      </w:tr>
      <w:tr>
        <w:tc>
          <w:tcPr>
            <w:tcW w:type="dxa" w:w="2448"/>
          </w:tcPr>
          <w:p>
            <w:r>
              <w:t>Translator / Linguist</w:t>
            </w:r>
          </w:p>
        </w:tc>
        <w:tc>
          <w:tcPr>
            <w:tcW w:type="dxa" w:w="7632"/>
          </w:tcPr>
          <w:p>
            <w:r>
              <w:t>Aligns text; generates/edit suggestions; adds gloss and notes.</w:t>
            </w:r>
          </w:p>
        </w:tc>
      </w:tr>
      <w:tr>
        <w:tc>
          <w:tcPr>
            <w:tcW w:type="dxa" w:w="2448"/>
          </w:tcPr>
          <w:p>
            <w:r>
              <w:t>Teacher / Health Worker</w:t>
            </w:r>
          </w:p>
        </w:tc>
        <w:tc>
          <w:tcPr>
            <w:tcW w:type="dxa" w:w="7632"/>
          </w:tcPr>
          <w:p>
            <w:r>
              <w:t>Consumes aligned materials and phrasebooks; needs offline packs.</w:t>
            </w:r>
          </w:p>
        </w:tc>
      </w:tr>
      <w:tr>
        <w:tc>
          <w:tcPr>
            <w:tcW w:type="dxa" w:w="2448"/>
          </w:tcPr>
          <w:p>
            <w:r>
              <w:t>Public Learner</w:t>
            </w:r>
          </w:p>
        </w:tc>
        <w:tc>
          <w:tcPr>
            <w:tcW w:type="dxa" w:w="7632"/>
          </w:tcPr>
          <w:p>
            <w:r>
              <w:t>Browses allowed items respectfully; saves favourites.</w:t>
            </w:r>
          </w:p>
        </w:tc>
      </w:tr>
      <w:tr>
        <w:tc>
          <w:tcPr>
            <w:tcW w:type="dxa" w:w="2448"/>
          </w:tcPr>
          <w:p>
            <w:r>
              <w:t>Admin / Moderator</w:t>
            </w:r>
          </w:p>
        </w:tc>
        <w:tc>
          <w:tcPr>
            <w:tcW w:type="dxa" w:w="7632"/>
          </w:tcPr>
          <w:p>
            <w:r>
              <w:t>Manages roles, ACLs, audit trails, and governance settings.</w:t>
            </w:r>
          </w:p>
        </w:tc>
      </w:tr>
      <w:tr>
        <w:tc>
          <w:tcPr>
            <w:tcW w:type="dxa" w:w="2448"/>
          </w:tcPr>
          <w:p>
            <w:r>
              <w:t>Data Analyst</w:t>
            </w:r>
          </w:p>
        </w:tc>
        <w:tc>
          <w:tcPr>
            <w:tcW w:type="dxa" w:w="7632"/>
          </w:tcPr>
          <w:p>
            <w:r>
              <w:t>Monitors coverage, usage, and quality metrics.</w:t>
            </w:r>
          </w:p>
        </w:tc>
      </w:tr>
    </w:tbl>
    <w:p>
      <w:pPr>
        <w:pStyle w:val="H2"/>
      </w:pPr>
      <w:r>
        <w:t>2.3 Operating Environment</w:t>
      </w:r>
    </w:p>
    <w:p>
      <w:r>
        <w:t>Modern browsers on desktop/mobile; intermittent connectivity expected. Server runs Linux containers; Postgres ≥14; object store is S3-compatible; ML microservice accessible via internal API. Authentication via OIDC/SSO where available.</w:t>
      </w:r>
    </w:p>
    <w:p>
      <w:pPr>
        <w:pStyle w:val="H2"/>
      </w:pPr>
      <w:r>
        <w:t>2.4 Design &amp; Implementation Constraints</w:t>
      </w:r>
    </w:p>
    <w:p>
      <w:r>
        <w:t>Ethical frameworks (AIATSIS, CARE), Australian privacy law, WCAG 2.1 AA accessibility, low-bandwidth/offline constraints, and per-item licensing. No auto-publication of machine translations; human approval mandatory.</w:t>
      </w:r>
    </w:p>
    <w:p>
      <w:pPr>
        <w:pStyle w:val="H2"/>
      </w:pPr>
      <w:r>
        <w:t>2.5 Assumptions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Assumption/Dependency</w:t>
            </w:r>
          </w:p>
        </w:tc>
        <w:tc>
          <w:tcPr>
            <w:tcW w:type="dxa" w:w="64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600"/>
          </w:tcPr>
          <w:p>
            <w:r>
              <w:t>AUSTLANG availability</w:t>
            </w:r>
          </w:p>
        </w:tc>
        <w:tc>
          <w:tcPr>
            <w:tcW w:type="dxa" w:w="6480"/>
          </w:tcPr>
          <w:p>
            <w:r>
              <w:t>Codes and dialect lists remain accessible for tagging.</w:t>
            </w:r>
          </w:p>
        </w:tc>
      </w:tr>
      <w:tr>
        <w:tc>
          <w:tcPr>
            <w:tcW w:type="dxa" w:w="3600"/>
          </w:tcPr>
          <w:p>
            <w:r>
              <w:t>Community partners</w:t>
            </w:r>
          </w:p>
        </w:tc>
        <w:tc>
          <w:tcPr>
            <w:tcW w:type="dxa" w:w="6480"/>
          </w:tcPr>
          <w:p>
            <w:r>
              <w:t>Custodians and institutions collaborate on governance and data.</w:t>
            </w:r>
          </w:p>
        </w:tc>
      </w:tr>
      <w:tr>
        <w:tc>
          <w:tcPr>
            <w:tcW w:type="dxa" w:w="3600"/>
          </w:tcPr>
          <w:p>
            <w:r>
              <w:t>Connectivity</w:t>
            </w:r>
          </w:p>
        </w:tc>
        <w:tc>
          <w:tcPr>
            <w:tcW w:type="dxa" w:w="6480"/>
          </w:tcPr>
          <w:p>
            <w:r>
              <w:t>Users may be offline; PWA must cache and sync gracefully.</w:t>
            </w:r>
          </w:p>
        </w:tc>
      </w:tr>
      <w:tr>
        <w:tc>
          <w:tcPr>
            <w:tcW w:type="dxa" w:w="3600"/>
          </w:tcPr>
          <w:p>
            <w:r>
              <w:t>Consent processes</w:t>
            </w:r>
          </w:p>
        </w:tc>
        <w:tc>
          <w:tcPr>
            <w:tcW w:type="dxa" w:w="6480"/>
          </w:tcPr>
          <w:p>
            <w:r>
              <w:t>Clear, documented consent captured per item before publication.</w:t>
            </w:r>
          </w:p>
        </w:tc>
      </w:tr>
    </w:tbl>
    <w:p>
      <w:pPr>
        <w:pStyle w:val="H1"/>
      </w:pPr>
      <w:r>
        <w:t>3. External Interface Requirements</w:t>
      </w:r>
    </w:p>
    <w:p>
      <w:pPr>
        <w:pStyle w:val="H2"/>
      </w:pPr>
      <w:r>
        <w:t>3.1 User Interfaces</w:t>
      </w:r>
    </w:p>
    <w:p>
      <w:r>
        <w:t>PWA with large-font toggle, high-contrast option, keyboard navigation, and screen reader labels. Faceted search (language, place, topic, licence). Item page shows custodian/licence/consent banner. Parallel editor provides segmenting, aligning, and gloss panes.</w:t>
      </w:r>
    </w:p>
    <w:p>
      <w:pPr>
        <w:pStyle w:val="H2"/>
      </w:pPr>
      <w:r>
        <w:t>3.2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2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t>/auth/login</w:t>
            </w:r>
          </w:p>
        </w:tc>
        <w:tc>
          <w:tcPr>
            <w:tcW w:type="dxa" w:w="1296"/>
          </w:tcPr>
          <w:p>
            <w:r>
              <w:t>POST</w:t>
            </w:r>
          </w:p>
        </w:tc>
        <w:tc>
          <w:tcPr>
            <w:tcW w:type="dxa" w:w="6624"/>
          </w:tcPr>
          <w:p>
            <w:r>
              <w:t>Authenticate user via OIDC/SSO.</w:t>
            </w:r>
          </w:p>
        </w:tc>
      </w:tr>
      <w:tr>
        <w:tc>
          <w:tcPr>
            <w:tcW w:type="dxa" w:w="3168"/>
          </w:tcPr>
          <w:p>
            <w:r>
              <w:t>/items</w:t>
            </w:r>
          </w:p>
        </w:tc>
        <w:tc>
          <w:tcPr>
            <w:tcW w:type="dxa" w:w="1296"/>
          </w:tcPr>
          <w:p>
            <w:r>
              <w:t>POST/GET</w:t>
            </w:r>
          </w:p>
        </w:tc>
        <w:tc>
          <w:tcPr>
            <w:tcW w:type="dxa" w:w="6624"/>
          </w:tcPr>
          <w:p>
            <w:r>
              <w:t>Create/list items with metadata.</w:t>
            </w:r>
          </w:p>
        </w:tc>
      </w:tr>
      <w:tr>
        <w:tc>
          <w:tcPr>
            <w:tcW w:type="dxa" w:w="3168"/>
          </w:tcPr>
          <w:p>
            <w:r>
              <w:t>/items/{id}/consent</w:t>
            </w:r>
          </w:p>
        </w:tc>
        <w:tc>
          <w:tcPr>
            <w:tcW w:type="dxa" w:w="1296"/>
          </w:tcPr>
          <w:p>
            <w:r>
              <w:t>POST/GET</w:t>
            </w:r>
          </w:p>
        </w:tc>
        <w:tc>
          <w:tcPr>
            <w:tcW w:type="dxa" w:w="6624"/>
          </w:tcPr>
          <w:p>
            <w:r>
              <w:t>Attach/view consent artefacts.</w:t>
            </w:r>
          </w:p>
        </w:tc>
      </w:tr>
      <w:tr>
        <w:tc>
          <w:tcPr>
            <w:tcW w:type="dxa" w:w="3168"/>
          </w:tcPr>
          <w:p>
            <w:r>
              <w:t>/items/{id}/tagging</w:t>
            </w:r>
          </w:p>
        </w:tc>
        <w:tc>
          <w:tcPr>
            <w:tcW w:type="dxa" w:w="1296"/>
          </w:tcPr>
          <w:p>
            <w:r>
              <w:t>PUT</w:t>
            </w:r>
          </w:p>
        </w:tc>
        <w:tc>
          <w:tcPr>
            <w:tcW w:type="dxa" w:w="6624"/>
          </w:tcPr>
          <w:p>
            <w:r>
              <w:t>Set AUSTLANG code, dialect, region, topics.</w:t>
            </w:r>
          </w:p>
        </w:tc>
      </w:tr>
      <w:tr>
        <w:tc>
          <w:tcPr>
            <w:tcW w:type="dxa" w:w="3168"/>
          </w:tcPr>
          <w:p>
            <w:r>
              <w:t>/alignments</w:t>
            </w:r>
          </w:p>
        </w:tc>
        <w:tc>
          <w:tcPr>
            <w:tcW w:type="dxa" w:w="1296"/>
          </w:tcPr>
          <w:p>
            <w:r>
              <w:t>POST/GET</w:t>
            </w:r>
          </w:p>
        </w:tc>
        <w:tc>
          <w:tcPr>
            <w:tcW w:type="dxa" w:w="6624"/>
          </w:tcPr>
          <w:p>
            <w:r>
              <w:t>Create/list aligned pairs for items.</w:t>
            </w:r>
          </w:p>
        </w:tc>
      </w:tr>
      <w:tr>
        <w:tc>
          <w:tcPr>
            <w:tcW w:type="dxa" w:w="3168"/>
          </w:tcPr>
          <w:p>
            <w:r>
              <w:t>/translate/suggest</w:t>
            </w:r>
          </w:p>
        </w:tc>
        <w:tc>
          <w:tcPr>
            <w:tcW w:type="dxa" w:w="1296"/>
          </w:tcPr>
          <w:p>
            <w:r>
              <w:t>POST</w:t>
            </w:r>
          </w:p>
        </w:tc>
        <w:tc>
          <w:tcPr>
            <w:tcW w:type="dxa" w:w="6624"/>
          </w:tcPr>
          <w:p>
            <w:r>
              <w:t>Get suggestions (Kriol NMT or lexicon hints).</w:t>
            </w:r>
          </w:p>
        </w:tc>
      </w:tr>
      <w:tr>
        <w:tc>
          <w:tcPr>
            <w:tcW w:type="dxa" w:w="3168"/>
          </w:tcPr>
          <w:p>
            <w:r>
              <w:t>/reviews</w:t>
            </w:r>
          </w:p>
        </w:tc>
        <w:tc>
          <w:tcPr>
            <w:tcW w:type="dxa" w:w="1296"/>
          </w:tcPr>
          <w:p>
            <w:r>
              <w:t>POST/GET</w:t>
            </w:r>
          </w:p>
        </w:tc>
        <w:tc>
          <w:tcPr>
            <w:tcW w:type="dxa" w:w="6624"/>
          </w:tcPr>
          <w:p>
            <w:r>
              <w:t>Submit/track community reviews and approvals.</w:t>
            </w:r>
          </w:p>
        </w:tc>
      </w:tr>
      <w:tr>
        <w:tc>
          <w:tcPr>
            <w:tcW w:type="dxa" w:w="3168"/>
          </w:tcPr>
          <w:p>
            <w:r>
              <w:t>/publish</w:t>
            </w:r>
          </w:p>
        </w:tc>
        <w:tc>
          <w:tcPr>
            <w:tcW w:type="dxa" w:w="1296"/>
          </w:tcPr>
          <w:p>
            <w:r>
              <w:t>POST</w:t>
            </w:r>
          </w:p>
        </w:tc>
        <w:tc>
          <w:tcPr>
            <w:tcW w:type="dxa" w:w="6624"/>
          </w:tcPr>
          <w:p>
            <w:r>
              <w:t>Publish item at allowed audience level.</w:t>
            </w:r>
          </w:p>
        </w:tc>
      </w:tr>
      <w:tr>
        <w:tc>
          <w:tcPr>
            <w:tcW w:type="dxa" w:w="3168"/>
          </w:tcPr>
          <w:p>
            <w:r>
              <w:t>/exports</w:t>
            </w:r>
          </w:p>
        </w:tc>
        <w:tc>
          <w:tcPr>
            <w:tcW w:type="dxa" w:w="1296"/>
          </w:tcPr>
          <w:p>
            <w:r>
              <w:t>POST/GET</w:t>
            </w:r>
          </w:p>
        </w:tc>
        <w:tc>
          <w:tcPr>
            <w:tcW w:type="dxa" w:w="6624"/>
          </w:tcPr>
          <w:p>
            <w:r>
              <w:t>Generate/download PDF/CSV/JSON packs.</w:t>
            </w:r>
          </w:p>
        </w:tc>
      </w:tr>
      <w:tr>
        <w:tc>
          <w:tcPr>
            <w:tcW w:type="dxa" w:w="3168"/>
          </w:tcPr>
          <w:p>
            <w:r>
              <w:t>/analytics</w:t>
            </w:r>
          </w:p>
        </w:tc>
        <w:tc>
          <w:tcPr>
            <w:tcW w:type="dxa" w:w="1296"/>
          </w:tcPr>
          <w:p>
            <w:r>
              <w:t>GET</w:t>
            </w:r>
          </w:p>
        </w:tc>
        <w:tc>
          <w:tcPr>
            <w:tcW w:type="dxa" w:w="6624"/>
          </w:tcPr>
          <w:p>
            <w:r>
              <w:t>Usage, coverage, and quality dashboards.</w:t>
            </w:r>
          </w:p>
        </w:tc>
      </w:tr>
    </w:tbl>
    <w:p>
      <w:pPr>
        <w:pStyle w:val="H2"/>
      </w:pPr>
      <w:r>
        <w:t>3.3 Hardware Interfaces</w:t>
      </w:r>
    </w:p>
    <w:p>
      <w:r>
        <w:t>Standard client devices (PCs, tablets, mobiles). Optional local scanners/recorders for digitisation (Phase 2).</w:t>
      </w:r>
    </w:p>
    <w:p>
      <w:pPr>
        <w:pStyle w:val="H2"/>
      </w:pPr>
      <w:r>
        <w:t>3.4 Software Interfaces</w:t>
      </w:r>
    </w:p>
    <w:p>
      <w:r>
        <w:t>Postgres for metadata; S3-compatible object storage; FastAPI backend; ML microservice; AUSTLANG code lists; OIDC/SSO provider.</w:t>
      </w:r>
    </w:p>
    <w:p>
      <w:pPr>
        <w:pStyle w:val="H2"/>
      </w:pPr>
      <w:r>
        <w:t>3.5 Communications Interfaces</w:t>
      </w:r>
    </w:p>
    <w:p>
      <w:r>
        <w:t>HTTPS/TLS 1.2+; service worker caching; background sync when online; signed URLs for restricted media.</w:t>
      </w:r>
    </w:p>
    <w:p>
      <w:pPr>
        <w:pStyle w:val="H1"/>
      </w:pPr>
      <w:r>
        <w:t>4. System Features (Functional Requirements)</w:t>
      </w:r>
    </w:p>
    <w:p>
      <w:pPr>
        <w:pStyle w:val="H2"/>
      </w:pPr>
      <w:r>
        <w:t>F1. Consent-Aware Ingestion</w:t>
      </w:r>
    </w:p>
    <w:p>
      <w:r>
        <w:t>Upload/import items (text, audio, images) with mandatory consent and custodianship details.</w:t>
      </w:r>
    </w:p>
    <w:p>
      <w:r>
        <w:t>FR-1: The system shall allow authenticated users to create items with title, description, language, region, topics.</w:t>
      </w:r>
    </w:p>
    <w:p>
      <w:r>
        <w:t>FR-2: The system shall require at least one consent artefact or a pending consent workflow before curation.</w:t>
      </w:r>
    </w:p>
    <w:p>
      <w:r>
        <w:t>FR-3: The system shall validate duplicates by checksum and metadata similarity.</w:t>
      </w:r>
    </w:p>
    <w:p>
      <w:pPr>
        <w:pStyle w:val="H2"/>
      </w:pPr>
      <w:r>
        <w:t>F2. AUSTLANG Tagging &amp; Cataloguing</w:t>
      </w:r>
    </w:p>
    <w:p>
      <w:r>
        <w:t>Standardised language tagging and discovery using AUSTLANG codes and dialects.</w:t>
      </w:r>
    </w:p>
    <w:p>
      <w:r>
        <w:t>FR-4: The system shall provide autocomplete for AUSTLANG codes and dialects.</w:t>
      </w:r>
    </w:p>
    <w:p>
      <w:r>
        <w:t>FR-5: The system shall block publication if an item lacks an AUSTLANG code.</w:t>
      </w:r>
    </w:p>
    <w:p>
      <w:r>
        <w:t>FR-6: The system shall support facets for language, place, topic, licence, and custodian.</w:t>
      </w:r>
    </w:p>
    <w:p>
      <w:pPr>
        <w:pStyle w:val="H2"/>
      </w:pPr>
      <w:r>
        <w:t>F3. Parallel Text Alignment</w:t>
      </w:r>
    </w:p>
    <w:p>
      <w:r>
        <w:t>Human-in-the-loop segmentation, alignment, and glossing.</w:t>
      </w:r>
    </w:p>
    <w:p>
      <w:r>
        <w:t>FR-7: The system shall allow segmenting content into sentences/phrases.</w:t>
      </w:r>
    </w:p>
    <w:p>
      <w:r>
        <w:t>FR-8: The system shall allow aligning bilingual segments and adding gloss and notes.</w:t>
      </w:r>
    </w:p>
    <w:p>
      <w:r>
        <w:t>FR-9: The system shall export aligned data to CSV/PDF/JSON respecting licences.</w:t>
      </w:r>
    </w:p>
    <w:p>
      <w:pPr>
        <w:pStyle w:val="H2"/>
      </w:pPr>
      <w:r>
        <w:t>F4. Assisted Translation (Suggestions)</w:t>
      </w:r>
    </w:p>
    <w:p>
      <w:r>
        <w:t>Text-to-text suggestions: NMT for Kriol↔English; lexicon hints for Yolŋu Matha &amp; Arrernte.</w:t>
      </w:r>
    </w:p>
    <w:p>
      <w:r>
        <w:t>FR-10: The system shall provide suggestion endpoints returning top-N candidates with confidence.</w:t>
      </w:r>
    </w:p>
    <w:p>
      <w:r>
        <w:t>FR-11: The system shall clearly label suggestions as ‘Machine-generated’.</w:t>
      </w:r>
    </w:p>
    <w:p>
      <w:r>
        <w:t>FR-12: The system shall not auto-publish suggestions; human edits and approval are required.</w:t>
      </w:r>
    </w:p>
    <w:p>
      <w:pPr>
        <w:pStyle w:val="H2"/>
      </w:pPr>
      <w:r>
        <w:t>F5. Community Review &amp; Approval</w:t>
      </w:r>
    </w:p>
    <w:p>
      <w:r>
        <w:t>Custodian-led review to ensure cultural safety and quality.</w:t>
      </w:r>
    </w:p>
    <w:p>
      <w:r>
        <w:t>FR-13: The system shall allow reviewers to approve/reject with comments.</w:t>
      </w:r>
    </w:p>
    <w:p>
      <w:r>
        <w:t>FR-14: The system shall prevent publication without a ‘Custodian Approved’ status.</w:t>
      </w:r>
    </w:p>
    <w:p>
      <w:r>
        <w:t>FR-15: The system shall maintain an immutable audit trail for all review actions.</w:t>
      </w:r>
    </w:p>
    <w:p>
      <w:pPr>
        <w:pStyle w:val="H2"/>
      </w:pPr>
      <w:r>
        <w:t>F6. Publication &amp; Access Control</w:t>
      </w:r>
    </w:p>
    <w:p>
      <w:r>
        <w:t>Role-based access (RBAC) with per-item ACLs and audience levels.</w:t>
      </w:r>
    </w:p>
    <w:p>
      <w:r>
        <w:t>FR-16: The system shall support audience levels: public, community-only, restricted.</w:t>
      </w:r>
    </w:p>
    <w:p>
      <w:r>
        <w:t>FR-17: The system shall enforce ACLs on items and media via signed URLs.</w:t>
      </w:r>
    </w:p>
    <w:p>
      <w:r>
        <w:t>FR-18: The system shall version content and support rollback with audit.</w:t>
      </w:r>
    </w:p>
    <w:p>
      <w:pPr>
        <w:pStyle w:val="H2"/>
      </w:pPr>
      <w:r>
        <w:t>F7. Offline-First PWA</w:t>
      </w:r>
    </w:p>
    <w:p>
      <w:r>
        <w:t>Low-bandwidth friendly PWA with caching and sync.</w:t>
      </w:r>
    </w:p>
    <w:p>
      <w:r>
        <w:t>FR-19: The system shall cache browseable content and drafts in IndexedDB.</w:t>
      </w:r>
    </w:p>
    <w:p>
      <w:r>
        <w:t>FR-20: The system shall queue changes offline and sync on reconnection.</w:t>
      </w:r>
    </w:p>
    <w:p>
      <w:r>
        <w:t>FR-21: The system shall provide an offline indicator and conflict resolution flow.</w:t>
      </w:r>
    </w:p>
    <w:p>
      <w:pPr>
        <w:pStyle w:val="H2"/>
      </w:pPr>
      <w:r>
        <w:t>F8. Exports &amp; Packs</w:t>
      </w:r>
    </w:p>
    <w:p>
      <w:r>
        <w:t>Generate printable and machine-readable packs.</w:t>
      </w:r>
    </w:p>
    <w:p>
      <w:r>
        <w:t>FR-22: The system shall generate PDF phrasebooks and aligned text packs.</w:t>
      </w:r>
    </w:p>
    <w:p>
      <w:r>
        <w:t>FR-23: The system shall export CSV/JSON bundles for permitted research/education uses.</w:t>
      </w:r>
    </w:p>
    <w:p>
      <w:r>
        <w:t>FR-24: The system shall watermark/export licence banners on all outputs where required.</w:t>
      </w:r>
    </w:p>
    <w:p>
      <w:pPr>
        <w:pStyle w:val="H2"/>
      </w:pPr>
      <w:r>
        <w:t>F9. Analytics &amp; Reporting</w:t>
      </w:r>
    </w:p>
    <w:p>
      <w:r>
        <w:t>Coverage, usage, and quality dashboards with privacy-by-design.</w:t>
      </w:r>
    </w:p>
    <w:p>
      <w:r>
        <w:t>FR-25: The system shall provide dashboards for language/region coverage, usage, and review throughput.</w:t>
      </w:r>
    </w:p>
    <w:p>
      <w:r>
        <w:t>FR-26: The system shall compute translation quality metrics (e.g., BLEU/ChrF) on Kriol test sets.</w:t>
      </w:r>
    </w:p>
    <w:p>
      <w:r>
        <w:t>FR-27: The system shall export weekly reports to authorised users.</w:t>
      </w:r>
    </w:p>
    <w:p>
      <w:pPr>
        <w:pStyle w:val="H2"/>
      </w:pPr>
      <w:r>
        <w:t>F10. Administration</w:t>
      </w:r>
    </w:p>
    <w:p>
      <w:r>
        <w:t>System configuration, roles, taxonomies, and incident response.</w:t>
      </w:r>
    </w:p>
    <w:p>
      <w:r>
        <w:t>FR-28: The system shall allow admins to manage roles and permissions.</w:t>
      </w:r>
    </w:p>
    <w:p>
      <w:r>
        <w:t>FR-29: The system shall allow admins to manage language/dialect lists and topic taxonomy.</w:t>
      </w:r>
    </w:p>
    <w:p>
      <w:r>
        <w:t>FR-30: The system shall provide audit/event logs and security reports.</w:t>
      </w:r>
    </w:p>
    <w:p>
      <w:pPr>
        <w:pStyle w:val="H1"/>
      </w:pPr>
      <w:r>
        <w:t>5. Non-Functional Requirements (NFRs)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7920"/>
          </w:tcPr>
          <w:p>
            <w:r>
              <w:rPr>
                <w:b/>
              </w:rPr>
              <w:t>Requirement (NFR-#)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7920"/>
          </w:tcPr>
          <w:p>
            <w:r>
              <w:t>NFR-1: Cached browse &lt; 300 ms p50; suggestion round-trip &lt; 2 s p50.</w:t>
            </w:r>
          </w:p>
        </w:tc>
      </w:tr>
      <w:tr>
        <w:tc>
          <w:tcPr>
            <w:tcW w:type="dxa" w:w="2160"/>
          </w:tcPr>
          <w:p>
            <w:r>
              <w:t>Reliability</w:t>
            </w:r>
          </w:p>
        </w:tc>
        <w:tc>
          <w:tcPr>
            <w:tcW w:type="dxa" w:w="7920"/>
          </w:tcPr>
          <w:p>
            <w:r>
              <w:t>NFR-2: 99.5% availability during business hours; graceful offline degradation.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7920"/>
          </w:tcPr>
          <w:p>
            <w:r>
              <w:t>NFR-3: TLS 1.2+; encryption at rest; RBAC; per-item ACL; signed URLs; audit.</w:t>
            </w:r>
          </w:p>
        </w:tc>
      </w:tr>
      <w:tr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7920"/>
          </w:tcPr>
          <w:p>
            <w:r>
              <w:t>NFR-4: Minimise PII; data retention policy; comply with Privacy Act 1988.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7920"/>
          </w:tcPr>
          <w:p>
            <w:r>
              <w:t>NFR-5: WCAG 2.1 AA; large fonts; keyboard-only support; ARIA labels.</w:t>
            </w:r>
          </w:p>
        </w:tc>
      </w:tr>
      <w:tr>
        <w:tc>
          <w:tcPr>
            <w:tcW w:type="dxa" w:w="2160"/>
          </w:tcPr>
          <w:p>
            <w:r>
              <w:t>Usability</w:t>
            </w:r>
          </w:p>
        </w:tc>
        <w:tc>
          <w:tcPr>
            <w:tcW w:type="dxa" w:w="7920"/>
          </w:tcPr>
          <w:p>
            <w:r>
              <w:t>NFR-6: Task success ≥ 90% in usability tests with remote users.</w:t>
            </w:r>
          </w:p>
        </w:tc>
      </w:tr>
      <w:tr>
        <w:tc>
          <w:tcPr>
            <w:tcW w:type="dxa" w:w="2160"/>
          </w:tcPr>
          <w:p>
            <w:r>
              <w:t>Maintainability</w:t>
            </w:r>
          </w:p>
        </w:tc>
        <w:tc>
          <w:tcPr>
            <w:tcW w:type="dxa" w:w="7920"/>
          </w:tcPr>
          <w:p>
            <w:r>
              <w:t>NFR-7: Test coverage ≥ 80%; API docs; modular services.</w:t>
            </w:r>
          </w:p>
        </w:tc>
      </w:tr>
      <w:tr>
        <w:tc>
          <w:tcPr>
            <w:tcW w:type="dxa" w:w="2160"/>
          </w:tcPr>
          <w:p>
            <w:r>
              <w:t>Portability</w:t>
            </w:r>
          </w:p>
        </w:tc>
        <w:tc>
          <w:tcPr>
            <w:tcW w:type="dxa" w:w="7920"/>
          </w:tcPr>
          <w:p>
            <w:r>
              <w:t>NFR-8: Containerised services; deployable to major clouds or on-prem.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7920"/>
          </w:tcPr>
          <w:p>
            <w:r>
              <w:t>NFR-9: Metrics, logs, tracing; privacy-friendly analytics (e.g., Matomo/Plausible).</w:t>
            </w:r>
          </w:p>
        </w:tc>
      </w:tr>
      <w:tr>
        <w:tc>
          <w:tcPr>
            <w:tcW w:type="dxa" w:w="2160"/>
          </w:tcPr>
          <w:p>
            <w:r>
              <w:t>Localization</w:t>
            </w:r>
          </w:p>
        </w:tc>
        <w:tc>
          <w:tcPr>
            <w:tcW w:type="dxa" w:w="7920"/>
          </w:tcPr>
          <w:p>
            <w:r>
              <w:t>NFR-10: UI English for MVP; extensible i18n framework for future.</w:t>
            </w:r>
          </w:p>
        </w:tc>
      </w:tr>
      <w:tr>
        <w:tc>
          <w:tcPr>
            <w:tcW w:type="dxa" w:w="2160"/>
          </w:tcPr>
          <w:p>
            <w:r>
              <w:t>Ethics &amp; Governance</w:t>
            </w:r>
          </w:p>
        </w:tc>
        <w:tc>
          <w:tcPr>
            <w:tcW w:type="dxa" w:w="7920"/>
          </w:tcPr>
          <w:p>
            <w:r>
              <w:t>NFR-11: Conformance to AIATSIS Code and CARE principles; community board approvals.</w:t>
            </w:r>
          </w:p>
        </w:tc>
      </w:tr>
    </w:tbl>
    <w:p>
      <w:pPr>
        <w:pStyle w:val="H1"/>
      </w:pPr>
      <w:r>
        <w:t>6. Data Requirements</w:t>
      </w:r>
    </w:p>
    <w:p>
      <w:pPr>
        <w:pStyle w:val="H2"/>
      </w:pPr>
      <w:r>
        <w:t>6.1 Data Model (entities overview)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7488"/>
          </w:tcPr>
          <w:p>
            <w:r>
              <w:rPr>
                <w:b/>
              </w:rPr>
              <w:t>Key Fields (examples)</w:t>
            </w:r>
          </w:p>
        </w:tc>
      </w:tr>
      <w:tr>
        <w:tc>
          <w:tcPr>
            <w:tcW w:type="dxa" w:w="2592"/>
          </w:tcPr>
          <w:p>
            <w:r>
              <w:t>User</w:t>
            </w:r>
          </w:p>
        </w:tc>
        <w:tc>
          <w:tcPr>
            <w:tcW w:type="dxa" w:w="7488"/>
          </w:tcPr>
          <w:p>
            <w:r>
              <w:t>id, name, email, role(s), affiliations</w:t>
            </w:r>
          </w:p>
        </w:tc>
      </w:tr>
      <w:tr>
        <w:tc>
          <w:tcPr>
            <w:tcW w:type="dxa" w:w="2592"/>
          </w:tcPr>
          <w:p>
            <w:r>
              <w:t>Custodian</w:t>
            </w:r>
          </w:p>
        </w:tc>
        <w:tc>
          <w:tcPr>
            <w:tcW w:type="dxa" w:w="7488"/>
          </w:tcPr>
          <w:p>
            <w:r>
              <w:t>id, name, community, contact, notes</w:t>
            </w:r>
          </w:p>
        </w:tc>
      </w:tr>
      <w:tr>
        <w:tc>
          <w:tcPr>
            <w:tcW w:type="dxa" w:w="2592"/>
          </w:tcPr>
          <w:p>
            <w:r>
              <w:t>ConsentRecord</w:t>
            </w:r>
          </w:p>
        </w:tc>
        <w:tc>
          <w:tcPr>
            <w:tcW w:type="dxa" w:w="7488"/>
          </w:tcPr>
          <w:p>
            <w:r>
              <w:t>id, item_id, type, date, terms, licence, audience</w:t>
            </w:r>
          </w:p>
        </w:tc>
      </w:tr>
      <w:tr>
        <w:tc>
          <w:tcPr>
            <w:tcW w:type="dxa" w:w="2592"/>
          </w:tcPr>
          <w:p>
            <w:r>
              <w:t>Language (AUSTLANG)</w:t>
            </w:r>
          </w:p>
        </w:tc>
        <w:tc>
          <w:tcPr>
            <w:tcW w:type="dxa" w:w="7488"/>
          </w:tcPr>
          <w:p>
            <w:r>
              <w:t>code, name, dialect, region</w:t>
            </w:r>
          </w:p>
        </w:tc>
      </w:tr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7488"/>
          </w:tcPr>
          <w:p>
            <w:r>
              <w:t>id, title, description, language_code, topics, region, media_refs, status</w:t>
            </w:r>
          </w:p>
        </w:tc>
      </w:tr>
      <w:tr>
        <w:tc>
          <w:tcPr>
            <w:tcW w:type="dxa" w:w="2592"/>
          </w:tcPr>
          <w:p>
            <w:r>
              <w:t>Alignment</w:t>
            </w:r>
          </w:p>
        </w:tc>
        <w:tc>
          <w:tcPr>
            <w:tcW w:type="dxa" w:w="7488"/>
          </w:tcPr>
          <w:p>
            <w:r>
              <w:t>id, item_id, src_segments, tgt_segments, glosses, notes</w:t>
            </w:r>
          </w:p>
        </w:tc>
      </w:tr>
      <w:tr>
        <w:tc>
          <w:tcPr>
            <w:tcW w:type="dxa" w:w="2592"/>
          </w:tcPr>
          <w:p>
            <w:r>
              <w:t>Suggestion</w:t>
            </w:r>
          </w:p>
        </w:tc>
        <w:tc>
          <w:tcPr>
            <w:tcW w:type="dxa" w:w="7488"/>
          </w:tcPr>
          <w:p>
            <w:r>
              <w:t>id, alignment_id, candidates[], confidence[], engine_type</w:t>
            </w:r>
          </w:p>
        </w:tc>
      </w:tr>
      <w:tr>
        <w:tc>
          <w:tcPr>
            <w:tcW w:type="dxa" w:w="2592"/>
          </w:tcPr>
          <w:p>
            <w:r>
              <w:t>Review</w:t>
            </w:r>
          </w:p>
        </w:tc>
        <w:tc>
          <w:tcPr>
            <w:tcW w:type="dxa" w:w="7488"/>
          </w:tcPr>
          <w:p>
            <w:r>
              <w:t>id, item_id, reviewer_id, decision, comments, timestamp</w:t>
            </w:r>
          </w:p>
        </w:tc>
      </w:tr>
      <w:tr>
        <w:tc>
          <w:tcPr>
            <w:tcW w:type="dxa" w:w="2592"/>
          </w:tcPr>
          <w:p>
            <w:r>
              <w:t>AccessPolicy</w:t>
            </w:r>
          </w:p>
        </w:tc>
        <w:tc>
          <w:tcPr>
            <w:tcW w:type="dxa" w:w="7488"/>
          </w:tcPr>
          <w:p>
            <w:r>
              <w:t>id, item_id, audience_level, acl</w:t>
            </w:r>
          </w:p>
        </w:tc>
      </w:tr>
      <w:tr>
        <w:tc>
          <w:tcPr>
            <w:tcW w:type="dxa" w:w="2592"/>
          </w:tcPr>
          <w:p>
            <w:r>
              <w:t>AuditEvent</w:t>
            </w:r>
          </w:p>
        </w:tc>
        <w:tc>
          <w:tcPr>
            <w:tcW w:type="dxa" w:w="7488"/>
          </w:tcPr>
          <w:p>
            <w:r>
              <w:t>id, actor, action, target, timestamp, ip_hash</w:t>
            </w:r>
          </w:p>
        </w:tc>
      </w:tr>
      <w:tr>
        <w:tc>
          <w:tcPr>
            <w:tcW w:type="dxa" w:w="2592"/>
          </w:tcPr>
          <w:p>
            <w:r>
              <w:t>ExportPack</w:t>
            </w:r>
          </w:p>
        </w:tc>
        <w:tc>
          <w:tcPr>
            <w:tcW w:type="dxa" w:w="7488"/>
          </w:tcPr>
          <w:p>
            <w:r>
              <w:t>id, item_set, type (PDF/CSV/JSON), licence_banner, created_at</w:t>
            </w:r>
          </w:p>
        </w:tc>
      </w:tr>
    </w:tbl>
    <w:p>
      <w:pPr>
        <w:pStyle w:val="H2"/>
      </w:pPr>
      <w:r>
        <w:t>6.2 Data Quality &amp; Retention</w:t>
      </w:r>
    </w:p>
    <w:p>
      <w:r>
        <w:t>Mandatory metadata checks (AUSTLANG code, licence, custodian). Immutable versions for published content. Retention aligned with consent terms; right to revoke access enforced via ACL updates and signed URL expiry.</w:t>
      </w:r>
    </w:p>
    <w:p>
      <w:pPr>
        <w:pStyle w:val="H1"/>
      </w:pPr>
      <w:r>
        <w:t>7. Use Cases (MVP)</w:t>
      </w:r>
    </w:p>
    <w:p>
      <w:pPr>
        <w:pStyle w:val="H2"/>
      </w:pPr>
      <w:r>
        <w:t>UC-01 Submit Item</w:t>
      </w:r>
    </w:p>
    <w:p>
      <w:r>
        <w:t>Contributor uploads an item with consent.</w:t>
      </w:r>
    </w:p>
    <w:p>
      <w:r>
        <w:t>Actor: Contributor/Curator</w:t>
      </w:r>
    </w:p>
    <w:p>
      <w:r>
        <w:t>Pre: Authenticated; consent document available or pending workflow.</w:t>
      </w:r>
    </w:p>
    <w:p>
      <w:r>
        <w:t>Main: Create item → attach consent → save draft → submit for curation.</w:t>
      </w:r>
    </w:p>
    <w:p>
      <w:r>
        <w:t>Post: Item in 'Under Curation' with provenance record.</w:t>
      </w:r>
    </w:p>
    <w:p>
      <w:pPr>
        <w:pStyle w:val="H2"/>
      </w:pPr>
      <w:r>
        <w:t>UC-02 Tag with AUSTLANG</w:t>
      </w:r>
    </w:p>
    <w:p>
      <w:r>
        <w:t>Curator tags item with language/dialect.</w:t>
      </w:r>
    </w:p>
    <w:p>
      <w:r>
        <w:t>Actor: Curator/Linguist</w:t>
      </w:r>
    </w:p>
    <w:p>
      <w:r>
        <w:t>Main: Search AUSTLANG → select code/dialect → validate; cannot publish without code.</w:t>
      </w:r>
    </w:p>
    <w:p>
      <w:pPr>
        <w:pStyle w:val="H2"/>
      </w:pPr>
      <w:r>
        <w:t>UC-03 Align Text</w:t>
      </w:r>
    </w:p>
    <w:p>
      <w:r>
        <w:t>Linguist segments and aligns bilingual text.</w:t>
      </w:r>
    </w:p>
    <w:p>
      <w:r>
        <w:t>Actor: Linguist/Teacher</w:t>
      </w:r>
    </w:p>
    <w:p>
      <w:r>
        <w:t>Main: Segment → align pairs → add gloss/notes → save.</w:t>
      </w:r>
    </w:p>
    <w:p>
      <w:pPr>
        <w:pStyle w:val="H2"/>
      </w:pPr>
      <w:r>
        <w:t>UC-04 Generate Suggestions</w:t>
      </w:r>
    </w:p>
    <w:p>
      <w:r>
        <w:t>System generates translation suggestions.</w:t>
      </w:r>
    </w:p>
    <w:p>
      <w:r>
        <w:t>Actor: Translator</w:t>
      </w:r>
    </w:p>
    <w:p>
      <w:r>
        <w:t>Main: Request suggestions → review top-N candidates with labels/confidence → edit.</w:t>
      </w:r>
    </w:p>
    <w:p>
      <w:pPr>
        <w:pStyle w:val="H2"/>
      </w:pPr>
      <w:r>
        <w:t>UC-05 Community Approval</w:t>
      </w:r>
    </w:p>
    <w:p>
      <w:r>
        <w:t>Custodian approves translation.</w:t>
      </w:r>
    </w:p>
    <w:p>
      <w:r>
        <w:t>Actor: Elder/Custodian</w:t>
      </w:r>
    </w:p>
    <w:p>
      <w:r>
        <w:t>Main: Review content → approve/reject with comments.</w:t>
      </w:r>
    </w:p>
    <w:p>
      <w:r>
        <w:t>Post: 'Custodian Approved' required for publish.</w:t>
      </w:r>
    </w:p>
    <w:p>
      <w:pPr>
        <w:pStyle w:val="H2"/>
      </w:pPr>
      <w:r>
        <w:t>UC-06 Publish with ACL</w:t>
      </w:r>
    </w:p>
    <w:p>
      <w:r>
        <w:t>Admin publishes to allowed audience.</w:t>
      </w:r>
    </w:p>
    <w:p>
      <w:r>
        <w:t>Actor: Admin</w:t>
      </w:r>
    </w:p>
    <w:p>
      <w:r>
        <w:t>Main: Select audience (public/community/restricted) → publish → audit event recorded.</w:t>
      </w:r>
    </w:p>
    <w:p>
      <w:pPr>
        <w:pStyle w:val="H2"/>
      </w:pPr>
      <w:r>
        <w:t>UC-07 Offline Use</w:t>
      </w:r>
    </w:p>
    <w:p>
      <w:r>
        <w:t>Teacher downloads offline pack.</w:t>
      </w:r>
    </w:p>
    <w:p>
      <w:r>
        <w:t>Actor: Teacher/Health Worker</w:t>
      </w:r>
    </w:p>
    <w:p>
      <w:r>
        <w:t>Main: Select items → export PDF pack → available offline.</w:t>
      </w:r>
    </w:p>
    <w:p>
      <w:pPr>
        <w:pStyle w:val="H2"/>
      </w:pPr>
      <w:r>
        <w:t>UC-08 View Analytics</w:t>
      </w:r>
    </w:p>
    <w:p>
      <w:r>
        <w:t>Admin views dashboards.</w:t>
      </w:r>
    </w:p>
    <w:p>
      <w:r>
        <w:t>Actor: Admin/Data Analyst</w:t>
      </w:r>
    </w:p>
    <w:p>
      <w:r>
        <w:t>Main: Open dashboards → filter by language/region/time → export weekly report.</w:t>
      </w:r>
    </w:p>
    <w:p>
      <w:pPr>
        <w:pStyle w:val="H1"/>
      </w:pPr>
      <w:r>
        <w:t>8. Acceptance Criteria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7488"/>
          </w:tcPr>
          <w:p>
            <w:r>
              <w:rPr>
                <w:b/>
              </w:rPr>
              <w:t>Key Acceptance Criteria</w:t>
            </w:r>
          </w:p>
        </w:tc>
      </w:tr>
      <w:tr>
        <w:tc>
          <w:tcPr>
            <w:tcW w:type="dxa" w:w="2592"/>
          </w:tcPr>
          <w:p>
            <w:r>
              <w:t>Consent &amp; ACLs</w:t>
            </w:r>
          </w:p>
        </w:tc>
        <w:tc>
          <w:tcPr>
            <w:tcW w:type="dxa" w:w="7488"/>
          </w:tcPr>
          <w:p>
            <w:r>
              <w:t>No item publishes without consent + custodian; ACLs enforced; audit logs present.</w:t>
            </w:r>
          </w:p>
        </w:tc>
      </w:tr>
      <w:tr>
        <w:tc>
          <w:tcPr>
            <w:tcW w:type="dxa" w:w="2592"/>
          </w:tcPr>
          <w:p>
            <w:r>
              <w:t>AUSTLANG Tagging</w:t>
            </w:r>
          </w:p>
        </w:tc>
        <w:tc>
          <w:tcPr>
            <w:tcW w:type="dxa" w:w="7488"/>
          </w:tcPr>
          <w:p>
            <w:r>
              <w:t>Item cannot publish without valid code; autocomplete functions as expected.</w:t>
            </w:r>
          </w:p>
        </w:tc>
      </w:tr>
      <w:tr>
        <w:tc>
          <w:tcPr>
            <w:tcW w:type="dxa" w:w="2592"/>
          </w:tcPr>
          <w:p>
            <w:r>
              <w:t>Alignment</w:t>
            </w:r>
          </w:p>
        </w:tc>
        <w:tc>
          <w:tcPr>
            <w:tcW w:type="dxa" w:w="7488"/>
          </w:tcPr>
          <w:p>
            <w:r>
              <w:t>Segments saved/retrieved accurately; exports match alignments.</w:t>
            </w:r>
          </w:p>
        </w:tc>
      </w:tr>
      <w:tr>
        <w:tc>
          <w:tcPr>
            <w:tcW w:type="dxa" w:w="2592"/>
          </w:tcPr>
          <w:p>
            <w:r>
              <w:t>Suggestions</w:t>
            </w:r>
          </w:p>
        </w:tc>
        <w:tc>
          <w:tcPr>
            <w:tcW w:type="dxa" w:w="7488"/>
          </w:tcPr>
          <w:p>
            <w:r>
              <w:t>Labelled 'Machine-generated'; confidence shown; no auto-publish.</w:t>
            </w:r>
          </w:p>
        </w:tc>
      </w:tr>
      <w:tr>
        <w:tc>
          <w:tcPr>
            <w:tcW w:type="dxa" w:w="2592"/>
          </w:tcPr>
          <w:p>
            <w:r>
              <w:t>Review &amp; Approval</w:t>
            </w:r>
          </w:p>
        </w:tc>
        <w:tc>
          <w:tcPr>
            <w:tcW w:type="dxa" w:w="7488"/>
          </w:tcPr>
          <w:p>
            <w:r>
              <w:t>'Custodian Approved' gate enforced; decisions auditable.</w:t>
            </w:r>
          </w:p>
        </w:tc>
      </w:tr>
      <w:tr>
        <w:tc>
          <w:tcPr>
            <w:tcW w:type="dxa" w:w="2592"/>
          </w:tcPr>
          <w:p>
            <w:r>
              <w:t>Offline PWA</w:t>
            </w:r>
          </w:p>
        </w:tc>
        <w:tc>
          <w:tcPr>
            <w:tcW w:type="dxa" w:w="7488"/>
          </w:tcPr>
          <w:p>
            <w:r>
              <w:t>Browse cached content; drafts sync on reconnect; conflicts resolved.</w:t>
            </w:r>
          </w:p>
        </w:tc>
      </w:tr>
      <w:tr>
        <w:tc>
          <w:tcPr>
            <w:tcW w:type="dxa" w:w="2592"/>
          </w:tcPr>
          <w:p>
            <w:r>
              <w:t>Exports</w:t>
            </w:r>
          </w:p>
        </w:tc>
        <w:tc>
          <w:tcPr>
            <w:tcW w:type="dxa" w:w="7488"/>
          </w:tcPr>
          <w:p>
            <w:r>
              <w:t>PDF/CSV/JSON include licence banners; downloads respect ACLs.</w:t>
            </w:r>
          </w:p>
        </w:tc>
      </w:tr>
      <w:tr>
        <w:tc>
          <w:tcPr>
            <w:tcW w:type="dxa" w:w="2592"/>
          </w:tcPr>
          <w:p>
            <w:r>
              <w:t>Analytics</w:t>
            </w:r>
          </w:p>
        </w:tc>
        <w:tc>
          <w:tcPr>
            <w:tcW w:type="dxa" w:w="7488"/>
          </w:tcPr>
          <w:p>
            <w:r>
              <w:t>Dashboards render; weekly export available; privacy preserved.</w:t>
            </w:r>
          </w:p>
        </w:tc>
      </w:tr>
      <w:tr>
        <w:tc>
          <w:tcPr>
            <w:tcW w:type="dxa" w:w="2592"/>
          </w:tcPr>
          <w:p>
            <w:r>
              <w:t>Security</w:t>
            </w:r>
          </w:p>
        </w:tc>
        <w:tc>
          <w:tcPr>
            <w:tcW w:type="dxa" w:w="7488"/>
          </w:tcPr>
          <w:p>
            <w:r>
              <w:t>RBAC tested; signed URLs validated; encryption verified.</w:t>
            </w:r>
          </w:p>
        </w:tc>
      </w:tr>
      <w:tr>
        <w:tc>
          <w:tcPr>
            <w:tcW w:type="dxa" w:w="2592"/>
          </w:tcPr>
          <w:p>
            <w:r>
              <w:t>Accessibility</w:t>
            </w:r>
          </w:p>
        </w:tc>
        <w:tc>
          <w:tcPr>
            <w:tcW w:type="dxa" w:w="7488"/>
          </w:tcPr>
          <w:p>
            <w:r>
              <w:t>WCAG 2.1 AA checks pass (keyboard, contrast, ARIA).</w:t>
            </w:r>
          </w:p>
        </w:tc>
      </w:tr>
    </w:tbl>
    <w:p>
      <w:pPr>
        <w:pStyle w:val="H1"/>
      </w:pPr>
      <w:r>
        <w:t>9. Risks &amp; Mitigations</w:t>
      </w:r>
    </w:p>
    <w:p>
      <w:r>
        <w:t>- Data rights unclear → block ingestion until consent recorded; governance oversight.</w:t>
        <w:br/>
        <w:t>- Low-resource MT quality → human-in-the-loop, lexicon hints, community validation.</w:t>
        <w:br/>
        <w:t>- Low bandwidth/offline → PWA caching, background sync, resumable uploads.</w:t>
        <w:br/>
        <w:t>- Security/privacy incidents → least-privilege RBAC, audit, incident response runbooks.</w:t>
        <w:br/>
        <w:t>- Scope creep → phase gates; MVP constraints to text + Kriol suggestions.</w:t>
      </w:r>
    </w:p>
    <w:p>
      <w:pPr>
        <w:pStyle w:val="H1"/>
      </w:pPr>
      <w:r>
        <w:t>10.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Business Requirement</w:t>
            </w:r>
          </w:p>
        </w:tc>
        <w:tc>
          <w:tcPr>
            <w:tcW w:type="dxa" w:w="8352"/>
          </w:tcPr>
          <w:p>
            <w:r>
              <w:rPr>
                <w:b/>
              </w:rPr>
              <w:t>Mapped Functional Requirements</w:t>
            </w:r>
          </w:p>
        </w:tc>
      </w:tr>
      <w:tr>
        <w:tc>
          <w:tcPr>
            <w:tcW w:type="dxa" w:w="3168"/>
          </w:tcPr>
          <w:p>
            <w:r>
              <w:t>BR1 Consent-aware archive</w:t>
            </w:r>
          </w:p>
        </w:tc>
        <w:tc>
          <w:tcPr>
            <w:tcW w:type="dxa" w:w="8352"/>
          </w:tcPr>
          <w:p>
            <w:r>
              <w:t>FR-1, FR-2, FR-3, FR-16, FR-17, FR-18</w:t>
            </w:r>
          </w:p>
        </w:tc>
      </w:tr>
      <w:tr>
        <w:tc>
          <w:tcPr>
            <w:tcW w:type="dxa" w:w="3168"/>
          </w:tcPr>
          <w:p>
            <w:r>
              <w:t>BR2 Community control</w:t>
            </w:r>
          </w:p>
        </w:tc>
        <w:tc>
          <w:tcPr>
            <w:tcW w:type="dxa" w:w="8352"/>
          </w:tcPr>
          <w:p>
            <w:r>
              <w:t>FR-13, FR-14, FR-16, FR-17, FR-18</w:t>
            </w:r>
          </w:p>
        </w:tc>
      </w:tr>
      <w:tr>
        <w:tc>
          <w:tcPr>
            <w:tcW w:type="dxa" w:w="3168"/>
          </w:tcPr>
          <w:p>
            <w:r>
              <w:t>BR3 Alignment &amp; translation</w:t>
            </w:r>
          </w:p>
        </w:tc>
        <w:tc>
          <w:tcPr>
            <w:tcW w:type="dxa" w:w="8352"/>
          </w:tcPr>
          <w:p>
            <w:r>
              <w:t>FR-7, FR-8, FR-9, FR-10, FR-11, FR-12</w:t>
            </w:r>
          </w:p>
        </w:tc>
      </w:tr>
      <w:tr>
        <w:tc>
          <w:tcPr>
            <w:tcW w:type="dxa" w:w="3168"/>
          </w:tcPr>
          <w:p>
            <w:r>
              <w:t>BR4 Offline-first</w:t>
            </w:r>
          </w:p>
        </w:tc>
        <w:tc>
          <w:tcPr>
            <w:tcW w:type="dxa" w:w="8352"/>
          </w:tcPr>
          <w:p>
            <w:r>
              <w:t>FR-19, FR-20, FR-21</w:t>
            </w:r>
          </w:p>
        </w:tc>
      </w:tr>
      <w:tr>
        <w:tc>
          <w:tcPr>
            <w:tcW w:type="dxa" w:w="3168"/>
          </w:tcPr>
          <w:p>
            <w:r>
              <w:t>BR5 AUSTLANG tagging</w:t>
            </w:r>
          </w:p>
        </w:tc>
        <w:tc>
          <w:tcPr>
            <w:tcW w:type="dxa" w:w="8352"/>
          </w:tcPr>
          <w:p>
            <w:r>
              <w:t>FR-4, FR-5, FR-6</w:t>
            </w:r>
          </w:p>
        </w:tc>
      </w:tr>
      <w:tr>
        <w:tc>
          <w:tcPr>
            <w:tcW w:type="dxa" w:w="3168"/>
          </w:tcPr>
          <w:p>
            <w:r>
              <w:t>BR6 Analytics</w:t>
            </w:r>
          </w:p>
        </w:tc>
        <w:tc>
          <w:tcPr>
            <w:tcW w:type="dxa" w:w="8352"/>
          </w:tcPr>
          <w:p>
            <w:r>
              <w:t>FR-25, FR-26, FR-27</w:t>
            </w:r>
          </w:p>
        </w:tc>
      </w:tr>
      <w:tr>
        <w:tc>
          <w:tcPr>
            <w:tcW w:type="dxa" w:w="3168"/>
          </w:tcPr>
          <w:p>
            <w:r>
              <w:t>BR7 Exports</w:t>
            </w:r>
          </w:p>
        </w:tc>
        <w:tc>
          <w:tcPr>
            <w:tcW w:type="dxa" w:w="8352"/>
          </w:tcPr>
          <w:p>
            <w:r>
              <w:t>FR-22, FR-23, FR-24</w:t>
            </w:r>
          </w:p>
        </w:tc>
      </w:tr>
      <w:tr>
        <w:tc>
          <w:tcPr>
            <w:tcW w:type="dxa" w:w="3168"/>
          </w:tcPr>
          <w:p>
            <w:r>
              <w:t>BR8 Provenance &amp; audit</w:t>
            </w:r>
          </w:p>
        </w:tc>
        <w:tc>
          <w:tcPr>
            <w:tcW w:type="dxa" w:w="8352"/>
          </w:tcPr>
          <w:p>
            <w:r>
              <w:t>FR-15, FR-18, FR-30</w:t>
            </w:r>
          </w:p>
        </w:tc>
      </w:tr>
      <w:tr>
        <w:tc>
          <w:tcPr>
            <w:tcW w:type="dxa" w:w="3168"/>
          </w:tcPr>
          <w:p>
            <w:r>
              <w:t>BR9 Privacy &amp; ethics</w:t>
            </w:r>
          </w:p>
        </w:tc>
        <w:tc>
          <w:tcPr>
            <w:tcW w:type="dxa" w:w="8352"/>
          </w:tcPr>
          <w:p>
            <w:r>
              <w:t>NFR-4, NFR-5, NFR-11</w:t>
            </w:r>
          </w:p>
        </w:tc>
      </w:tr>
      <w:tr>
        <w:tc>
          <w:tcPr>
            <w:tcW w:type="dxa" w:w="3168"/>
          </w:tcPr>
          <w:p>
            <w:r>
              <w:t>BR10 Governance</w:t>
            </w:r>
          </w:p>
        </w:tc>
        <w:tc>
          <w:tcPr>
            <w:tcW w:type="dxa" w:w="8352"/>
          </w:tcPr>
          <w:p>
            <w:r>
              <w:t>FR-28, FR-29, FR-30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enter">
    <w:name w:val="Title Center"/>
    <w:rPr>
      <w:rFonts w:ascii="Calibri" w:hAnsi="Calibri" w:eastAsia="Calibri"/>
      <w:b/>
      <w:sz w:val="48"/>
    </w:rPr>
  </w:style>
  <w:style w:type="paragraph" w:customStyle="1" w:styleId="H1">
    <w:name w:val="H1"/>
    <w:rPr>
      <w:rFonts w:ascii="Calibri" w:hAnsi="Calibri" w:eastAsia="Calibri"/>
      <w:b/>
      <w:sz w:val="32"/>
    </w:rPr>
  </w:style>
  <w:style w:type="paragraph" w:customStyle="1" w:styleId="H2">
    <w:name w:val="H2"/>
    <w:rPr>
      <w:rFonts w:ascii="Calibri" w:hAnsi="Calibri" w:eastAsia="Calibri"/>
      <w:b/>
      <w:sz w:val="26"/>
    </w:rPr>
  </w:style>
  <w:style w:type="paragraph" w:customStyle="1" w:styleId="H3">
    <w:name w:val="H3"/>
    <w:rPr>
      <w:rFonts w:ascii="Calibri" w:hAnsi="Calibri" w:eastAsia="Calibr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7D5EB9F8E73A4CAE7C779908096F7A" ma:contentTypeVersion="13" ma:contentTypeDescription="Create a new document." ma:contentTypeScope="" ma:versionID="205980716ccef251d5cd0c6725c692d4">
  <xsd:schema xmlns:xsd="http://www.w3.org/2001/XMLSchema" xmlns:xs="http://www.w3.org/2001/XMLSchema" xmlns:p="http://schemas.microsoft.com/office/2006/metadata/properties" xmlns:ns2="d0fc1988-bccd-4bd4-9c78-560c29842df2" xmlns:ns3="496c8444-6dfc-46f8-ac3b-1a63db425d18" targetNamespace="http://schemas.microsoft.com/office/2006/metadata/properties" ma:root="true" ma:fieldsID="64b7748187f21f5bd6ddc85444a34766" ns2:_="" ns3:_="">
    <xsd:import namespace="d0fc1988-bccd-4bd4-9c78-560c29842df2"/>
    <xsd:import namespace="496c8444-6dfc-46f8-ac3b-1a63db425d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1988-bccd-4bd4-9c78-560c29842d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c8444-6dfc-46f8-ac3b-1a63db425d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ca19318-c5bf-4af2-b999-902505399451}" ma:internalName="TaxCatchAll" ma:showField="CatchAllData" ma:web="496c8444-6dfc-46f8-ac3b-1a63db425d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fc1988-bccd-4bd4-9c78-560c29842df2">
      <Terms xmlns="http://schemas.microsoft.com/office/infopath/2007/PartnerControls"/>
    </lcf76f155ced4ddcb4097134ff3c332f>
    <TaxCatchAll xmlns="496c8444-6dfc-46f8-ac3b-1a63db425d1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3DC7BA-7C7D-425E-AE13-45F945F7A5C8}"/>
</file>

<file path=customXml/itemProps3.xml><?xml version="1.0" encoding="utf-8"?>
<ds:datastoreItem xmlns:ds="http://schemas.openxmlformats.org/officeDocument/2006/customXml" ds:itemID="{0A8277FE-ECCB-4E3E-A962-A998792B864E}"/>
</file>

<file path=customXml/itemProps4.xml><?xml version="1.0" encoding="utf-8"?>
<ds:datastoreItem xmlns:ds="http://schemas.openxmlformats.org/officeDocument/2006/customXml" ds:itemID="{636BA5B8-27D5-4DBE-B475-9E3CF8E3AE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0x010100FF7D5EB9F8E73A4CAE7C779908096F7A</vt:lpwstr>
  </property>
</Properties>
</file>