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71BFB" w14:textId="3F0F5E37" w:rsidR="00C41706" w:rsidRPr="00C41706" w:rsidRDefault="00C41706" w:rsidP="00C41706">
      <w:pPr>
        <w:spacing w:before="240" w:line="360" w:lineRule="auto"/>
        <w:jc w:val="center"/>
        <w:rPr>
          <w:b/>
          <w:bCs/>
          <w:i/>
          <w:iCs/>
          <w:color w:val="FF0000"/>
          <w:sz w:val="28"/>
          <w:szCs w:val="28"/>
          <w:u w:val="single"/>
          <w:lang w:val="es-ES"/>
        </w:rPr>
      </w:pPr>
      <w:r w:rsidRPr="00C41706">
        <w:rPr>
          <w:b/>
          <w:bCs/>
          <w:i/>
          <w:iCs/>
          <w:color w:val="FF0000"/>
          <w:sz w:val="28"/>
          <w:szCs w:val="28"/>
          <w:u w:val="single"/>
          <w:lang w:val="es-ES"/>
        </w:rPr>
        <w:t>PLAN DE MANTENIMIENTO DETALLADO Y ESPECÍFICO PARA EL SISTEMA DE PUNTO DE VENTA (POS) DE LA CAFETERÍA VIOLETA</w:t>
      </w:r>
    </w:p>
    <w:p w14:paraId="3A4950D0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t>1. Introducción</w:t>
      </w:r>
    </w:p>
    <w:p w14:paraId="29AE133B" w14:textId="77777777" w:rsidR="00C41706" w:rsidRPr="00C41706" w:rsidRDefault="00C41706" w:rsidP="00C41706">
      <w:p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El plan de mantenimiento detallado y específico tiene como objetivo garantizar la operatividad, seguridad y eficiencia del Sistema de Punto de Venta (POS) de la Cafetería Violeta, mediante un enfoque exhaustivo en cada aspecto del mantenimiento.</w:t>
      </w:r>
    </w:p>
    <w:p w14:paraId="162485D8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t>2. Procedimientos de Implementación y Configuración</w:t>
      </w:r>
    </w:p>
    <w:p w14:paraId="122F66EB" w14:textId="77777777" w:rsidR="00C41706" w:rsidRPr="00C41706" w:rsidRDefault="00C41706" w:rsidP="00C41706">
      <w:pPr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Verificar la configuración del servidor, incluyendo la asignación de recursos adecuados de CPU, memoria y almacenamiento para garantizar el rendimiento óptimo del sistema.</w:t>
      </w:r>
    </w:p>
    <w:p w14:paraId="3F8C08BB" w14:textId="77777777" w:rsidR="00C41706" w:rsidRPr="00C41706" w:rsidRDefault="00C41706" w:rsidP="00C41706">
      <w:pPr>
        <w:numPr>
          <w:ilvl w:val="0"/>
          <w:numId w:val="1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Realizar pruebas de carga y estrés para evaluar la capacidad del sistema y ajustar la configuración según sea necesario.</w:t>
      </w:r>
    </w:p>
    <w:p w14:paraId="7A37D315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t>3. Mantenimiento de la Base de Datos</w:t>
      </w:r>
    </w:p>
    <w:p w14:paraId="4AA9D513" w14:textId="77777777" w:rsidR="00C41706" w:rsidRPr="00C41706" w:rsidRDefault="00C41706" w:rsidP="00C41706">
      <w:pPr>
        <w:numPr>
          <w:ilvl w:val="0"/>
          <w:numId w:val="2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Programar copias de seguridad automáticas diarias y almacenarlas en ubicaciones geográficamente dispersas para mitigar riesgos de pérdida de datos.</w:t>
      </w:r>
    </w:p>
    <w:p w14:paraId="70600AE6" w14:textId="77777777" w:rsidR="00C41706" w:rsidRPr="00C41706" w:rsidRDefault="00C41706" w:rsidP="00C41706">
      <w:pPr>
        <w:numPr>
          <w:ilvl w:val="0"/>
          <w:numId w:val="2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Implementar políticas de retención de datos para garantizar el cumplimiento normativo y la optimización del espacio de almacenamiento.</w:t>
      </w:r>
    </w:p>
    <w:p w14:paraId="2F8F00F5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t>4. Actualizaciones de Software</w:t>
      </w:r>
    </w:p>
    <w:p w14:paraId="1C2483F5" w14:textId="77777777" w:rsidR="00C41706" w:rsidRPr="00C41706" w:rsidRDefault="00C41706" w:rsidP="00C41706">
      <w:pPr>
        <w:numPr>
          <w:ilvl w:val="0"/>
          <w:numId w:val="3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Establecer un entorno de pruebas para evaluar las actualizaciones de software antes de implementarlas en producción, minimizando el riesgo de fallos.</w:t>
      </w:r>
    </w:p>
    <w:p w14:paraId="3FE71663" w14:textId="77777777" w:rsidR="00C41706" w:rsidRDefault="00C41706" w:rsidP="00C41706">
      <w:pPr>
        <w:numPr>
          <w:ilvl w:val="0"/>
          <w:numId w:val="3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Documentar los cambios realizados en cada actualización, incluyendo correcciones de errores, mejoras de seguridad y nuevas funcionalidades.</w:t>
      </w:r>
    </w:p>
    <w:p w14:paraId="300E7796" w14:textId="77777777" w:rsidR="002F2E2D" w:rsidRDefault="002F2E2D" w:rsidP="002F2E2D">
      <w:pPr>
        <w:spacing w:before="240" w:line="360" w:lineRule="auto"/>
        <w:jc w:val="both"/>
        <w:rPr>
          <w:lang w:val="es-ES"/>
        </w:rPr>
      </w:pPr>
    </w:p>
    <w:p w14:paraId="63E8EC3A" w14:textId="77777777" w:rsidR="002F2E2D" w:rsidRPr="00C41706" w:rsidRDefault="002F2E2D" w:rsidP="002F2E2D">
      <w:pPr>
        <w:spacing w:before="240" w:line="360" w:lineRule="auto"/>
        <w:jc w:val="both"/>
        <w:rPr>
          <w:lang w:val="es-ES"/>
        </w:rPr>
      </w:pPr>
    </w:p>
    <w:p w14:paraId="1F529947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lastRenderedPageBreak/>
        <w:t>5. Monitoreo del Sistema</w:t>
      </w:r>
    </w:p>
    <w:p w14:paraId="3ECEECF2" w14:textId="77777777" w:rsidR="00C41706" w:rsidRPr="00C41706" w:rsidRDefault="00C41706" w:rsidP="00C41706">
      <w:pPr>
        <w:numPr>
          <w:ilvl w:val="0"/>
          <w:numId w:val="4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Implementar un sistema de monitoreo proactivo para supervisar el rendimiento del sistema, la utilización de recursos y la detección temprana de posibles problemas.</w:t>
      </w:r>
    </w:p>
    <w:p w14:paraId="2364C394" w14:textId="77777777" w:rsidR="00C41706" w:rsidRPr="00C41706" w:rsidRDefault="00C41706" w:rsidP="00C41706">
      <w:pPr>
        <w:numPr>
          <w:ilvl w:val="0"/>
          <w:numId w:val="4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Configurar alertas personalizadas para notificar al equipo de TI sobre eventos críticos, como caídas del sistema o sobrecarga de recursos.</w:t>
      </w:r>
    </w:p>
    <w:p w14:paraId="6BAFB910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t>6. Capacitación Continua</w:t>
      </w:r>
    </w:p>
    <w:p w14:paraId="4F5B92C6" w14:textId="77777777" w:rsidR="00C41706" w:rsidRPr="00C41706" w:rsidRDefault="00C41706" w:rsidP="00C41706">
      <w:pPr>
        <w:numPr>
          <w:ilvl w:val="0"/>
          <w:numId w:val="5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Proporcionar entrenamiento regular al personal de TI sobre las mejores prácticas de mantenimiento, procedimientos de recuperación de desastres y seguridad informática.</w:t>
      </w:r>
    </w:p>
    <w:p w14:paraId="071A886E" w14:textId="77777777" w:rsidR="00C41706" w:rsidRPr="00C41706" w:rsidRDefault="00C41706" w:rsidP="00C41706">
      <w:pPr>
        <w:numPr>
          <w:ilvl w:val="0"/>
          <w:numId w:val="5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Organizar simulacros de incidentes para mejorar la preparación del equipo ante posibles interrupciones del servicio.</w:t>
      </w:r>
    </w:p>
    <w:p w14:paraId="1FF096EA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t>7. Evaluación y Mejora Continua</w:t>
      </w:r>
    </w:p>
    <w:p w14:paraId="6BDA5643" w14:textId="77777777" w:rsidR="00C41706" w:rsidRPr="00C41706" w:rsidRDefault="00C41706" w:rsidP="00C41706">
      <w:pPr>
        <w:numPr>
          <w:ilvl w:val="0"/>
          <w:numId w:val="6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Realizar auditorías de seguridad periódicas para identificar posibles vulnerabilidades y aplicar medidas correctivas de inmediato.</w:t>
      </w:r>
    </w:p>
    <w:p w14:paraId="322C3E94" w14:textId="77777777" w:rsidR="00C41706" w:rsidRPr="00C41706" w:rsidRDefault="00C41706" w:rsidP="00C41706">
      <w:pPr>
        <w:numPr>
          <w:ilvl w:val="0"/>
          <w:numId w:val="6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Recopilar retroalimentación de los usuarios sobre la experiencia de uso del sistema y utilizar esta información para realizar mejoras continuas.</w:t>
      </w:r>
    </w:p>
    <w:p w14:paraId="66697F84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t>8. Gestión de Proveedores y Licencias</w:t>
      </w:r>
    </w:p>
    <w:p w14:paraId="784DDD4A" w14:textId="77777777" w:rsidR="00C41706" w:rsidRPr="00C41706" w:rsidRDefault="00C41706" w:rsidP="00C41706">
      <w:pPr>
        <w:numPr>
          <w:ilvl w:val="0"/>
          <w:numId w:val="7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Mantener un inventario actualizado de todos los proveedores de software y hardware, incluyendo detalles de contacto y contratos de servicio.</w:t>
      </w:r>
    </w:p>
    <w:p w14:paraId="5E2F6720" w14:textId="77777777" w:rsidR="00C41706" w:rsidRPr="00C41706" w:rsidRDefault="00C41706" w:rsidP="00C41706">
      <w:pPr>
        <w:numPr>
          <w:ilvl w:val="0"/>
          <w:numId w:val="7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Renovar las licencias de software de forma oportuna y gestionar eficientemente los acuerdos de nivel de servicio (SLA) con los proveedores.</w:t>
      </w:r>
    </w:p>
    <w:p w14:paraId="5B943195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t>9. Continuidad del Servicio</w:t>
      </w:r>
    </w:p>
    <w:p w14:paraId="5F3EFDBD" w14:textId="77777777" w:rsidR="00C41706" w:rsidRPr="00C41706" w:rsidRDefault="00C41706" w:rsidP="00C41706">
      <w:pPr>
        <w:numPr>
          <w:ilvl w:val="0"/>
          <w:numId w:val="8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Desarrollar un plan detallado de continuidad del negocio que defina los procedimientos de recuperación en caso de desastres o interrupciones graves.</w:t>
      </w:r>
    </w:p>
    <w:p w14:paraId="0E9928FC" w14:textId="77777777" w:rsidR="00C41706" w:rsidRPr="00C41706" w:rsidRDefault="00C41706" w:rsidP="00C41706">
      <w:pPr>
        <w:numPr>
          <w:ilvl w:val="0"/>
          <w:numId w:val="8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lastRenderedPageBreak/>
        <w:t>Realizar pruebas regulares de los planes de contingencia y actualizarlos según sea necesario para garantizar su eficacia.</w:t>
      </w:r>
    </w:p>
    <w:p w14:paraId="24C5FF8D" w14:textId="77777777" w:rsidR="00C41706" w:rsidRPr="00C41706" w:rsidRDefault="00C41706" w:rsidP="00C41706">
      <w:pPr>
        <w:spacing w:before="240" w:line="360" w:lineRule="auto"/>
        <w:jc w:val="both"/>
        <w:rPr>
          <w:b/>
          <w:bCs/>
          <w:lang w:val="es-ES"/>
        </w:rPr>
      </w:pPr>
      <w:r w:rsidRPr="00C41706">
        <w:rPr>
          <w:b/>
          <w:bCs/>
          <w:lang w:val="es-ES"/>
        </w:rPr>
        <w:t>10. Evaluación de Impacto y Métricas de Éxito</w:t>
      </w:r>
    </w:p>
    <w:p w14:paraId="5AE979F2" w14:textId="77777777" w:rsidR="00C41706" w:rsidRPr="00C41706" w:rsidRDefault="00C41706" w:rsidP="00C41706">
      <w:pPr>
        <w:numPr>
          <w:ilvl w:val="0"/>
          <w:numId w:val="9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Definir métricas clave de desempeño, como tiempo de actividad del sistema, tiempos de respuesta y satisfacción del usuario, para evaluar el rendimiento del sistema.</w:t>
      </w:r>
    </w:p>
    <w:p w14:paraId="49F81BD2" w14:textId="77777777" w:rsidR="00C41706" w:rsidRPr="00C41706" w:rsidRDefault="00C41706" w:rsidP="00C41706">
      <w:pPr>
        <w:numPr>
          <w:ilvl w:val="0"/>
          <w:numId w:val="9"/>
        </w:num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Realizar revisiones exhaustivas de los informes de métricas y establecer objetivos de mejora basados en los resultados obtenidos.</w:t>
      </w:r>
    </w:p>
    <w:p w14:paraId="4E501823" w14:textId="77777777" w:rsidR="00C41706" w:rsidRPr="00C41706" w:rsidRDefault="00C41706" w:rsidP="00C41706">
      <w:pPr>
        <w:spacing w:before="240" w:line="360" w:lineRule="auto"/>
        <w:jc w:val="both"/>
        <w:rPr>
          <w:lang w:val="es-ES"/>
        </w:rPr>
      </w:pPr>
      <w:r w:rsidRPr="00C41706">
        <w:rPr>
          <w:lang w:val="es-ES"/>
        </w:rPr>
        <w:t>Este plan de mantenimiento detallado y específico proporciona una estructura sólida para garantizar la óptima operación y seguridad del Sistema de Punto de Venta (POS) de la Cafetería Violeta. Si necesitas más detalles o ajustes específicos, ¡no dudes en compartirlos! Estoy aquí para ayudarte en lo que necesites.</w:t>
      </w:r>
    </w:p>
    <w:p w14:paraId="12758C43" w14:textId="77777777" w:rsidR="000F6116" w:rsidRDefault="000F6116"/>
    <w:sectPr w:rsidR="000F6116">
      <w:headerReference w:type="default" r:id="rId5"/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mata OTF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41A6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044"/>
      </w:tabs>
      <w:rPr>
        <w:rFonts w:ascii="Helvetica Neue" w:eastAsia="Helvetica Neue" w:hAnsi="Helvetica Neue" w:cs="Helvetica Neue"/>
        <w:color w:val="000000"/>
        <w:sz w:val="12"/>
        <w:szCs w:val="12"/>
      </w:rPr>
    </w:pPr>
    <w:r>
      <w:rPr>
        <w:rFonts w:ascii="Helvetica Neue" w:eastAsia="Helvetica Neue" w:hAnsi="Helvetica Neue" w:cs="Helvetica Neue"/>
        <w:color w:val="000000"/>
        <w:sz w:val="12"/>
        <w:szCs w:val="12"/>
      </w:rPr>
      <w:t xml:space="preserve">VOLUMEN XX, </w:t>
    </w:r>
    <w:r>
      <w:rPr>
        <w:rFonts w:ascii="Helvetica Neue" w:eastAsia="Helvetica Neue" w:hAnsi="Helvetica Neue" w:cs="Helvetica Neue"/>
        <w:color w:val="000000"/>
        <w:sz w:val="12"/>
        <w:szCs w:val="12"/>
      </w:rPr>
      <w:tab/>
      <w:t>20171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FB82A" w14:textId="77777777" w:rsidR="00000000" w:rsidRDefault="00000000">
    <w:pPr>
      <w:pBdr>
        <w:top w:val="nil"/>
        <w:left w:val="nil"/>
        <w:bottom w:val="single" w:sz="4" w:space="3" w:color="000000"/>
        <w:right w:val="nil"/>
        <w:between w:val="nil"/>
      </w:pBdr>
      <w:tabs>
        <w:tab w:val="center" w:pos="4320"/>
        <w:tab w:val="right" w:pos="8640"/>
        <w:tab w:val="left" w:pos="5532"/>
      </w:tabs>
      <w:jc w:val="right"/>
      <w:rPr>
        <w:rFonts w:ascii="Formata OTF" w:eastAsia="Formata OTF" w:hAnsi="Formata OTF" w:cs="Formata OTF"/>
        <w:color w:val="000000"/>
        <w:sz w:val="14"/>
        <w:szCs w:val="14"/>
      </w:rPr>
    </w:pPr>
    <w:r>
      <w:rPr>
        <w:rFonts w:ascii="Formata OTF" w:eastAsia="Formata OTF" w:hAnsi="Formata OTF" w:cs="Formata OTF"/>
        <w:noProof/>
        <w:color w:val="000000"/>
        <w:sz w:val="14"/>
        <w:szCs w:val="14"/>
      </w:rPr>
      <w:drawing>
        <wp:inline distT="0" distB="0" distL="0" distR="0" wp14:anchorId="00C60406" wp14:editId="47951406">
          <wp:extent cx="1165860" cy="289560"/>
          <wp:effectExtent l="0" t="0" r="0" b="0"/>
          <wp:docPr id="5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289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D2E0CB6" wp14:editId="2AAA81F4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792288" cy="457605"/>
          <wp:effectExtent l="0" t="0" r="0" b="0"/>
          <wp:wrapNone/>
          <wp:docPr id="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88" cy="457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51FB"/>
    <w:multiLevelType w:val="multilevel"/>
    <w:tmpl w:val="A9A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6765D"/>
    <w:multiLevelType w:val="multilevel"/>
    <w:tmpl w:val="607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6315"/>
    <w:multiLevelType w:val="multilevel"/>
    <w:tmpl w:val="B17A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37566"/>
    <w:multiLevelType w:val="multilevel"/>
    <w:tmpl w:val="3FE2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81483"/>
    <w:multiLevelType w:val="multilevel"/>
    <w:tmpl w:val="27B0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A67F2"/>
    <w:multiLevelType w:val="multilevel"/>
    <w:tmpl w:val="0A7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55091"/>
    <w:multiLevelType w:val="multilevel"/>
    <w:tmpl w:val="25B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56212"/>
    <w:multiLevelType w:val="multilevel"/>
    <w:tmpl w:val="3D68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E52E1"/>
    <w:multiLevelType w:val="multilevel"/>
    <w:tmpl w:val="8DE2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78931">
    <w:abstractNumId w:val="5"/>
  </w:num>
  <w:num w:numId="2" w16cid:durableId="863134464">
    <w:abstractNumId w:val="0"/>
  </w:num>
  <w:num w:numId="3" w16cid:durableId="469595145">
    <w:abstractNumId w:val="4"/>
  </w:num>
  <w:num w:numId="4" w16cid:durableId="1169520365">
    <w:abstractNumId w:val="6"/>
  </w:num>
  <w:num w:numId="5" w16cid:durableId="1052004691">
    <w:abstractNumId w:val="3"/>
  </w:num>
  <w:num w:numId="6" w16cid:durableId="15815224">
    <w:abstractNumId w:val="1"/>
  </w:num>
  <w:num w:numId="7" w16cid:durableId="1985238743">
    <w:abstractNumId w:val="8"/>
  </w:num>
  <w:num w:numId="8" w16cid:durableId="895701858">
    <w:abstractNumId w:val="7"/>
  </w:num>
  <w:num w:numId="9" w16cid:durableId="75787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16"/>
    <w:rsid w:val="00034B06"/>
    <w:rsid w:val="000F6116"/>
    <w:rsid w:val="001A78EB"/>
    <w:rsid w:val="001F64E4"/>
    <w:rsid w:val="002F2E2D"/>
    <w:rsid w:val="004075B0"/>
    <w:rsid w:val="00B65F54"/>
    <w:rsid w:val="00C41706"/>
    <w:rsid w:val="00F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81E8"/>
  <w15:chartTrackingRefBased/>
  <w15:docId w15:val="{C826C7F4-4680-4DB2-ABD3-D46B21DD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16"/>
    <w:pPr>
      <w:spacing w:after="0" w:line="240" w:lineRule="auto"/>
    </w:pPr>
    <w:rPr>
      <w:rFonts w:ascii="Times New Roman" w:eastAsia="Times New Roman" w:hAnsi="Times New Roman" w:cs="Times New Roman"/>
      <w:kern w:val="0"/>
      <w:lang w:val="es-419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F6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1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1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1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1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1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1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1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1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1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1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1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1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1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1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1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HAMILTON ARREAGA CABRERA</dc:creator>
  <cp:keywords/>
  <dc:description/>
  <cp:lastModifiedBy>BRUCE HAMILTON ARREAGA CABRERA</cp:lastModifiedBy>
  <cp:revision>3</cp:revision>
  <dcterms:created xsi:type="dcterms:W3CDTF">2024-08-02T00:27:00Z</dcterms:created>
  <dcterms:modified xsi:type="dcterms:W3CDTF">2024-08-02T01:19:00Z</dcterms:modified>
</cp:coreProperties>
</file>