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rapid evolution of cyber-enabled crimes, it has been observed that offenders are increasingly moving away from conventional operating systems such as Windows and macOS (Macintosh Operating System), and are instead adopting privacy-focused and non-standard operating systems specifically designed to evade surveillance, attribution, and forensic analysis.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Cybercriminals and organized threat actors are known to use operating systems such as Tails (The Amnesic Incognito Live System), Kali Linux, Ubuntu, and other Linux-based or live-boot environments to conduct activities including encrypted communication, anonymous browsing, cyber intrusions, financial fraud, and coordination of criminal operations. These operating systems often offer features such as memory-only execution, built-in anonymization, encryption by default, and minimal artifact retention, posing significant challenges to law-enforcement investigations.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present, there is a lack of consolidated understanding regarding: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range of operating systems commonly used by cybercriminals for conducting cyber threats and organized criminal activities.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freely available open-source or public tools that are most frequently downloaded and misused from the internet for activities such as anonymization, intrusion, communication, and data exfiltration.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forensic feasibility and limitations of examining non-standard or privacy-oriented operating systems, particularly live or amnesic systems such as Tails.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availability and effectiveness of forensic tools and methodologies capable of acquiring, preserving, and analysing digital artefacts from such operating systems without compromising evidentiary value.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f7gvlj2qt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of the Exercise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problem is to: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Identify and categorize operating systems commonly exploited by cybercriminals.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commonly misused freely available tools associated with these operating systems.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forensic challenges and investigative blind spots posed by amnesic and non-persistent systems.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forensic tools, techniques, and workflows that can be used to analyse devices running Tails OS and other similar non-standard operating systems in a legally sound and technically reliable manner.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xxrxvej5p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problem-solving team is expected to: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Provide a comparative assessment of criminal usage patterns across different operating systems.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high-risk tools and utilities that require focused monitoring.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forensic acquisition and analysis strategies suitable for live, volatile, or encrypted operating environments.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gaps in current forensic capabilities and suggest potential solutions or research directions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