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6FECC" w14:textId="77777777" w:rsidR="006C21A5" w:rsidRPr="006C21A5" w:rsidRDefault="006C21A5" w:rsidP="006C21A5">
      <w:pPr>
        <w:rPr>
          <w:b/>
          <w:bCs/>
        </w:rPr>
      </w:pPr>
      <w:r w:rsidRPr="006C21A5">
        <w:rPr>
          <w:b/>
          <w:bCs/>
        </w:rPr>
        <w:t>1928 Yılı Okuma-Yazma Kursu İstatistikleri ve Belgeleri</w:t>
      </w:r>
    </w:p>
    <w:p w14:paraId="3A79921B" w14:textId="77777777" w:rsidR="006C21A5" w:rsidRPr="006C21A5" w:rsidRDefault="006C21A5" w:rsidP="006C21A5">
      <w:r w:rsidRPr="006C21A5">
        <w:t>Katalog Açıklaması</w:t>
      </w:r>
    </w:p>
    <w:p w14:paraId="64E6DFE9" w14:textId="77777777" w:rsidR="006C21A5" w:rsidRPr="006C21A5" w:rsidRDefault="006C21A5" w:rsidP="006C21A5">
      <w:r w:rsidRPr="006C21A5">
        <w:t xml:space="preserve">Derneğin kuruluşunun hemen ardından, Harf Devrimi'nin getirdiği yeni alfabeyi halka öğretmek amacıyla 1928 yılında açılan kurslara ait kayıt defterleri, başarı belgeleri ve istatistiki tablolardır. Kayıtlara göre, derneğin ilk yılında açtığı bu kurslarda tam 5.700 yurttaşa okuma yazma öğretilmiştir.1 </w:t>
      </w:r>
      <w:proofErr w:type="gramStart"/>
      <w:r w:rsidRPr="006C21A5">
        <w:t>Bu</w:t>
      </w:r>
      <w:proofErr w:type="gramEnd"/>
      <w:r w:rsidRPr="006C21A5">
        <w:t xml:space="preserve"> belgeler, Türk Maarif Cemiyeti'nin bir elit okulu olmanın ötesinde, halkın aydınlanması için sahada aktif olarak çalışan bir sivil inisiyatif olduğunu somutlaştıran en güçlü kanıtlardır. Kursiyerlerin demografik yapısını, mesleklerini ve yaş aralıklarını gösteren listeler, eğitim seferberliğinin toplumun tabanına nasıl yayıldığını gösterir.</w:t>
      </w:r>
    </w:p>
    <w:p w14:paraId="0828E024" w14:textId="77777777" w:rsidR="006C21A5" w:rsidRPr="006C21A5" w:rsidRDefault="006C21A5" w:rsidP="006C21A5">
      <w:proofErr w:type="spellStart"/>
      <w:r w:rsidRPr="006C21A5">
        <w:t>Müzeolojik</w:t>
      </w:r>
      <w:proofErr w:type="spellEnd"/>
      <w:r w:rsidRPr="006C21A5">
        <w:t xml:space="preserve"> açıdan bu evraklar, Cumhuriyet'in "halka doğru" hareketinin kurumsal yansımasıdır. İkinci paragrafta vurgulanması gereken husus, bu kursların sadece teknik bir okuma-yazma eğitimi değil, aynı zamanda yurttaşlık bilincinin aşılandığı birer sosyal rehabilitasyon merkezi işlevi görmesidir. Belgelerdeki el yazıları, mühürler ve notlar, o dönemin bürokratik titizliğini ve eğitimcilerin fedakarlığını yansıtır. Dijital sergide bu veriler, 1928 Türkiye'sinin okuryazarlık haritası üzerine işlenerek görselleştirilmeli ve kurumun ulusal ölçekteki etkisi vurgulanmalıdır.</w:t>
      </w:r>
    </w:p>
    <w:p w14:paraId="232B672C" w14:textId="77777777" w:rsidR="006C21A5" w:rsidRPr="006C21A5" w:rsidRDefault="006C21A5" w:rsidP="006C21A5">
      <w:proofErr w:type="spellStart"/>
      <w:r w:rsidRPr="006C21A5">
        <w:t>Küratoryal</w:t>
      </w:r>
      <w:proofErr w:type="spellEnd"/>
      <w:r w:rsidRPr="006C21A5">
        <w:t xml:space="preserve"> Analiz ve Tarihsel Bağlam</w:t>
      </w:r>
    </w:p>
    <w:p w14:paraId="5321CF43" w14:textId="77777777" w:rsidR="006C21A5" w:rsidRPr="006C21A5" w:rsidRDefault="006C21A5" w:rsidP="006C21A5">
      <w:r w:rsidRPr="006C21A5">
        <w:t>Bu objeler, TED'in "Eğitimde Fırsat Eşitliği" misyonunun ilk tohumlarıdır. 5.700 sayısı, dönemin nüfusu göz önüne alındığında muazzam bir etkidir. Dijital müze, bu istatistikleri infografiklerle destekleyerek sunmalıdır. Örneğin, "1928'de 5.700 kişi ne anlama geliyordu?" sorusu üzerinden bir karşılaştırma yapılabilir. Ayrıca, varsa kursiyerlerin o dönemki fotoğrafları veya başarı hikayeleri ile zenginleştirilen bir "Sözlü Tarih" bölümü, bu soğuk istatistikleri insan hikayelerine dönüştürecektir. Bu, TED Üniversitesi'nin bugün sürdürdüğü sosyal sorumluluk projelerinin (burslar, seminerler) tarihsel köklerini oluşturur.</w:t>
      </w:r>
    </w:p>
    <w:p w14:paraId="5331256E" w14:textId="77777777" w:rsidR="00A464B2" w:rsidRPr="006C21A5" w:rsidRDefault="00A464B2" w:rsidP="006C21A5"/>
    <w:sectPr w:rsidR="00A464B2" w:rsidRPr="006C21A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791"/>
    <w:rsid w:val="001F201C"/>
    <w:rsid w:val="002C4D1E"/>
    <w:rsid w:val="006C21A5"/>
    <w:rsid w:val="00750791"/>
    <w:rsid w:val="009072FC"/>
    <w:rsid w:val="00A464B2"/>
    <w:rsid w:val="00DD323F"/>
    <w:rsid w:val="00F5204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0E63A"/>
  <w15:chartTrackingRefBased/>
  <w15:docId w15:val="{AA552BE6-0769-416B-969E-2A536BB49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507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507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5079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5079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5079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5079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5079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5079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5079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5079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5079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5079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5079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5079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5079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5079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5079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50791"/>
    <w:rPr>
      <w:rFonts w:eastAsiaTheme="majorEastAsia" w:cstheme="majorBidi"/>
      <w:color w:val="272727" w:themeColor="text1" w:themeTint="D8"/>
    </w:rPr>
  </w:style>
  <w:style w:type="paragraph" w:styleId="KonuBal">
    <w:name w:val="Title"/>
    <w:basedOn w:val="Normal"/>
    <w:next w:val="Normal"/>
    <w:link w:val="KonuBalChar"/>
    <w:uiPriority w:val="10"/>
    <w:qFormat/>
    <w:rsid w:val="00750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5079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5079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5079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5079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50791"/>
    <w:rPr>
      <w:i/>
      <w:iCs/>
      <w:color w:val="404040" w:themeColor="text1" w:themeTint="BF"/>
    </w:rPr>
  </w:style>
  <w:style w:type="paragraph" w:styleId="ListeParagraf">
    <w:name w:val="List Paragraph"/>
    <w:basedOn w:val="Normal"/>
    <w:uiPriority w:val="34"/>
    <w:qFormat/>
    <w:rsid w:val="00750791"/>
    <w:pPr>
      <w:ind w:left="720"/>
      <w:contextualSpacing/>
    </w:pPr>
  </w:style>
  <w:style w:type="character" w:styleId="GlVurgulama">
    <w:name w:val="Intense Emphasis"/>
    <w:basedOn w:val="VarsaylanParagrafYazTipi"/>
    <w:uiPriority w:val="21"/>
    <w:qFormat/>
    <w:rsid w:val="00750791"/>
    <w:rPr>
      <w:i/>
      <w:iCs/>
      <w:color w:val="0F4761" w:themeColor="accent1" w:themeShade="BF"/>
    </w:rPr>
  </w:style>
  <w:style w:type="paragraph" w:styleId="GlAlnt">
    <w:name w:val="Intense Quote"/>
    <w:basedOn w:val="Normal"/>
    <w:next w:val="Normal"/>
    <w:link w:val="GlAlntChar"/>
    <w:uiPriority w:val="30"/>
    <w:qFormat/>
    <w:rsid w:val="00750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50791"/>
    <w:rPr>
      <w:i/>
      <w:iCs/>
      <w:color w:val="0F4761" w:themeColor="accent1" w:themeShade="BF"/>
    </w:rPr>
  </w:style>
  <w:style w:type="character" w:styleId="GlBavuru">
    <w:name w:val="Intense Reference"/>
    <w:basedOn w:val="VarsaylanParagrafYazTipi"/>
    <w:uiPriority w:val="32"/>
    <w:qFormat/>
    <w:rsid w:val="007507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293</Words>
  <Characters>1671</Characters>
  <Application>Microsoft Office Word</Application>
  <DocSecurity>0</DocSecurity>
  <Lines>13</Lines>
  <Paragraphs>3</Paragraphs>
  <ScaleCrop>false</ScaleCrop>
  <Company/>
  <LinksUpToDate>false</LinksUpToDate>
  <CharactersWithSpaces>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Eren Memişoğlu</dc:creator>
  <cp:keywords/>
  <dc:description/>
  <cp:lastModifiedBy>Eren Memişoğlu</cp:lastModifiedBy>
  <cp:revision>3</cp:revision>
  <dcterms:created xsi:type="dcterms:W3CDTF">2025-12-19T20:22:00Z</dcterms:created>
  <dcterms:modified xsi:type="dcterms:W3CDTF">2025-12-19T20:25:00Z</dcterms:modified>
</cp:coreProperties>
</file>