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0"/>
          <w:szCs w:val="20"/>
        </w:rPr>
      </w:pPr>
      <w:hyperlink r:id="rId6">
        <w:r w:rsidDel="00000000" w:rsidR="00000000" w:rsidRPr="00000000">
          <w:rPr>
            <w:color w:val="1155cc"/>
            <w:sz w:val="20"/>
            <w:szCs w:val="20"/>
            <w:highlight w:val="white"/>
            <w:rtl w:val="0"/>
          </w:rPr>
          <w:t xml:space="preserve">http://courses.inskillflow.com/products/courses/fr-cours-67-debuter-reinforcement-learning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0"/>
          <w:szCs w:val="20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https://github.com/inskillflow/apprentissage-par-renforcement-fr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courses.inskillflow.com/products/courses/fr-cours-67-debuter-reinforcement-learning" TargetMode="External"/><Relationship Id="rId7" Type="http://schemas.openxmlformats.org/officeDocument/2006/relationships/hyperlink" Target="https://github.com/inskillflow/apprentissage-par-renforcement-f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