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color w:val="808080"/>
          <w:sz w:val="36"/>
          <w:szCs w:val="36"/>
        </w:rPr>
      </w:pPr>
      <w:r w:rsidDel="00000000" w:rsidR="00000000" w:rsidRPr="00000000">
        <w:rPr>
          <w:rtl w:val="0"/>
        </w:rPr>
      </w:r>
    </w:p>
    <w:p w:rsidR="00000000" w:rsidDel="00000000" w:rsidP="00000000" w:rsidRDefault="00000000" w:rsidRPr="00000000" w14:paraId="00000002">
      <w:pPr>
        <w:rPr>
          <w:color w:val="000000"/>
        </w:rPr>
      </w:pPr>
      <w:r w:rsidDel="00000000" w:rsidR="00000000" w:rsidRPr="00000000">
        <w:rPr>
          <w:rtl w:val="0"/>
        </w:rPr>
      </w:r>
    </w:p>
    <w:p w:rsidR="00000000" w:rsidDel="00000000" w:rsidP="00000000" w:rsidRDefault="00000000" w:rsidRPr="00000000" w14:paraId="00000003">
      <w:pPr>
        <w:ind w:left="3969" w:firstLine="0"/>
        <w:rPr>
          <w:color w:val="808080"/>
          <w:sz w:val="36"/>
          <w:szCs w:val="36"/>
        </w:rPr>
      </w:pPr>
      <w:r w:rsidDel="00000000" w:rsidR="00000000" w:rsidRPr="00000000">
        <w:rPr>
          <w:sz w:val="36"/>
          <w:szCs w:val="36"/>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-266699</wp:posOffset>
            </wp:positionH>
            <wp:positionV relativeFrom="paragraph">
              <wp:posOffset>-445768</wp:posOffset>
            </wp:positionV>
            <wp:extent cx="2162175" cy="428625"/>
            <wp:effectExtent b="0" l="0" r="0" t="0"/>
            <wp:wrapNone/>
            <wp:docPr descr="BdeB_noir" id="27" name="image11.png"/>
            <a:graphic>
              <a:graphicData uri="http://schemas.openxmlformats.org/drawingml/2006/picture">
                <pic:pic>
                  <pic:nvPicPr>
                    <pic:cNvPr descr="BdeB_noir" id="0" name="image11.png"/>
                    <pic:cNvPicPr preferRelativeResize="0"/>
                  </pic:nvPicPr>
                  <pic:blipFill>
                    <a:blip r:embed="rId7"/>
                    <a:srcRect b="0" l="0" r="0" t="0"/>
                    <a:stretch>
                      <a:fillRect/>
                    </a:stretch>
                  </pic:blipFill>
                  <pic:spPr>
                    <a:xfrm>
                      <a:off x="0" y="0"/>
                      <a:ext cx="2162175" cy="428625"/>
                    </a:xfrm>
                    <a:prstGeom prst="rect"/>
                    <a:ln/>
                  </pic:spPr>
                </pic:pic>
              </a:graphicData>
            </a:graphic>
          </wp:anchor>
        </w:drawing>
      </w:r>
    </w:p>
    <w:p w:rsidR="00000000" w:rsidDel="00000000" w:rsidP="00000000" w:rsidRDefault="00000000" w:rsidRPr="00000000" w14:paraId="00000004">
      <w:pPr>
        <w:pStyle w:val="Title"/>
        <w:ind w:left="4253" w:firstLine="0"/>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5">
      <w:pPr>
        <w:pStyle w:val="Title"/>
        <w:ind w:left="4253" w:firstLine="0"/>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6">
      <w:pPr>
        <w:pStyle w:val="Title"/>
        <w:ind w:left="4253" w:firstLine="0"/>
        <w:jc w:val="right"/>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Cahier thématique</w:t>
      </w:r>
    </w:p>
    <w:p w:rsidR="00000000" w:rsidDel="00000000" w:rsidP="00000000" w:rsidRDefault="00000000" w:rsidRPr="00000000" w14:paraId="00000007">
      <w:pPr>
        <w:pStyle w:val="Title"/>
        <w:jc w:val="right"/>
        <w:rPr/>
      </w:pPr>
      <w:r w:rsidDel="00000000" w:rsidR="00000000" w:rsidRPr="00000000">
        <w:rPr>
          <w:rtl w:val="0"/>
        </w:rPr>
        <w:t xml:space="preserve">Analyse de dataset et extraction, sélection de prédicteurs avec la méthode PCA</w:t>
      </w:r>
    </w:p>
    <w:p w:rsidR="00000000" w:rsidDel="00000000" w:rsidP="00000000" w:rsidRDefault="00000000" w:rsidRPr="00000000" w14:paraId="00000008">
      <w:pPr>
        <w:pStyle w:val="Titl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Manipulation 1</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 Utilisation de PCA dans une approche de classification</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b w:val="1"/>
          <w:color w:val="17365d"/>
        </w:rPr>
      </w:pPr>
      <w:r w:rsidDel="00000000" w:rsidR="00000000" w:rsidRPr="00000000">
        <w:rPr>
          <w:sz w:val="28"/>
          <w:szCs w:val="28"/>
          <w:rtl w:val="0"/>
        </w:rPr>
        <w:br w:type="textWrapping"/>
      </w:r>
      <w:r w:rsidDel="00000000" w:rsidR="00000000" w:rsidRPr="00000000">
        <w:rPr>
          <w:b w:val="1"/>
          <w:color w:val="17365d"/>
          <w:rtl w:val="0"/>
        </w:rPr>
        <w:t xml:space="preserve"> </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shd w:fill="b8cce4" w:val="clear"/>
        <w:rPr>
          <w:sz w:val="20"/>
          <w:szCs w:val="20"/>
        </w:rPr>
      </w:pPr>
      <w:r w:rsidDel="00000000" w:rsidR="00000000" w:rsidRPr="00000000">
        <w:rPr>
          <w:b w:val="1"/>
          <w:rtl w:val="0"/>
        </w:rPr>
        <w:t xml:space="preserve">Préparé par</w:t>
      </w:r>
      <w:r w:rsidDel="00000000" w:rsidR="00000000" w:rsidRPr="00000000">
        <w:rPr>
          <w:b w:val="1"/>
          <w:sz w:val="28"/>
          <w:szCs w:val="28"/>
          <w:rtl w:val="0"/>
        </w:rPr>
        <w:t xml:space="preserve"> : </w:t>
      </w:r>
      <w:r w:rsidDel="00000000" w:rsidR="00000000" w:rsidRPr="00000000">
        <w:rPr>
          <w:sz w:val="20"/>
          <w:szCs w:val="20"/>
          <w:rtl w:val="0"/>
        </w:rPr>
        <w:t xml:space="preserve">Hafed Benteftifa</w:t>
        <w:br w:type="textWrapping"/>
        <w:br w:type="textWrapping"/>
        <w:t xml:space="preserve">© Hafed Benteftifa 2015-2019</w:t>
      </w:r>
    </w:p>
    <w:p w:rsidR="00000000" w:rsidDel="00000000" w:rsidP="00000000" w:rsidRDefault="00000000" w:rsidRPr="00000000" w14:paraId="0000000E">
      <w:pPr>
        <w:shd w:fill="b8cce4" w:val="clear"/>
        <w:jc w:val="both"/>
        <w:rPr>
          <w:sz w:val="20"/>
          <w:szCs w:val="20"/>
        </w:rPr>
      </w:pPr>
      <w:r w:rsidDel="00000000" w:rsidR="00000000" w:rsidRPr="00000000">
        <w:rPr>
          <w:sz w:val="20"/>
          <w:szCs w:val="20"/>
          <w:rtl w:val="0"/>
        </w:rPr>
        <w:t xml:space="preserve">Ce document ne peut être utilisé dans le cadre d’une formation, publication papier, site internet ou tout support sans mon accord express.</w:t>
      </w:r>
    </w:p>
    <w:p w:rsidR="00000000" w:rsidDel="00000000" w:rsidP="00000000" w:rsidRDefault="00000000" w:rsidRPr="00000000" w14:paraId="0000000F">
      <w:pPr>
        <w:shd w:fill="b8cce4" w:val="clear"/>
        <w:jc w:val="both"/>
        <w:rPr>
          <w:sz w:val="20"/>
          <w:szCs w:val="20"/>
        </w:rPr>
      </w:pPr>
      <w:r w:rsidDel="00000000" w:rsidR="00000000" w:rsidRPr="00000000">
        <w:rPr>
          <w:sz w:val="20"/>
          <w:szCs w:val="20"/>
          <w:rtl w:val="0"/>
        </w:rPr>
        <w:t xml:space="preserve">Aucune reproduction, même partielle, ne peut être faite de ce document et de l'ensemble de son contenu : textes, images, etc. sans mon autorisation express. Pour toutes informations, communiquer avec moi sur </w:t>
      </w:r>
      <w:hyperlink r:id="rId8">
        <w:r w:rsidDel="00000000" w:rsidR="00000000" w:rsidRPr="00000000">
          <w:rPr>
            <w:color w:val="0563c1"/>
            <w:sz w:val="20"/>
            <w:szCs w:val="20"/>
            <w:u w:val="single"/>
            <w:rtl w:val="0"/>
          </w:rPr>
          <w:t xml:space="preserve">info@degenio.com</w:t>
        </w:r>
      </w:hyperlink>
      <w:r w:rsidDel="00000000" w:rsidR="00000000" w:rsidRPr="00000000">
        <w:rPr>
          <w:sz w:val="20"/>
          <w:szCs w:val="20"/>
          <w:rtl w:val="0"/>
        </w:rPr>
        <w:t xml:space="preserve">.</w:t>
      </w:r>
    </w:p>
    <w:p w:rsidR="00000000" w:rsidDel="00000000" w:rsidP="00000000" w:rsidRDefault="00000000" w:rsidRPr="00000000" w14:paraId="00000010">
      <w:pPr>
        <w:shd w:fill="b8cce4" w:val="clear"/>
        <w:jc w:val="both"/>
        <w:rPr>
          <w:b w:val="1"/>
          <w:sz w:val="20"/>
          <w:szCs w:val="20"/>
        </w:rPr>
      </w:pPr>
      <w:r w:rsidDel="00000000" w:rsidR="00000000" w:rsidRPr="00000000">
        <w:rPr>
          <w:rtl w:val="0"/>
        </w:rPr>
      </w:r>
    </w:p>
    <w:p w:rsidR="00000000" w:rsidDel="00000000" w:rsidP="00000000" w:rsidRDefault="00000000" w:rsidRPr="00000000" w14:paraId="00000011">
      <w:pPr>
        <w:rPr>
          <w:b w:val="1"/>
          <w:color w:val="17365d"/>
        </w:rPr>
      </w:pPr>
      <w:r w:rsidDel="00000000" w:rsidR="00000000" w:rsidRPr="00000000">
        <w:br w:type="page"/>
      </w: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tbl>
      <w:tblPr>
        <w:tblStyle w:val="Table1"/>
        <w:tblW w:w="863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4"/>
        <w:gridCol w:w="2875"/>
        <w:gridCol w:w="2891"/>
        <w:tblGridChange w:id="0">
          <w:tblGrid>
            <w:gridCol w:w="2864"/>
            <w:gridCol w:w="2875"/>
            <w:gridCol w:w="289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b w:val="1"/>
                <w:sz w:val="28"/>
                <w:szCs w:val="28"/>
              </w:rPr>
            </w:pPr>
            <w:r w:rsidDel="00000000" w:rsidR="00000000" w:rsidRPr="00000000">
              <w:rPr>
                <w:b w:val="1"/>
                <w:sz w:val="28"/>
                <w:szCs w:val="28"/>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b w:val="1"/>
                <w:sz w:val="28"/>
                <w:szCs w:val="28"/>
              </w:rPr>
            </w:pPr>
            <w:r w:rsidDel="00000000" w:rsidR="00000000" w:rsidRPr="00000000">
              <w:rPr>
                <w:b w:val="1"/>
                <w:sz w:val="28"/>
                <w:szCs w:val="28"/>
                <w:rtl w:val="0"/>
              </w:rPr>
              <w:t xml:space="preserve">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b w:val="1"/>
                <w:sz w:val="28"/>
                <w:szCs w:val="28"/>
              </w:rPr>
            </w:pPr>
            <w:r w:rsidDel="00000000" w:rsidR="00000000" w:rsidRPr="00000000">
              <w:rPr>
                <w:b w:val="1"/>
                <w:sz w:val="28"/>
                <w:szCs w:val="28"/>
                <w:rtl w:val="0"/>
              </w:rPr>
              <w:t xml:space="preserve">Changement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sz w:val="24"/>
                <w:szCs w:val="24"/>
              </w:rPr>
            </w:pPr>
            <w:r w:rsidDel="00000000" w:rsidR="00000000" w:rsidRPr="00000000">
              <w:rPr>
                <w:sz w:val="24"/>
                <w:szCs w:val="24"/>
                <w:rtl w:val="0"/>
              </w:rPr>
              <w:t xml:space="preserve">20 juin 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sz w:val="24"/>
                <w:szCs w:val="24"/>
              </w:rPr>
            </w:pPr>
            <w:r w:rsidDel="00000000" w:rsidR="00000000" w:rsidRPr="00000000">
              <w:rPr>
                <w:sz w:val="24"/>
                <w:szCs w:val="24"/>
                <w:rtl w:val="0"/>
              </w:rPr>
              <w:t xml:space="preserve">Version initiale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sz w:val="24"/>
                <w:szCs w:val="24"/>
              </w:rPr>
            </w:pPr>
            <w:r w:rsidDel="00000000" w:rsidR="00000000" w:rsidRPr="00000000">
              <w:rPr>
                <w:sz w:val="24"/>
                <w:szCs w:val="24"/>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sz w:val="24"/>
                <w:szCs w:val="24"/>
              </w:rPr>
            </w:pPr>
            <w:r w:rsidDel="00000000" w:rsidR="00000000" w:rsidRPr="00000000">
              <w:rPr>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20">
      <w:pPr>
        <w:rPr>
          <w:b w:val="1"/>
          <w:sz w:val="28"/>
          <w:szCs w:val="28"/>
        </w:rPr>
      </w:pPr>
      <w:r w:rsidDel="00000000" w:rsidR="00000000" w:rsidRPr="00000000">
        <w:rPr>
          <w:rtl w:val="0"/>
        </w:rPr>
      </w:r>
    </w:p>
    <w:p w:rsidR="00000000" w:rsidDel="00000000" w:rsidP="00000000" w:rsidRDefault="00000000" w:rsidRPr="00000000" w14:paraId="00000021">
      <w:pPr>
        <w:spacing w:before="120" w:line="320" w:lineRule="auto"/>
        <w:rPr>
          <w:b w:val="1"/>
        </w:rPr>
      </w:pPr>
      <w:r w:rsidDel="00000000" w:rsidR="00000000" w:rsidRPr="00000000">
        <w:rPr>
          <w:b w:val="1"/>
          <w:rtl w:val="0"/>
        </w:rPr>
        <w:t xml:space="preserve">Approche</w:t>
      </w:r>
    </w:p>
    <w:p w:rsidR="00000000" w:rsidDel="00000000" w:rsidP="00000000" w:rsidRDefault="00000000" w:rsidRPr="00000000" w14:paraId="00000022">
      <w:pPr>
        <w:spacing w:before="120" w:line="320" w:lineRule="auto"/>
        <w:rPr>
          <w:b w:val="1"/>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Dans le cas de l’apprentissage supervisé, un ensemble de prédicteurs doit être choisi. Dans ce cadre, on va procéder à l’exploration du dataset pour établir la pertinence d’utiliser certaines des variables disponibles dans le dataset.</w:t>
      </w:r>
    </w:p>
    <w:p w:rsidR="00000000" w:rsidDel="00000000" w:rsidP="00000000" w:rsidRDefault="00000000" w:rsidRPr="00000000" w14:paraId="00000024">
      <w:pPr>
        <w:rPr>
          <w:sz w:val="24"/>
          <w:szCs w:val="24"/>
        </w:rPr>
      </w:pPr>
      <w:r w:rsidDel="00000000" w:rsidR="00000000" w:rsidRPr="00000000">
        <w:rPr>
          <w:sz w:val="24"/>
          <w:szCs w:val="24"/>
          <w:rtl w:val="0"/>
        </w:rPr>
        <w:t xml:space="preserve">Un pré-traitement pourra aussi être appliqué sur le dataset afin de corriger des valeurs manquantes ou aberrantes.</w:t>
      </w:r>
    </w:p>
    <w:p w:rsidR="00000000" w:rsidDel="00000000" w:rsidP="00000000" w:rsidRDefault="00000000" w:rsidRPr="00000000" w14:paraId="00000025">
      <w:pPr>
        <w:pStyle w:val="Heading1"/>
        <w:rPr>
          <w:rFonts w:ascii="Calibri" w:cs="Calibri" w:eastAsia="Calibri" w:hAnsi="Calibri"/>
          <w:b w:val="1"/>
        </w:rPr>
      </w:pPr>
      <w:r w:rsidDel="00000000" w:rsidR="00000000" w:rsidRPr="00000000">
        <w:rPr>
          <w:rFonts w:ascii="Calibri" w:cs="Calibri" w:eastAsia="Calibri" w:hAnsi="Calibri"/>
          <w:color w:val="2e75b5"/>
          <w:sz w:val="26"/>
          <w:szCs w:val="26"/>
          <w:rtl w:val="0"/>
        </w:rPr>
        <w:t xml:space="preserve">Jeux de données </w:t>
      </w:r>
      <w:r w:rsidDel="00000000" w:rsidR="00000000" w:rsidRPr="00000000">
        <w:rPr>
          <w:rFonts w:ascii="Calibri" w:cs="Calibri" w:eastAsia="Calibri" w:hAnsi="Calibri"/>
          <w:sz w:val="29"/>
          <w:szCs w:val="29"/>
          <w:rtl w:val="0"/>
        </w:rPr>
        <w:t xml:space="preserve">: </w:t>
      </w:r>
      <w:r w:rsidDel="00000000" w:rsidR="00000000" w:rsidRPr="00000000">
        <w:rPr>
          <w:rFonts w:ascii="Calibri" w:cs="Calibri" w:eastAsia="Calibri" w:hAnsi="Calibri"/>
          <w:sz w:val="24"/>
          <w:szCs w:val="24"/>
          <w:rtl w:val="0"/>
        </w:rPr>
        <w:t xml:space="preserve">Iris (Fisher, 1936)</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4170045</wp:posOffset>
            </wp:positionH>
            <wp:positionV relativeFrom="paragraph">
              <wp:posOffset>108585</wp:posOffset>
            </wp:positionV>
            <wp:extent cx="1423035" cy="1157605"/>
            <wp:effectExtent b="0" l="0" r="0" t="0"/>
            <wp:wrapSquare wrapText="bothSides" distB="0" distT="0" distL="114300" distR="114300"/>
            <wp:docPr id="4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23035" cy="11576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165735</wp:posOffset>
            </wp:positionH>
            <wp:positionV relativeFrom="paragraph">
              <wp:posOffset>106045</wp:posOffset>
            </wp:positionV>
            <wp:extent cx="1552575" cy="1164590"/>
            <wp:effectExtent b="0" l="0" r="0" t="0"/>
            <wp:wrapSquare wrapText="bothSides" distB="0" distT="0" distL="114300" distR="114300"/>
            <wp:docPr id="2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52575" cy="11645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2106929</wp:posOffset>
            </wp:positionH>
            <wp:positionV relativeFrom="paragraph">
              <wp:posOffset>102235</wp:posOffset>
            </wp:positionV>
            <wp:extent cx="1537335" cy="1152525"/>
            <wp:effectExtent b="0" l="0" r="0" t="0"/>
            <wp:wrapSquare wrapText="bothSides" distB="0" distT="0" distL="114300" distR="114300"/>
            <wp:docPr id="3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537335" cy="1152525"/>
                    </a:xfrm>
                    <a:prstGeom prst="rect"/>
                    <a:ln/>
                  </pic:spPr>
                </pic:pic>
              </a:graphicData>
            </a:graphic>
          </wp:anchor>
        </w:drawing>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hd w:fill="ffffff" w:val="clea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2A">
      <w:pPr>
        <w:shd w:fill="ffffff" w:val="clea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2B">
      <w:pPr>
        <w:shd w:fill="ffffff" w:val="clea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2C">
      <w:pPr>
        <w:shd w:fill="ffffff" w:val="clea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2D">
      <w:pPr>
        <w:shd w:fill="ffffff" w:val="clea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2E">
      <w:pPr>
        <w:shd w:fill="ffffff" w:val="clea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2F">
      <w:pPr>
        <w:shd w:fill="ffffff" w:val="clea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30">
      <w:pPr>
        <w:shd w:fill="ffffff" w:val="clea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31">
      <w:pPr>
        <w:widowControl w:val="0"/>
        <w:spacing w:after="0" w:line="240" w:lineRule="auto"/>
        <w:rPr/>
      </w:pPr>
      <w:r w:rsidDel="00000000" w:rsidR="00000000" w:rsidRPr="00000000">
        <w:rPr>
          <w:rtl w:val="0"/>
        </w:rPr>
        <w:t xml:space="preserve">Iris est un ensemble (jeu) de données introduit en 1936 par Ronald Aylmer Fisher comme un exemple d'analyse discriminante. Cet ensemble contient 150 exemples de critères observées sur 3 espèces différentes d'iris de Gaspésie (Setosa, Versicolor, Verginica). </w:t>
      </w:r>
    </w:p>
    <w:p w:rsidR="00000000" w:rsidDel="00000000" w:rsidP="00000000" w:rsidRDefault="00000000" w:rsidRPr="00000000" w14:paraId="00000032">
      <w:pPr>
        <w:widowControl w:val="0"/>
        <w:spacing w:after="0" w:line="240" w:lineRule="auto"/>
        <w:rPr/>
      </w:pPr>
      <w:r w:rsidDel="00000000" w:rsidR="00000000" w:rsidRPr="00000000">
        <w:rPr>
          <w:rtl w:val="0"/>
        </w:rPr>
      </w:r>
    </w:p>
    <w:p w:rsidR="00000000" w:rsidDel="00000000" w:rsidP="00000000" w:rsidRDefault="00000000" w:rsidRPr="00000000" w14:paraId="00000033">
      <w:pPr>
        <w:widowControl w:val="0"/>
        <w:spacing w:after="0" w:line="240" w:lineRule="auto"/>
        <w:rPr/>
      </w:pPr>
      <w:r w:rsidDel="00000000" w:rsidR="00000000" w:rsidRPr="00000000">
        <w:rPr>
          <w:rtl w:val="0"/>
        </w:rPr>
        <w:t xml:space="preserve">Chaque exemple est composé de quatre attributs :</w:t>
      </w:r>
    </w:p>
    <w:p w:rsidR="00000000" w:rsidDel="00000000" w:rsidP="00000000" w:rsidRDefault="00000000" w:rsidRPr="00000000" w14:paraId="00000034">
      <w:pPr>
        <w:widowControl w:val="0"/>
        <w:spacing w:after="0" w:line="240" w:lineRule="auto"/>
        <w:rPr/>
      </w:pPr>
      <w:r w:rsidDel="00000000" w:rsidR="00000000" w:rsidRPr="00000000">
        <w:rPr>
          <w:rtl w:val="0"/>
        </w:rPr>
      </w:r>
    </w:p>
    <w:p w:rsidR="00000000" w:rsidDel="00000000" w:rsidP="00000000" w:rsidRDefault="00000000" w:rsidRPr="00000000" w14:paraId="00000035">
      <w:pPr>
        <w:widowControl w:val="0"/>
        <w:spacing w:after="0" w:line="240" w:lineRule="auto"/>
        <w:rPr/>
      </w:pPr>
      <w:r w:rsidDel="00000000" w:rsidR="00000000" w:rsidRPr="00000000">
        <w:rPr>
          <w:rtl w:val="0"/>
        </w:rPr>
        <w:t xml:space="preserve">1. Longueur des sépales = sepal length en cm </w:t>
      </w:r>
    </w:p>
    <w:p w:rsidR="00000000" w:rsidDel="00000000" w:rsidP="00000000" w:rsidRDefault="00000000" w:rsidRPr="00000000" w14:paraId="00000036">
      <w:pPr>
        <w:widowControl w:val="0"/>
        <w:spacing w:after="0" w:line="240" w:lineRule="auto"/>
        <w:rPr/>
      </w:pPr>
      <w:r w:rsidDel="00000000" w:rsidR="00000000" w:rsidRPr="00000000">
        <w:rPr>
          <w:rtl w:val="0"/>
        </w:rPr>
        <w:t xml:space="preserve">2. Largeur des sépales = sepal width en cm </w:t>
      </w:r>
    </w:p>
    <w:p w:rsidR="00000000" w:rsidDel="00000000" w:rsidP="00000000" w:rsidRDefault="00000000" w:rsidRPr="00000000" w14:paraId="00000037">
      <w:pPr>
        <w:widowControl w:val="0"/>
        <w:spacing w:after="0" w:line="240" w:lineRule="auto"/>
        <w:rPr/>
      </w:pPr>
      <w:r w:rsidDel="00000000" w:rsidR="00000000" w:rsidRPr="00000000">
        <w:rPr>
          <w:rtl w:val="0"/>
        </w:rPr>
        <w:t xml:space="preserve">3. Longueur pétales = petal length en cm </w:t>
      </w:r>
    </w:p>
    <w:p w:rsidR="00000000" w:rsidDel="00000000" w:rsidP="00000000" w:rsidRDefault="00000000" w:rsidRPr="00000000" w14:paraId="00000038">
      <w:pPr>
        <w:widowControl w:val="0"/>
        <w:spacing w:after="0" w:line="240" w:lineRule="auto"/>
        <w:rPr/>
      </w:pPr>
      <w:r w:rsidDel="00000000" w:rsidR="00000000" w:rsidRPr="00000000">
        <w:rPr>
          <w:rtl w:val="0"/>
        </w:rPr>
        <w:t xml:space="preserve">4. Largeur des pétales  =  petal width en cm </w:t>
      </w:r>
    </w:p>
    <w:p w:rsidR="00000000" w:rsidDel="00000000" w:rsidP="00000000" w:rsidRDefault="00000000" w:rsidRPr="00000000" w14:paraId="00000039">
      <w:pPr>
        <w:widowControl w:val="0"/>
        <w:spacing w:after="0" w:line="240" w:lineRule="auto"/>
        <w:rPr/>
      </w:pPr>
      <w:r w:rsidDel="00000000" w:rsidR="00000000" w:rsidRPr="00000000">
        <w:rPr>
          <w:rtl w:val="0"/>
        </w:rPr>
        <w:t xml:space="preserve">5. Une classe (l'espèce).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Iris Setosa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Iris Versicolour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Iris Virginica</w:t>
      </w:r>
    </w:p>
    <w:p w:rsidR="00000000" w:rsidDel="00000000" w:rsidP="00000000" w:rsidRDefault="00000000" w:rsidRPr="00000000" w14:paraId="0000003D">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Manipulation 1</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 Utilisation de PCA dans une approche de classification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Objectif</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Évaluer la pertinence d’utiliser PCA dans la réduction des nombres de caractéristiques (features) lors d’une classification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Démarche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commence par les imports nécessaires pour la manipulation, soit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0" distT="0" distL="0" distR="0">
            <wp:extent cx="5486400" cy="2910205"/>
            <wp:effectExtent b="0" l="0" r="0" t="0"/>
            <wp:docPr id="3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291020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Procéder au chargement du dataset d’interet. Dans notre cas, on prend celui portant sur les fleurs Iris, soit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0" distT="0" distL="0" distR="0">
            <wp:extent cx="5019675" cy="866775"/>
            <wp:effectExtent b="0" l="0" r="0" t="0"/>
            <wp:docPr id="3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196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Afficher le dataset</w:t>
      </w:r>
    </w:p>
    <w:p w:rsidR="00000000" w:rsidDel="00000000" w:rsidP="00000000" w:rsidRDefault="00000000" w:rsidRPr="00000000" w14:paraId="0000004D">
      <w:pPr>
        <w:rPr/>
      </w:pPr>
      <w:r w:rsidDel="00000000" w:rsidR="00000000" w:rsidRPr="00000000">
        <w:rPr/>
        <w:drawing>
          <wp:inline distB="0" distT="0" distL="0" distR="0">
            <wp:extent cx="3286125" cy="647700"/>
            <wp:effectExtent b="0" l="0" r="0" t="0"/>
            <wp:docPr id="3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2861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recupère les parties features et target comme suit :</w:t>
      </w:r>
    </w:p>
    <w:p w:rsidR="00000000" w:rsidDel="00000000" w:rsidP="00000000" w:rsidRDefault="00000000" w:rsidRPr="00000000" w14:paraId="0000004F">
      <w:pPr>
        <w:rPr/>
      </w:pPr>
      <w:r w:rsidDel="00000000" w:rsidR="00000000" w:rsidRPr="00000000">
        <w:rPr/>
        <w:drawing>
          <wp:inline distB="0" distT="0" distL="0" distR="0">
            <wp:extent cx="4305300" cy="1181100"/>
            <wp:effectExtent b="0" l="0" r="0" t="0"/>
            <wp:docPr id="3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3053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choisit maintenant d’effectuer un PCA avec le nombre de composantes limité à 2. On devra aussi valider ce choix par la suite en vérifiant la variance.</w:t>
      </w:r>
    </w:p>
    <w:p w:rsidR="00000000" w:rsidDel="00000000" w:rsidP="00000000" w:rsidRDefault="00000000" w:rsidRPr="00000000" w14:paraId="00000051">
      <w:pPr>
        <w:rPr/>
      </w:pPr>
      <w:r w:rsidDel="00000000" w:rsidR="00000000" w:rsidRPr="00000000">
        <w:rPr/>
        <w:drawing>
          <wp:inline distB="0" distT="0" distL="0" distR="0">
            <wp:extent cx="5314950" cy="914400"/>
            <wp:effectExtent b="0" l="0" r="0" t="0"/>
            <wp:docPr id="3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3149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affiche le resultat</w:t>
      </w:r>
    </w:p>
    <w:p w:rsidR="00000000" w:rsidDel="00000000" w:rsidP="00000000" w:rsidRDefault="00000000" w:rsidRPr="00000000" w14:paraId="00000053">
      <w:pPr>
        <w:rPr/>
      </w:pPr>
      <w:r w:rsidDel="00000000" w:rsidR="00000000" w:rsidRPr="00000000">
        <w:rPr/>
        <w:drawing>
          <wp:inline distB="0" distT="0" distL="0" distR="0">
            <wp:extent cx="2076450" cy="419100"/>
            <wp:effectExtent b="0" l="0" r="0" t="0"/>
            <wp:docPr id="4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0764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Helvetica Neue" w:cs="Helvetica Neue" w:eastAsia="Helvetica Neue" w:hAnsi="Helvetica Neue"/>
          <w:b w:val="0"/>
          <w:i w:val="0"/>
          <w:smallCaps w:val="0"/>
          <w:strike w:val="0"/>
          <w:color w:val="000000"/>
          <w:sz w:val="21"/>
          <w:szCs w:val="21"/>
          <w:highlight w:val="white"/>
          <w:u w:val="none"/>
          <w:vertAlign w:val="baseline"/>
        </w:rPr>
      </w:pPr>
      <w:r w:rsidDel="00000000" w:rsidR="00000000" w:rsidRPr="00000000">
        <w:rPr>
          <w:rFonts w:ascii="Helvetica Neue" w:cs="Helvetica Neue" w:eastAsia="Helvetica Neue" w:hAnsi="Helvetica Neue"/>
          <w:b w:val="0"/>
          <w:i w:val="0"/>
          <w:smallCaps w:val="0"/>
          <w:strike w:val="0"/>
          <w:color w:val="000000"/>
          <w:sz w:val="21"/>
          <w:szCs w:val="21"/>
          <w:highlight w:val="white"/>
          <w:u w:val="none"/>
          <w:vertAlign w:val="baseline"/>
          <w:rtl w:val="0"/>
        </w:rPr>
        <w:t xml:space="preserve">On cherche maintenant le pourcentage de variance pris en charge par les 2 composantes PCA. On utilise l'attribut </w:t>
      </w:r>
      <w:r w:rsidDel="00000000" w:rsidR="00000000" w:rsidRPr="00000000">
        <w:rPr>
          <w:rFonts w:ascii="Courier New" w:cs="Courier New" w:eastAsia="Courier New" w:hAnsi="Courier New"/>
          <w:b w:val="0"/>
          <w:i w:val="0"/>
          <w:smallCaps w:val="0"/>
          <w:strike w:val="0"/>
          <w:color w:val="000000"/>
          <w:sz w:val="21"/>
          <w:szCs w:val="21"/>
          <w:highlight w:val="white"/>
          <w:u w:val="none"/>
          <w:vertAlign w:val="baseline"/>
          <w:rtl w:val="0"/>
        </w:rPr>
        <w:t xml:space="preserve">explained_variance_ratio_</w:t>
      </w:r>
      <w:r w:rsidDel="00000000" w:rsidR="00000000" w:rsidRPr="00000000">
        <w:rPr>
          <w:rFonts w:ascii="Helvetica Neue" w:cs="Helvetica Neue" w:eastAsia="Helvetica Neue" w:hAnsi="Helvetica Neue"/>
          <w:b w:val="0"/>
          <w:i w:val="0"/>
          <w:smallCaps w:val="0"/>
          <w:strike w:val="0"/>
          <w:color w:val="000000"/>
          <w:sz w:val="21"/>
          <w:szCs w:val="21"/>
          <w:highlight w:val="white"/>
          <w:u w:val="none"/>
          <w:vertAlign w:val="baseline"/>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0" distT="0" distL="0" distR="0">
            <wp:extent cx="5486400" cy="997585"/>
            <wp:effectExtent b="0" l="0" r="0" t="0"/>
            <wp:docPr id="4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486400" cy="99758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voit que les 2 composantes prennent en charge presque la totalité de la variance.  On procède maintenant au tracé des points du dataset dans le système de coordonnées ou bases PCA.  Les labels utilisés sont ceux des targets. On prépare d’abord les points en couleurs.</w:t>
      </w:r>
    </w:p>
    <w:p w:rsidR="00000000" w:rsidDel="00000000" w:rsidP="00000000" w:rsidRDefault="00000000" w:rsidRPr="00000000" w14:paraId="0000005A">
      <w:pPr>
        <w:rPr/>
      </w:pPr>
      <w:r w:rsidDel="00000000" w:rsidR="00000000" w:rsidRPr="00000000">
        <w:rPr/>
        <w:drawing>
          <wp:inline distB="0" distT="0" distL="0" distR="0">
            <wp:extent cx="5486400" cy="1593850"/>
            <wp:effectExtent b="0" l="0" r="0" t="0"/>
            <wp:docPr id="4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486400" cy="15938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a maintenant les points que l’on peut afficher</w:t>
      </w:r>
    </w:p>
    <w:p w:rsidR="00000000" w:rsidDel="00000000" w:rsidP="00000000" w:rsidRDefault="00000000" w:rsidRPr="00000000" w14:paraId="0000005C">
      <w:pPr>
        <w:rPr/>
      </w:pPr>
      <w:r w:rsidDel="00000000" w:rsidR="00000000" w:rsidRPr="00000000">
        <w:rPr/>
        <w:drawing>
          <wp:inline distB="0" distT="0" distL="0" distR="0">
            <wp:extent cx="5486400" cy="1493520"/>
            <wp:effectExtent b="0" l="0" r="0" t="0"/>
            <wp:docPr id="4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486400" cy="149352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Cela nous donne :</w:t>
      </w:r>
    </w:p>
    <w:p w:rsidR="00000000" w:rsidDel="00000000" w:rsidP="00000000" w:rsidRDefault="00000000" w:rsidRPr="00000000" w14:paraId="0000005E">
      <w:pPr>
        <w:rPr/>
      </w:pPr>
      <w:r w:rsidDel="00000000" w:rsidR="00000000" w:rsidRPr="00000000">
        <w:rPr/>
        <w:drawing>
          <wp:inline distB="0" distT="0" distL="0" distR="0">
            <wp:extent cx="5038725" cy="4876800"/>
            <wp:effectExtent b="0" l="0" r="0" t="0"/>
            <wp:docPr id="45"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0387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utilise maintenant une technique simple pour evaluer si le choix de n=2 est adéquat. On refait la même procédure mais avec toutes les composantes:</w:t>
      </w:r>
    </w:p>
    <w:p w:rsidR="00000000" w:rsidDel="00000000" w:rsidP="00000000" w:rsidRDefault="00000000" w:rsidRPr="00000000" w14:paraId="00000060">
      <w:pPr>
        <w:rPr/>
      </w:pPr>
      <w:r w:rsidDel="00000000" w:rsidR="00000000" w:rsidRPr="00000000">
        <w:rPr/>
        <w:drawing>
          <wp:inline distB="0" distT="0" distL="0" distR="0">
            <wp:extent cx="5486400" cy="861060"/>
            <wp:effectExtent b="0" l="0" r="0" t="0"/>
            <wp:docPr id="46"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486400" cy="86106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Afficher les variances expliquées</w:t>
      </w:r>
    </w:p>
    <w:p w:rsidR="00000000" w:rsidDel="00000000" w:rsidP="00000000" w:rsidRDefault="00000000" w:rsidRPr="00000000" w14:paraId="00000062">
      <w:pPr>
        <w:rPr/>
      </w:pPr>
      <w:r w:rsidDel="00000000" w:rsidR="00000000" w:rsidRPr="00000000">
        <w:rPr/>
        <w:drawing>
          <wp:inline distB="0" distT="0" distL="0" distR="0">
            <wp:extent cx="5486400" cy="914400"/>
            <wp:effectExtent b="0" l="0" r="0" t="0"/>
            <wp:docPr id="47"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486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Afficher les composantes PCA</w:t>
      </w:r>
    </w:p>
    <w:p w:rsidR="00000000" w:rsidDel="00000000" w:rsidP="00000000" w:rsidRDefault="00000000" w:rsidRPr="00000000" w14:paraId="00000064">
      <w:pPr>
        <w:rPr/>
      </w:pPr>
      <w:r w:rsidDel="00000000" w:rsidR="00000000" w:rsidRPr="00000000">
        <w:rPr/>
        <w:drawing>
          <wp:inline distB="0" distT="0" distL="0" distR="0">
            <wp:extent cx="5486400" cy="1310640"/>
            <wp:effectExtent b="0" l="0" r="0" t="0"/>
            <wp:docPr id="4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486400" cy="131064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Afficher le graphe qui nous permet de voir les variances expliquées par rapport aux nombre de composantes</w:t>
      </w:r>
    </w:p>
    <w:p w:rsidR="00000000" w:rsidDel="00000000" w:rsidP="00000000" w:rsidRDefault="00000000" w:rsidRPr="00000000" w14:paraId="00000066">
      <w:pPr>
        <w:rPr/>
      </w:pPr>
      <w:r w:rsidDel="00000000" w:rsidR="00000000" w:rsidRPr="00000000">
        <w:rPr/>
        <w:drawing>
          <wp:inline distB="0" distT="0" distL="0" distR="0">
            <wp:extent cx="5486400" cy="1430655"/>
            <wp:effectExtent b="0" l="0" r="0" t="0"/>
            <wp:docPr id="4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486400" cy="143065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0" distT="0" distL="0" distR="0">
            <wp:extent cx="5486400" cy="5087620"/>
            <wp:effectExtent b="0" l="0" r="0" t="0"/>
            <wp:docPr id="50"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486400" cy="508762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On voit qu’avec 2 composantes, on est capable de capturer l’essentiel des features.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évalue maintenant si la vitesse de traitement est améliorée en prenant moins de feature ou plus de features</w:t>
      </w:r>
    </w:p>
    <w:p w:rsidR="00000000" w:rsidDel="00000000" w:rsidP="00000000" w:rsidRDefault="00000000" w:rsidRPr="00000000" w14:paraId="0000006B">
      <w:pPr>
        <w:rPr/>
      </w:pPr>
      <w:r w:rsidDel="00000000" w:rsidR="00000000" w:rsidRPr="00000000">
        <w:rPr/>
        <w:drawing>
          <wp:inline distB="0" distT="0" distL="0" distR="0">
            <wp:extent cx="5486400" cy="416560"/>
            <wp:effectExtent b="0" l="0" r="0" t="0"/>
            <wp:docPr id="51"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486400" cy="41656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simplifier, on utilise la fonction `%%timeit` pour effectuer une classification selon la sélection de features. L’algorithme de classification utilisé est le KNN</w:t>
      </w:r>
    </w:p>
    <w:p w:rsidR="00000000" w:rsidDel="00000000" w:rsidP="00000000" w:rsidRDefault="00000000" w:rsidRPr="00000000" w14:paraId="0000006E">
      <w:pPr>
        <w:rPr/>
      </w:pPr>
      <w:r w:rsidDel="00000000" w:rsidR="00000000" w:rsidRPr="00000000">
        <w:rPr/>
        <w:drawing>
          <wp:inline distB="0" distT="0" distL="0" distR="0">
            <wp:extent cx="4714875" cy="1200150"/>
            <wp:effectExtent b="0" l="0" r="0" t="0"/>
            <wp:docPr id="2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7148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peut afficher un rapport des mesures de classification après un test comme suit :</w:t>
      </w:r>
    </w:p>
    <w:p w:rsidR="00000000" w:rsidDel="00000000" w:rsidP="00000000" w:rsidRDefault="00000000" w:rsidRPr="00000000" w14:paraId="00000070">
      <w:pPr>
        <w:rPr/>
      </w:pPr>
      <w:r w:rsidDel="00000000" w:rsidR="00000000" w:rsidRPr="00000000">
        <w:rPr/>
        <w:drawing>
          <wp:inline distB="0" distT="0" distL="0" distR="0">
            <wp:extent cx="5486400" cy="2052320"/>
            <wp:effectExtent b="0" l="0" r="0" t="0"/>
            <wp:docPr id="30"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486400" cy="205232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reste maintenant à effectuer la même approche mais avec </w:t>
      </w:r>
      <w:r w:rsidDel="00000000" w:rsidR="00000000" w:rsidRPr="00000000">
        <w:rPr>
          <w:sz w:val="24"/>
          <w:szCs w:val="24"/>
          <w:rtl w:val="0"/>
        </w:rPr>
        <w:t xml:space="preserve">un nombre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 features </w:t>
      </w:r>
      <w:r w:rsidDel="00000000" w:rsidR="00000000" w:rsidRPr="00000000">
        <w:rPr>
          <w:sz w:val="24"/>
          <w:szCs w:val="24"/>
          <w:rtl w:val="0"/>
        </w:rPr>
        <w:t xml:space="preserve">réduit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selon PCA. On commence par préparer notre data pour le training et le test selon la transformation PCA.</w:t>
      </w:r>
    </w:p>
    <w:p w:rsidR="00000000" w:rsidDel="00000000" w:rsidP="00000000" w:rsidRDefault="00000000" w:rsidRPr="00000000" w14:paraId="00000073">
      <w:pPr>
        <w:rPr/>
      </w:pPr>
      <w:r w:rsidDel="00000000" w:rsidR="00000000" w:rsidRPr="00000000">
        <w:rPr/>
        <w:drawing>
          <wp:inline distB="0" distT="0" distL="0" distR="0">
            <wp:extent cx="5486400" cy="920750"/>
            <wp:effectExtent b="0" l="0" r="0" t="0"/>
            <wp:docPr id="31"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486400" cy="9207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Développer le modèle selon le data de training, soit :</w:t>
      </w:r>
    </w:p>
    <w:p w:rsidR="00000000" w:rsidDel="00000000" w:rsidP="00000000" w:rsidRDefault="00000000" w:rsidRPr="00000000" w14:paraId="00000076">
      <w:pPr>
        <w:rPr/>
      </w:pPr>
      <w:r w:rsidDel="00000000" w:rsidR="00000000" w:rsidRPr="00000000">
        <w:rPr/>
        <w:drawing>
          <wp:inline distB="0" distT="0" distL="0" distR="0">
            <wp:extent cx="5343525" cy="838200"/>
            <wp:effectExtent b="0" l="0" r="0" t="0"/>
            <wp:docPr id="32"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3435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peut ensuite afficher le rapport de sortie des métriques, soit :</w:t>
      </w:r>
    </w:p>
    <w:p w:rsidR="00000000" w:rsidDel="00000000" w:rsidP="00000000" w:rsidRDefault="00000000" w:rsidRPr="00000000" w14:paraId="00000078">
      <w:pPr>
        <w:rPr/>
      </w:pPr>
      <w:bookmarkStart w:colFirst="0" w:colLast="0" w:name="_heading=h.gjdgxs" w:id="0"/>
      <w:bookmarkEnd w:id="0"/>
      <w:r w:rsidDel="00000000" w:rsidR="00000000" w:rsidRPr="00000000">
        <w:rPr/>
        <w:drawing>
          <wp:inline distB="0" distT="0" distL="0" distR="0">
            <wp:extent cx="5486400" cy="798830"/>
            <wp:effectExtent b="0" l="0" r="0" t="0"/>
            <wp:docPr id="33"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486400" cy="79883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footerReference r:id="rId33" w:type="default"/>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426844"/>
  </w:style>
  <w:style w:type="paragraph" w:styleId="Titre1">
    <w:name w:val="heading 1"/>
    <w:basedOn w:val="Normal"/>
    <w:next w:val="Normal"/>
    <w:link w:val="Titre1Car"/>
    <w:uiPriority w:val="9"/>
    <w:qFormat w:val="1"/>
    <w:rsid w:val="008A5294"/>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itre2">
    <w:name w:val="heading 2"/>
    <w:basedOn w:val="Normal"/>
    <w:next w:val="Normal"/>
    <w:link w:val="Titre2Car"/>
    <w:uiPriority w:val="9"/>
    <w:semiHidden w:val="1"/>
    <w:unhideWhenUsed w:val="1"/>
    <w:qFormat w:val="1"/>
    <w:rsid w:val="00AD47CE"/>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30" w:customStyle="1">
    <w:name w:val="Pa30"/>
    <w:basedOn w:val="Normal"/>
    <w:next w:val="Normal"/>
    <w:link w:val="Pa30Car"/>
    <w:uiPriority w:val="99"/>
    <w:rsid w:val="002F5C1C"/>
    <w:pPr>
      <w:autoSpaceDE w:val="0"/>
      <w:autoSpaceDN w:val="0"/>
      <w:adjustRightInd w:val="0"/>
      <w:spacing w:after="0" w:line="181" w:lineRule="atLeast"/>
    </w:pPr>
    <w:rPr>
      <w:rFonts w:ascii="Courier Std" w:hAnsi="Courier Std"/>
      <w:sz w:val="24"/>
      <w:szCs w:val="24"/>
    </w:rPr>
  </w:style>
  <w:style w:type="paragraph" w:styleId="Pa36" w:customStyle="1">
    <w:name w:val="Pa36"/>
    <w:basedOn w:val="Normal"/>
    <w:next w:val="Normal"/>
    <w:uiPriority w:val="99"/>
    <w:rsid w:val="002F5C1C"/>
    <w:pPr>
      <w:autoSpaceDE w:val="0"/>
      <w:autoSpaceDN w:val="0"/>
      <w:adjustRightInd w:val="0"/>
      <w:spacing w:after="0" w:line="181" w:lineRule="atLeast"/>
    </w:pPr>
    <w:rPr>
      <w:rFonts w:ascii="Courier Std" w:hAnsi="Courier Std"/>
      <w:sz w:val="24"/>
      <w:szCs w:val="24"/>
    </w:rPr>
  </w:style>
  <w:style w:type="character" w:styleId="Titre1Car" w:customStyle="1">
    <w:name w:val="Titre 1 Car"/>
    <w:basedOn w:val="Policepardfaut"/>
    <w:link w:val="Titre1"/>
    <w:uiPriority w:val="9"/>
    <w:rsid w:val="008A5294"/>
    <w:rPr>
      <w:rFonts w:asciiTheme="majorHAnsi" w:cstheme="majorBidi" w:eastAsiaTheme="majorEastAsia" w:hAnsiTheme="majorHAnsi"/>
      <w:color w:val="2e74b5" w:themeColor="accent1" w:themeShade="0000BF"/>
      <w:sz w:val="32"/>
      <w:szCs w:val="32"/>
    </w:rPr>
  </w:style>
  <w:style w:type="paragraph" w:styleId="Default" w:customStyle="1">
    <w:name w:val="Default"/>
    <w:rsid w:val="008A5294"/>
    <w:pPr>
      <w:autoSpaceDE w:val="0"/>
      <w:autoSpaceDN w:val="0"/>
      <w:adjustRightInd w:val="0"/>
      <w:spacing w:after="0" w:line="240" w:lineRule="auto"/>
    </w:pPr>
    <w:rPr>
      <w:rFonts w:ascii="Book Antiqua" w:cs="Book Antiqua" w:hAnsi="Book Antiqua"/>
      <w:color w:val="000000"/>
      <w:sz w:val="24"/>
      <w:szCs w:val="24"/>
    </w:rPr>
  </w:style>
  <w:style w:type="character" w:styleId="A5" w:customStyle="1">
    <w:name w:val="A5"/>
    <w:uiPriority w:val="99"/>
    <w:rsid w:val="00601CE9"/>
    <w:rPr>
      <w:rFonts w:cs="Courier Std"/>
      <w:color w:val="000000"/>
      <w:sz w:val="19"/>
      <w:szCs w:val="19"/>
    </w:rPr>
  </w:style>
  <w:style w:type="paragraph" w:styleId="En-tte">
    <w:name w:val="header"/>
    <w:basedOn w:val="Normal"/>
    <w:link w:val="En-tteCar"/>
    <w:uiPriority w:val="99"/>
    <w:unhideWhenUsed w:val="1"/>
    <w:rsid w:val="001E71F5"/>
    <w:pPr>
      <w:tabs>
        <w:tab w:val="center" w:pos="4320"/>
        <w:tab w:val="right" w:pos="8640"/>
      </w:tabs>
      <w:spacing w:after="0" w:line="240" w:lineRule="auto"/>
    </w:pPr>
  </w:style>
  <w:style w:type="character" w:styleId="En-tteCar" w:customStyle="1">
    <w:name w:val="En-tête Car"/>
    <w:basedOn w:val="Policepardfaut"/>
    <w:link w:val="En-tte"/>
    <w:uiPriority w:val="99"/>
    <w:rsid w:val="001E71F5"/>
  </w:style>
  <w:style w:type="paragraph" w:styleId="Pieddepage">
    <w:name w:val="footer"/>
    <w:basedOn w:val="Normal"/>
    <w:link w:val="PieddepageCar"/>
    <w:uiPriority w:val="99"/>
    <w:unhideWhenUsed w:val="1"/>
    <w:rsid w:val="001E71F5"/>
    <w:pPr>
      <w:tabs>
        <w:tab w:val="center" w:pos="4320"/>
        <w:tab w:val="right" w:pos="8640"/>
      </w:tabs>
      <w:spacing w:after="0" w:line="240" w:lineRule="auto"/>
    </w:pPr>
  </w:style>
  <w:style w:type="character" w:styleId="PieddepageCar" w:customStyle="1">
    <w:name w:val="Pied de page Car"/>
    <w:basedOn w:val="Policepardfaut"/>
    <w:link w:val="Pieddepage"/>
    <w:uiPriority w:val="99"/>
    <w:rsid w:val="001E71F5"/>
  </w:style>
  <w:style w:type="paragraph" w:styleId="Titre">
    <w:name w:val="Title"/>
    <w:basedOn w:val="Normal"/>
    <w:next w:val="Normal"/>
    <w:link w:val="TitreCar"/>
    <w:qFormat w:val="1"/>
    <w:rsid w:val="001E71F5"/>
    <w:pPr>
      <w:spacing w:after="0" w:line="240" w:lineRule="auto"/>
      <w:contextualSpacing w:val="1"/>
    </w:pPr>
    <w:rPr>
      <w:rFonts w:asciiTheme="majorHAnsi" w:cstheme="majorBidi" w:eastAsiaTheme="majorEastAsia" w:hAnsiTheme="majorHAnsi"/>
      <w:spacing w:val="-10"/>
      <w:kern w:val="28"/>
      <w:sz w:val="56"/>
      <w:szCs w:val="56"/>
    </w:rPr>
  </w:style>
  <w:style w:type="character" w:styleId="TitreCar" w:customStyle="1">
    <w:name w:val="Titre Car"/>
    <w:basedOn w:val="Policepardfaut"/>
    <w:link w:val="Titre"/>
    <w:rsid w:val="001E71F5"/>
    <w:rPr>
      <w:rFonts w:asciiTheme="majorHAnsi" w:cstheme="majorBidi" w:eastAsiaTheme="majorEastAsia" w:hAnsiTheme="majorHAnsi"/>
      <w:spacing w:val="-10"/>
      <w:kern w:val="28"/>
      <w:sz w:val="56"/>
      <w:szCs w:val="56"/>
    </w:rPr>
  </w:style>
  <w:style w:type="character" w:styleId="lev">
    <w:name w:val="Strong"/>
    <w:basedOn w:val="Policepardfaut"/>
    <w:uiPriority w:val="22"/>
    <w:qFormat w:val="1"/>
    <w:rsid w:val="001E71F5"/>
    <w:rPr>
      <w:b w:val="1"/>
      <w:bCs w:val="1"/>
    </w:rPr>
  </w:style>
  <w:style w:type="character" w:styleId="Lienhypertexte">
    <w:name w:val="Hyperlink"/>
    <w:basedOn w:val="Policepardfaut"/>
    <w:uiPriority w:val="99"/>
    <w:semiHidden w:val="1"/>
    <w:unhideWhenUsed w:val="1"/>
    <w:rsid w:val="004B2881"/>
    <w:rPr>
      <w:color w:val="0563c1" w:themeColor="hyperlink"/>
      <w:u w:val="single"/>
    </w:rPr>
  </w:style>
  <w:style w:type="paragraph" w:styleId="Paragraphedeliste">
    <w:name w:val="List Paragraph"/>
    <w:basedOn w:val="Normal"/>
    <w:uiPriority w:val="34"/>
    <w:qFormat w:val="1"/>
    <w:rsid w:val="004B2881"/>
    <w:pPr>
      <w:spacing w:after="200" w:line="276" w:lineRule="auto"/>
      <w:ind w:left="720"/>
      <w:contextualSpacing w:val="1"/>
    </w:pPr>
    <w:rPr>
      <w:sz w:val="24"/>
    </w:rPr>
  </w:style>
  <w:style w:type="table" w:styleId="Grilledutableau">
    <w:name w:val="Table Grid"/>
    <w:basedOn w:val="TableauNormal"/>
    <w:uiPriority w:val="59"/>
    <w:rsid w:val="004B288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aaCode" w:customStyle="1">
    <w:name w:val="aaaCode"/>
    <w:basedOn w:val="Pa30"/>
    <w:link w:val="aaaCodeCar"/>
    <w:qFormat w:val="1"/>
    <w:rsid w:val="004B2881"/>
    <w:pPr>
      <w:shd w:color="auto" w:fill="d9d9d9" w:themeFill="background1" w:themeFillShade="0000D9" w:val="clear"/>
      <w:spacing w:after="80"/>
    </w:pPr>
    <w:rPr>
      <w:rFonts w:ascii="Courier New" w:cs="Courier New" w:hAnsi="Courier New"/>
      <w:bCs w:val="1"/>
      <w:color w:val="000000"/>
      <w:sz w:val="20"/>
      <w:szCs w:val="18"/>
      <w:lang w:val="en-CA"/>
    </w:rPr>
  </w:style>
  <w:style w:type="character" w:styleId="Pa30Car" w:customStyle="1">
    <w:name w:val="Pa30 Car"/>
    <w:basedOn w:val="Policepardfaut"/>
    <w:link w:val="Pa30"/>
    <w:uiPriority w:val="99"/>
    <w:rsid w:val="004B2881"/>
    <w:rPr>
      <w:rFonts w:ascii="Courier Std" w:hAnsi="Courier Std"/>
      <w:sz w:val="24"/>
      <w:szCs w:val="24"/>
    </w:rPr>
  </w:style>
  <w:style w:type="character" w:styleId="aaaCodeCar" w:customStyle="1">
    <w:name w:val="aaaCode Car"/>
    <w:basedOn w:val="Pa30Car"/>
    <w:link w:val="aaaCode"/>
    <w:rsid w:val="004B2881"/>
    <w:rPr>
      <w:rFonts w:ascii="Courier New" w:cs="Courier New" w:hAnsi="Courier New"/>
      <w:bCs w:val="1"/>
      <w:color w:val="000000"/>
      <w:sz w:val="20"/>
      <w:szCs w:val="18"/>
      <w:shd w:color="auto" w:fill="d9d9d9" w:themeFill="background1" w:themeFillShade="0000D9" w:val="clear"/>
      <w:lang w:val="en-CA"/>
    </w:rPr>
  </w:style>
  <w:style w:type="character" w:styleId="apple-converted-space" w:customStyle="1">
    <w:name w:val="apple-converted-space"/>
    <w:basedOn w:val="Policepardfaut"/>
    <w:rsid w:val="00E120BC"/>
  </w:style>
  <w:style w:type="character" w:styleId="Accentuation">
    <w:name w:val="Emphasis"/>
    <w:basedOn w:val="Policepardfaut"/>
    <w:uiPriority w:val="20"/>
    <w:qFormat w:val="1"/>
    <w:rsid w:val="00E120BC"/>
    <w:rPr>
      <w:i w:val="1"/>
      <w:iCs w:val="1"/>
    </w:rPr>
  </w:style>
  <w:style w:type="character" w:styleId="CodeHTML">
    <w:name w:val="HTML Code"/>
    <w:basedOn w:val="Policepardfaut"/>
    <w:uiPriority w:val="99"/>
    <w:semiHidden w:val="1"/>
    <w:unhideWhenUsed w:val="1"/>
    <w:rsid w:val="00C31B06"/>
    <w:rPr>
      <w:rFonts w:ascii="Courier New" w:cs="Courier New" w:eastAsia="Times New Roman" w:hAnsi="Courier New"/>
      <w:sz w:val="20"/>
      <w:szCs w:val="20"/>
    </w:rPr>
  </w:style>
  <w:style w:type="character" w:styleId="Titre2Car" w:customStyle="1">
    <w:name w:val="Titre 2 Car"/>
    <w:basedOn w:val="Policepardfaut"/>
    <w:link w:val="Titre2"/>
    <w:uiPriority w:val="9"/>
    <w:rsid w:val="00AD47CE"/>
    <w:rPr>
      <w:rFonts w:asciiTheme="majorHAnsi" w:cstheme="majorBidi" w:eastAsiaTheme="majorEastAsia" w:hAnsiTheme="majorHAnsi"/>
      <w:color w:val="2e74b5"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2.png"/><Relationship Id="rId21" Type="http://schemas.openxmlformats.org/officeDocument/2006/relationships/image" Target="media/image19.png"/><Relationship Id="rId24" Type="http://schemas.openxmlformats.org/officeDocument/2006/relationships/image" Target="media/image2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1.png"/><Relationship Id="rId25" Type="http://schemas.openxmlformats.org/officeDocument/2006/relationships/image" Target="media/image25.png"/><Relationship Id="rId28" Type="http://schemas.openxmlformats.org/officeDocument/2006/relationships/image" Target="media/image4.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11.png"/><Relationship Id="rId8" Type="http://schemas.openxmlformats.org/officeDocument/2006/relationships/hyperlink" Target="mailto:info@degenio.com" TargetMode="External"/><Relationship Id="rId31" Type="http://schemas.openxmlformats.org/officeDocument/2006/relationships/image" Target="media/image3.png"/><Relationship Id="rId30" Type="http://schemas.openxmlformats.org/officeDocument/2006/relationships/image" Target="media/image14.png"/><Relationship Id="rId11" Type="http://schemas.openxmlformats.org/officeDocument/2006/relationships/image" Target="media/image2.png"/><Relationship Id="rId33" Type="http://schemas.openxmlformats.org/officeDocument/2006/relationships/footer" Target="footer1.xml"/><Relationship Id="rId10" Type="http://schemas.openxmlformats.org/officeDocument/2006/relationships/image" Target="media/image1.png"/><Relationship Id="rId32" Type="http://schemas.openxmlformats.org/officeDocument/2006/relationships/image" Target="media/image12.png"/><Relationship Id="rId13" Type="http://schemas.openxmlformats.org/officeDocument/2006/relationships/image" Target="media/image6.png"/><Relationship Id="rId12" Type="http://schemas.openxmlformats.org/officeDocument/2006/relationships/image" Target="media/image8.png"/><Relationship Id="rId15" Type="http://schemas.openxmlformats.org/officeDocument/2006/relationships/image" Target="media/image16.png"/><Relationship Id="rId14" Type="http://schemas.openxmlformats.org/officeDocument/2006/relationships/image" Target="media/image15.png"/><Relationship Id="rId17" Type="http://schemas.openxmlformats.org/officeDocument/2006/relationships/image" Target="media/image5.png"/><Relationship Id="rId16" Type="http://schemas.openxmlformats.org/officeDocument/2006/relationships/image" Target="media/image7.png"/><Relationship Id="rId19" Type="http://schemas.openxmlformats.org/officeDocument/2006/relationships/image" Target="media/image1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SILmGXLvjyHEJiuVIFhB7PVEqg==">AMUW2mVLFTylrQCO5rER2OwIyTTRnzqoXs3uG/zyuOZ47hhrDY6YnPpX8EnE0rutNf8aMMJIOuvlYBGKMgKH3Eswxm0lRMwZ0AUvDdzK5LIyNiXo2uYiTJGK4EcDUU3hdFey1H8tdrzK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2017-03-25T12:25:00Z</dcterms:created>
  <dc:creator>HBenteftifa</dc:creator>
</cp:coreProperties>
</file>