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b/>
          <w:bCs/>
          <w:color w:val="0C447C"/>
          <w:sz w:val="56"/>
          <w:szCs w:val="56"/>
        </w:rPr>
        <w:t xml:space="preserve">MB-EGX</w:t>
      </w:r>
    </w:p>
    <w:p>
      <w:pPr>
        <w:spacing w:after="60"/>
        <w:jc w:val="center"/>
      </w:pPr>
      <w:r>
        <w:rPr>
          <w:color w:val="5F5E5A"/>
          <w:sz w:val="28"/>
          <w:szCs w:val="28"/>
        </w:rPr>
        <w:t xml:space="preserve">The trader's guide: how it works, how to use it</w:t>
      </w:r>
    </w:p>
    <w:p>
      <w:pPr>
        <w:spacing w:after="1200"/>
        <w:jc w:val="center"/>
      </w:pPr>
      <w:r>
        <w:rPr>
          <w:i/>
          <w:iCs/>
          <w:color w:val="5F5E5A"/>
          <w:sz w:val="22"/>
          <w:szCs w:val="22"/>
        </w:rPr>
        <w:t xml:space="preserve">A quantitative decision-support engine built for the Egyptian Exchange</w:t>
      </w:r>
    </w:p>
    <w:p>
      <w:pPr>
        <w:jc w:val="center"/>
      </w:pPr>
      <w:r>
        <w:rPr>
          <w:color w:val="185FA5"/>
          <w:sz w:val="22"/>
          <w:szCs w:val="22"/>
        </w:rPr>
        <w:t xml:space="preserve">Curriculum • User Instructions • Program Overview</w:t>
      </w:r>
    </w:p>
    <w:p>
      <w:pPr>
        <w:spacing w:after="2000"/>
      </w:pPr>
    </w:p>
    <w:p>
      <w:pPr>
        <w:jc w:val="center"/>
      </w:pPr>
      <w:r>
        <w:rPr>
          <w:i/>
          <w:iCs/>
          <w:color w:val="5F5E5A"/>
          <w:sz w:val="18"/>
          <w:szCs w:val="18"/>
        </w:rPr>
        <w:t xml:space="preserve">Educational and analytical software. Not licensed investment advice. See Section 6 for the full disclaimer.</w:t>
      </w:r>
    </w:p>
    <w:p>
      <w:r>
        <w:br w:type="page"/>
      </w:r>
    </w:p>
    <w:p>
      <w:pPr>
        <w:pStyle w:val="Heading1"/>
        <w:spacing w:after="200" w:before="400"/>
      </w:pPr>
      <w:r>
        <w:t xml:space="preserve">Table of contents</w:t>
      </w:r>
    </w:p>
    <w:p>
      <w:pPr>
        <w:pStyle w:val="ListParagraph"/>
        <w:numPr>
          <w:ilvl w:val="0"/>
          <w:numId w:val="1"/>
        </w:numPr>
        <w:spacing w:after="90" w:line="280"/>
      </w:pPr>
      <w:r>
        <w:t xml:space="preserve">1. Why MB-EGX</w:t>
      </w:r>
    </w:p>
    <w:p>
      <w:pPr>
        <w:pStyle w:val="ListParagraph"/>
        <w:numPr>
          <w:ilvl w:val="0"/>
          <w:numId w:val="1"/>
        </w:numPr>
        <w:spacing w:after="90" w:line="280"/>
      </w:pPr>
      <w:r>
        <w:t xml:space="preserve">2. Getting started</w:t>
      </w:r>
    </w:p>
    <w:p>
      <w:pPr>
        <w:pStyle w:val="ListParagraph"/>
        <w:numPr>
          <w:ilvl w:val="0"/>
          <w:numId w:val="1"/>
        </w:numPr>
        <w:spacing w:after="90" w:line="280"/>
      </w:pPr>
      <w:r>
        <w:t xml:space="preserve">3. The curriculum — understanding every signal</w:t>
      </w:r>
    </w:p>
    <w:p>
      <w:pPr>
        <w:pStyle w:val="ListParagraph"/>
        <w:numPr>
          <w:ilvl w:val="1"/>
          <w:numId w:val="1"/>
        </w:numPr>
        <w:spacing w:after="90" w:line="280"/>
      </w:pPr>
      <w:r>
        <w:t xml:space="preserve">Modules 1–12: trend, RSI, ADX, volume, CMF, squeeze, weekly alignment, pattern matching, chart patterns, data confidence, liquidity, risk sizing</w:t>
      </w:r>
    </w:p>
    <w:p>
      <w:pPr>
        <w:pStyle w:val="ListParagraph"/>
        <w:numPr>
          <w:ilvl w:val="0"/>
          <w:numId w:val="1"/>
        </w:numPr>
        <w:spacing w:after="90" w:line="280"/>
      </w:pPr>
      <w:r>
        <w:t xml:space="preserve">4. Reading a signal — a worked example</w:t>
      </w:r>
    </w:p>
    <w:p>
      <w:pPr>
        <w:pStyle w:val="ListParagraph"/>
        <w:numPr>
          <w:ilvl w:val="0"/>
          <w:numId w:val="1"/>
        </w:numPr>
        <w:spacing w:after="90" w:line="280"/>
      </w:pPr>
      <w:r>
        <w:t xml:space="preserve">5. Frequently asked questions</w:t>
      </w:r>
    </w:p>
    <w:p>
      <w:pPr>
        <w:pStyle w:val="ListParagraph"/>
        <w:numPr>
          <w:ilvl w:val="0"/>
          <w:numId w:val="1"/>
        </w:numPr>
        <w:spacing w:after="90" w:line="280"/>
      </w:pPr>
      <w:r>
        <w:t xml:space="preserve">6. Legal and compliance summary</w:t>
      </w:r>
    </w:p>
    <w:p>
      <w:r>
        <w:br w:type="page"/>
      </w:r>
    </w:p>
    <w:p>
      <w:pPr>
        <w:pStyle w:val="Heading1"/>
        <w:spacing w:after="200" w:before="400"/>
      </w:pPr>
      <w:r>
        <w:t xml:space="preserve">1. Why MB-EGX</w:t>
      </w:r>
    </w:p>
    <w:p>
      <w:pPr>
        <w:spacing w:after="160" w:line="300"/>
      </w:pPr>
      <w:r>
        <w:t xml:space="preserve">Most EGX traders make decisions from a handful of habits: a moving average here, an RSI reading there, maybe a chart pattern eyeballed on a broker app. Each of those signals is useful alone and unreliable alone — that's exactly why they produce false starts so often. MB-EGX exists to fix that single problem: it requires several independent signals to agree before it calls something a high-conviction opportunity, and it tells you exactly how much conviction is behind every score instead of handing you a bare label.</w:t>
      </w:r>
    </w:p>
    <w:p>
      <w:pPr>
        <w:pStyle w:val="Heading2"/>
        <w:spacing w:after="150" w:before="300"/>
      </w:pPr>
      <w:r>
        <w:t xml:space="preserve">Built for this market, not adapted to it</w:t>
      </w:r>
    </w:p>
    <w:p>
      <w:pPr>
        <w:pStyle w:val="ListParagraph"/>
        <w:numPr>
          <w:ilvl w:val="0"/>
          <w:numId w:val="1"/>
        </w:numPr>
        <w:spacing w:after="90" w:line="280"/>
      </w:pPr>
      <w:r>
        <w:t xml:space="preserve">Every fee, position size, and profit target is computed in EGP with actual EGX round-trip brokerage costs (0.35% per side) baked in — not a generic U.S.-market template.</w:t>
      </w:r>
    </w:p>
    <w:p>
      <w:pPr>
        <w:pStyle w:val="ListParagraph"/>
        <w:numPr>
          <w:ilvl w:val="0"/>
          <w:numId w:val="1"/>
        </w:numPr>
        <w:spacing w:after="90" w:line="280"/>
      </w:pPr>
      <w:r>
        <w:t xml:space="preserve">Sector classification is tuned to EGX-listed names and their common ticker aliases, so sector rotation and heatmap views are accurate out of the box.</w:t>
      </w:r>
    </w:p>
    <w:p>
      <w:pPr>
        <w:pStyle w:val="ListParagraph"/>
        <w:numPr>
          <w:ilvl w:val="0"/>
          <w:numId w:val="1"/>
        </w:numPr>
        <w:spacing w:after="90" w:line="280"/>
      </w:pPr>
      <w:r>
        <w:t xml:space="preserve">Fully bilingual (Arabic / English) across the dashboard and every generated message — not a bolt-on translation layer.</w:t>
      </w:r>
    </w:p>
    <w:p>
      <w:pPr>
        <w:pStyle w:val="Heading2"/>
        <w:spacing w:after="150" w:before="300"/>
      </w:pPr>
      <w:r>
        <w:t xml:space="preserve">What you get that a single indicator can't give you</w:t>
      </w:r>
    </w:p>
    <w:p>
      <w:pPr>
        <w:pStyle w:val="ListParagraph"/>
        <w:numPr>
          <w:ilvl w:val="0"/>
          <w:numId w:val="1"/>
        </w:numPr>
        <w:spacing w:after="90" w:line="280"/>
      </w:pPr>
      <w:r>
        <w:t xml:space="preserve">A ranked score for every stock in the market, not just a yes/no flag — so you can compare conviction across dozens of names in seconds.</w:t>
      </w:r>
    </w:p>
    <w:p>
      <w:pPr>
        <w:pStyle w:val="ListParagraph"/>
        <w:numPr>
          <w:ilvl w:val="0"/>
          <w:numId w:val="1"/>
        </w:numPr>
        <w:spacing w:after="90" w:line="280"/>
      </w:pPr>
      <w:r>
        <w:t xml:space="preserve">Automatic discounting of signals that aren't confirmed by trend strength or volume, clearly labeled “Unconfirmed” instead of silently inflating the score.</w:t>
      </w:r>
    </w:p>
    <w:p>
      <w:pPr>
        <w:pStyle w:val="ListParagraph"/>
        <w:numPr>
          <w:ilvl w:val="0"/>
          <w:numId w:val="1"/>
        </w:numPr>
        <w:spacing w:after="90" w:line="280"/>
      </w:pPr>
      <w:r>
        <w:t xml:space="preserve">A historical pattern-matching engine that searches the stock's own price history for similar past setups and shows you what actually happened afterward — with a confidence score that drops when past outcomes disagreed with each other.</w:t>
      </w:r>
    </w:p>
    <w:p>
      <w:pPr>
        <w:pStyle w:val="ListParagraph"/>
        <w:numPr>
          <w:ilvl w:val="0"/>
          <w:numId w:val="1"/>
        </w:numPr>
        <w:spacing w:after="90" w:line="280"/>
      </w:pPr>
      <w:r>
        <w:t xml:space="preserve">Built-in risk tools on every recommendation: position size at 1% account risk, stop-loss, take-profit, and a portfolio concentration warning if you're overexposed to one sector or stock.</w:t>
      </w:r>
    </w:p>
    <w:p>
      <w:pPr>
        <w:pStyle w:val="ListParagraph"/>
        <w:numPr>
          <w:ilvl w:val="0"/>
          <w:numId w:val="1"/>
        </w:numPr>
        <w:spacing w:after="90" w:line="280"/>
      </w:pPr>
      <w:r>
        <w:t xml:space="preserve">Available in your browser on any device — no install required, and the same live matrix, sector heatmap, and breakout watchlist follow you from desktop to phone.</w:t>
      </w:r>
    </w:p>
    <w:p>
      <w:pPr>
        <w:pStyle w:val="Heading2"/>
        <w:spacing w:after="150" w:before="300"/>
      </w:pPr>
      <w:r>
        <w:t xml:space="preserve">Who it's for</w:t>
      </w:r>
    </w:p>
    <w:p>
      <w:pPr>
        <w:spacing w:after="160" w:line="300"/>
      </w:pPr>
      <w:r>
        <w:t xml:space="preserve">Active EGX traders and self-directed investors who want a systematic second opinion — not a black box, and not a signal-spam bot. Every number the app shows you traces back to a rule you can learn (that's what Section 3 of this guide is for), so you're never trusting a recommendation you can't explain to yourself.</w:t>
      </w:r>
    </w:p>
    <w:tbl>
      <w:tblPr>
        <w:tblW w:type="pct" w:w="100%"/>
        <w:tblBorders>
          <w:top w:val="single" w:color="993C1D" w:sz="4"/>
          <w:left w:val="single" w:color="993C1D" w:sz="24"/>
          <w:bottom w:val="single" w:color="993C1D" w:sz="4"/>
          <w:right w:val="single" w:color="993C1D" w:sz="4"/>
          <w:insideH w:val="none"/>
          <w:insideV w:val="none"/>
        </w:tblBorders>
      </w:tblPr>
      <w:tblGrid>
        <w:gridCol w:w="100"/>
      </w:tblGrid>
      <w:tr>
        <w:tc>
          <w:tcPr>
            <w:shd w:fill="F1EFE8" w:val="clear"/>
            <w:tcMar>
              <w:top w:type="dxa" w:w="160"/>
              <w:left w:type="dxa" w:w="240"/>
              <w:bottom w:type="dxa" w:w="160"/>
              <w:right w:type="dxa" w:w="240"/>
            </w:tcMar>
          </w:tcPr>
          <w:p>
            <w:pPr>
              <w:spacing w:after="60"/>
            </w:pPr>
            <w:r>
              <w:rPr>
                <w:b/>
                <w:bCs/>
                <w:color w:val="993C1D"/>
                <w:sz w:val="20"/>
                <w:szCs w:val="20"/>
              </w:rPr>
              <w:t xml:space="preserve">Important</w:t>
            </w:r>
          </w:p>
          <w:p>
            <w:pPr>
              <w:spacing w:line="280"/>
            </w:pPr>
            <w:r>
              <w:rPr>
                <w:sz w:val="20"/>
                <w:szCs w:val="20"/>
              </w:rPr>
              <w:t xml:space="preserve">MB-EGX produces analytics — quantitative indicator outputs and pattern-matching results — not licensed investment advice. You make the final call on every trade, and all execution happens through your own licensed EGX broker. Full disclaimer in Section 6.</w:t>
            </w:r>
          </w:p>
        </w:tc>
      </w:tr>
    </w:tbl>
    <w:p>
      <w:r>
        <w:br w:type="page"/>
      </w:r>
    </w:p>
    <w:p>
      <w:pPr>
        <w:pStyle w:val="Heading1"/>
        <w:spacing w:after="200" w:before="400"/>
      </w:pPr>
      <w:r>
        <w:t xml:space="preserve">2. Getting started</w:t>
      </w:r>
    </w:p>
    <w:p>
      <w:pPr>
        <w:pStyle w:val="Heading2"/>
        <w:spacing w:after="150" w:before="300"/>
      </w:pPr>
      <w:r>
        <w:t xml:space="preserve">2.1 Create your account</w:t>
      </w:r>
    </w:p>
    <w:p>
      <w:pPr>
        <w:pStyle w:val="ListParagraph"/>
        <w:numPr>
          <w:ilvl w:val="0"/>
          <w:numId w:val="1"/>
        </w:numPr>
        <w:spacing w:after="90" w:line="280"/>
      </w:pPr>
      <w:r>
        <w:t xml:space="preserve">Sign up with your email and a password (minimum 8 characters), right in your browser — no install required.</w:t>
      </w:r>
    </w:p>
    <w:p>
      <w:pPr>
        <w:pStyle w:val="ListParagraph"/>
        <w:numPr>
          <w:ilvl w:val="0"/>
          <w:numId w:val="1"/>
        </w:numPr>
        <w:spacing w:after="90" w:line="280"/>
      </w:pPr>
      <w:r>
        <w:t xml:space="preserve">Every new account starts with a free trial period — no payment details required to explore the dashboard.</w:t>
      </w:r>
    </w:p>
    <w:p>
      <w:pPr>
        <w:pStyle w:val="ListParagraph"/>
        <w:numPr>
          <w:ilvl w:val="0"/>
          <w:numId w:val="1"/>
        </w:numPr>
        <w:spacing w:after="90" w:line="280"/>
      </w:pPr>
      <w:r>
        <w:t xml:space="preserve">You must accept the terms and consent notice on first sign-up; this records your acceptance and the date, as required for the disclaimer in Section 6.</w:t>
      </w:r>
    </w:p>
    <w:p>
      <w:pPr>
        <w:pStyle w:val="ListParagraph"/>
        <w:numPr>
          <w:ilvl w:val="0"/>
          <w:numId w:val="1"/>
        </w:numPr>
        <w:spacing w:after="90" w:line="280"/>
      </w:pPr>
      <w:r>
        <w:t xml:space="preserve">Forgot your password? Use the reset link on the sign-in screen — a reset email is sent immediately.</w:t>
      </w:r>
    </w:p>
    <w:p>
      <w:pPr>
        <w:pStyle w:val="ListParagraph"/>
        <w:numPr>
          <w:ilvl w:val="0"/>
          <w:numId w:val="1"/>
        </w:numPr>
        <w:spacing w:after="90" w:line="280"/>
      </w:pPr>
      <w:r>
        <w:t xml:space="preserve">Works on any device — sign in from your laptop at your desk or your phone during the trading session and you'll see the same live data.</w:t>
      </w:r>
    </w:p>
    <w:p>
      <w:pPr>
        <w:pStyle w:val="Heading2"/>
        <w:spacing w:after="150" w:before="300"/>
      </w:pPr>
      <w:r>
        <w:t xml:space="preserve">2.2 Read the market matrix</w:t>
      </w:r>
    </w:p>
    <w:p>
      <w:pPr>
        <w:spacing w:after="160" w:line="300"/>
      </w:pPr>
      <w:r>
        <w:t xml:space="preserve">This is the main table: every liquid stock in the database, ranked by score, with its action label, entry target, stop-loss, take-profit, and the underlying indicator readings. Section 3 walks through exactly how to read every column. Use the column chooser to hide anything you don't need and the filter bar to narrow by sector, action type, or minimum score.</w:t>
      </w:r>
    </w:p>
    <w:p>
      <w:pPr>
        <w:pStyle w:val="Heading2"/>
        <w:spacing w:after="150" w:before="300"/>
      </w:pPr>
      <w:r>
        <w:t xml:space="preserve">2.3 Track your portfolio</w:t>
      </w:r>
    </w:p>
    <w:p>
      <w:pPr>
        <w:pStyle w:val="ListParagraph"/>
        <w:numPr>
          <w:ilvl w:val="0"/>
          <w:numId w:val="1"/>
        </w:numPr>
        <w:spacing w:after="90" w:line="280"/>
      </w:pPr>
      <w:r>
        <w:t xml:space="preserve">Open Portfolio → record a buy with ticker, price, share count, and date. Buying more of a position you already own automatically blends into a new weighted-average cost.</w:t>
      </w:r>
    </w:p>
    <w:p>
      <w:pPr>
        <w:pStyle w:val="ListParagraph"/>
        <w:numPr>
          <w:ilvl w:val="0"/>
          <w:numId w:val="1"/>
        </w:numPr>
        <w:spacing w:after="90" w:line="280"/>
      </w:pPr>
      <w:r>
        <w:t xml:space="preserve">Set a profit target per position — either a percentage gain or a fixed EGP amount — and the dashboard will show your target price and a rough day-count estimate based on the stock's own recent pace.</w:t>
      </w:r>
    </w:p>
    <w:p>
      <w:pPr>
        <w:pStyle w:val="ListParagraph"/>
        <w:numPr>
          <w:ilvl w:val="0"/>
          <w:numId w:val="1"/>
        </w:numPr>
        <w:spacing w:after="90" w:line="280"/>
      </w:pPr>
      <w:r>
        <w:t xml:space="preserve">Record a sale when you exit — realized P&amp;L is logged automatically to your trade history.</w:t>
      </w:r>
    </w:p>
    <w:p>
      <w:pPr>
        <w:pStyle w:val="ListParagraph"/>
        <w:numPr>
          <w:ilvl w:val="0"/>
          <w:numId w:val="1"/>
        </w:numPr>
        <w:spacing w:after="90" w:line="280"/>
      </w:pPr>
      <w:r>
        <w:t xml:space="preserve">Check the Exits view for every owned position's live action command (Hold / Trail Stop, Cut Loss, or Take-Profit Zone) and, if you're underwater, exactly how many shares you'd need to buy at today's price to reach breakeven.</w:t>
      </w:r>
    </w:p>
    <w:p>
      <w:pPr>
        <w:pStyle w:val="ListParagraph"/>
        <w:numPr>
          <w:ilvl w:val="0"/>
          <w:numId w:val="1"/>
        </w:numPr>
        <w:spacing w:after="90" w:line="280"/>
      </w:pPr>
      <w:r>
        <w:t xml:space="preserve">Your portfolio data is private to your account — no one else using the dashboard can see your positions or balances.</w:t>
      </w:r>
    </w:p>
    <w:p>
      <w:pPr>
        <w:pStyle w:val="Heading2"/>
        <w:spacing w:after="150" w:before="300"/>
      </w:pPr>
      <w:r>
        <w:t xml:space="preserve">2.4 Data freshness</w:t>
      </w:r>
    </w:p>
    <w:p>
      <w:pPr>
        <w:spacing w:after="160" w:line="300"/>
      </w:pPr>
      <w:r>
        <w:t xml:space="preserve">The market matrix updates automatically as new trading data comes in — there's nothing you need to do to refresh it. Check the “Last updated” date shown on the dashboard to confirm you're looking at the most recent session.</w:t>
      </w:r>
    </w:p>
    <w:p>
      <w:r>
        <w:br w:type="page"/>
      </w:r>
    </w:p>
    <w:p>
      <w:pPr>
        <w:pStyle w:val="Heading1"/>
        <w:spacing w:after="200" w:before="400"/>
      </w:pPr>
      <w:r>
        <w:t xml:space="preserve">3. The curriculum — understanding every signal</w:t>
      </w:r>
    </w:p>
    <w:p>
      <w:pPr>
        <w:spacing w:after="160" w:line="300"/>
      </w:pPr>
      <w:r>
        <w:t xml:space="preserve">This section is the actual education: what each indicator measures, why it's part of the score, and how to read it on your screen. You don't need to memorize formulas — you need to know what each piece is protecting you from, so a recommendation is something you understand instead of something you're told to trust.</w:t>
      </w:r>
    </w:p>
    <w:p>
      <w:pPr>
        <w:pStyle w:val="Heading2"/>
        <w:spacing w:after="150" w:before="300"/>
      </w:pPr>
      <w:r>
        <w:t xml:space="preserve">Module 1: Trend position</w:t>
      </w:r>
    </w:p>
    <w:p>
      <w:pPr>
        <w:spacing w:after="160" w:line="300"/>
      </w:pPr>
      <w:r>
        <w:rPr>
          <w:i/>
          <w:iCs/>
          <w:color w:val="5F5E5A"/>
        </w:rPr>
        <w:t xml:space="preserve">Where is the stock relative to its own recent history?</w:t>
      </w:r>
    </w:p>
    <w:p>
      <w:pPr>
        <w:pStyle w:val="Heading3"/>
        <w:spacing w:after="100" w:before="200"/>
      </w:pPr>
      <w:r>
        <w:t xml:space="preserve">What it measures</w:t>
      </w:r>
    </w:p>
    <w:p>
      <w:pPr>
        <w:spacing w:after="160" w:line="300"/>
      </w:pPr>
      <w:r>
        <w:t xml:space="preserve">The stock's 50-day and 200-day moving averages, its position in the 52-week high/low range, and today's gap versus yesterday's close.</w:t>
      </w:r>
    </w:p>
    <w:p>
      <w:pPr>
        <w:pStyle w:val="Heading3"/>
        <w:spacing w:after="100" w:before="200"/>
      </w:pPr>
      <w:r>
        <w:t xml:space="preserve">Why it matters</w:t>
      </w:r>
    </w:p>
    <w:p>
      <w:pPr>
        <w:spacing w:after="160" w:line="300"/>
      </w:pPr>
      <w:r>
        <w:t xml:space="preserve">This is the foundation the whole scoring system is built on. A stock trading above its 50-day average, in the upper part of its 52-week range, is structurally different from one grinding near its lows — the same RSI reading means something different in each context. Trend position is what decides which action bucket (Strong Buy, Breakout, Buy-on-Dip, Accumulate, Sell/Avoid) a stock lands in before anything else is applied.</w:t>
      </w:r>
    </w:p>
    <w:p>
      <w:pPr>
        <w:pStyle w:val="Heading3"/>
        <w:spacing w:after="100" w:before="200"/>
      </w:pPr>
      <w:r>
        <w:t xml:space="preserve">How to read it on the dashboard</w:t>
      </w:r>
    </w:p>
    <w:p>
      <w:pPr>
        <w:pStyle w:val="ListParagraph"/>
        <w:numPr>
          <w:ilvl w:val="0"/>
          <w:numId w:val="1"/>
        </w:numPr>
        <w:spacing w:after="90" w:line="280"/>
      </w:pPr>
      <w:r>
        <w:t xml:space="preserve">“Resistance (52W High)” and “Support (52W Low)” columns show the range being measured</w:t>
      </w:r>
    </w:p>
    <w:p>
      <w:pPr>
        <w:pStyle w:val="ListParagraph"/>
        <w:numPr>
          <w:ilvl w:val="0"/>
          <w:numId w:val="1"/>
        </w:numPr>
        <w:spacing w:after="90" w:line="280"/>
      </w:pPr>
      <w:r>
        <w:t xml:space="preserve">“Trend Class” shows the plain-language read: Strong Bullish, Weak Bullish, Consolidation, Strong Bearish, etc.</w:t>
      </w:r>
    </w:p>
    <w:p>
      <w:pPr>
        <w:pStyle w:val="Heading2"/>
        <w:spacing w:after="150" w:before="300"/>
      </w:pPr>
      <w:r>
        <w:t xml:space="preserve">Module 2: RSI — Relative Strength Index</w:t>
      </w:r>
    </w:p>
    <w:p>
      <w:pPr>
        <w:spacing w:after="160" w:line="300"/>
      </w:pPr>
      <w:r>
        <w:rPr>
          <w:i/>
          <w:iCs/>
          <w:color w:val="5F5E5A"/>
        </w:rPr>
        <w:t xml:space="preserve">Is the stock overbought, oversold, or in between?</w:t>
      </w:r>
    </w:p>
    <w:p>
      <w:pPr>
        <w:pStyle w:val="Heading3"/>
        <w:spacing w:after="100" w:before="200"/>
      </w:pPr>
      <w:r>
        <w:t xml:space="preserve">What it measures</w:t>
      </w:r>
    </w:p>
    <w:p>
      <w:pPr>
        <w:spacing w:after="160" w:line="300"/>
      </w:pPr>
      <w:r>
        <w:t xml:space="preserve">A 0-100 momentum oscillator built from the size of recent up-moves versus down-moves over 14 days.</w:t>
      </w:r>
    </w:p>
    <w:p>
      <w:pPr>
        <w:pStyle w:val="Heading3"/>
        <w:spacing w:after="100" w:before="200"/>
      </w:pPr>
      <w:r>
        <w:t xml:space="preserve">Why it matters</w:t>
      </w:r>
    </w:p>
    <w:p>
      <w:pPr>
        <w:spacing w:after="160" w:line="300"/>
      </w:pPr>
      <w:r>
        <w:t xml:space="preserve">RSI is the fastest way to see if a stock's recent move has run too hot (over 70, historically prone to a pullback) or been beaten down too far (under 30, historically prone to a bounce). On its own RSI gives false signals constantly — a strong trend can stay “overbought” for weeks. That's exactly why it's never used alone here: it only shifts the score when trend position and volume agree with it.</w:t>
      </w:r>
    </w:p>
    <w:p>
      <w:pPr>
        <w:pStyle w:val="Heading3"/>
        <w:spacing w:after="100" w:before="200"/>
      </w:pPr>
      <w:r>
        <w:t xml:space="preserve">How to read it on the dashboard</w:t>
      </w:r>
    </w:p>
    <w:p>
      <w:pPr>
        <w:pStyle w:val="ListParagraph"/>
        <w:numPr>
          <w:ilvl w:val="0"/>
          <w:numId w:val="1"/>
        </w:numPr>
        <w:spacing w:after="90" w:line="280"/>
      </w:pPr>
      <w:r>
        <w:t xml:space="preserve">“RSI-14” column, shown for every stock and every owned position</w:t>
      </w:r>
    </w:p>
    <w:p>
      <w:pPr>
        <w:pStyle w:val="ListParagraph"/>
        <w:numPr>
          <w:ilvl w:val="0"/>
          <w:numId w:val="1"/>
        </w:numPr>
        <w:spacing w:after="90" w:line="280"/>
      </w:pPr>
      <w:r>
        <w:t xml:space="preserve">Strong Buy requires RSI between 55–75 — bullish momentum without being euphoric</w:t>
      </w:r>
    </w:p>
    <w:p>
      <w:pPr>
        <w:pStyle w:val="ListParagraph"/>
        <w:numPr>
          <w:ilvl w:val="0"/>
          <w:numId w:val="1"/>
        </w:numPr>
        <w:spacing w:after="90" w:line="280"/>
      </w:pPr>
      <w:r>
        <w:t xml:space="preserve">Buy on Dip triggers when RSI drops under 38</w:t>
      </w:r>
    </w:p>
    <w:p>
      <w:pPr>
        <w:pStyle w:val="Heading2"/>
        <w:spacing w:after="150" w:before="300"/>
      </w:pPr>
      <w:r>
        <w:t xml:space="preserve">Module 3: ADX — trend strength (confirmation gate)</w:t>
      </w:r>
    </w:p>
    <w:p>
      <w:pPr>
        <w:spacing w:after="160" w:line="300"/>
      </w:pPr>
      <w:r>
        <w:rPr>
          <w:i/>
          <w:iCs/>
          <w:color w:val="5F5E5A"/>
        </w:rPr>
        <w:t xml:space="preserve">Is there an actual trend here, or is the stock just drifting sideways?</w:t>
      </w:r>
    </w:p>
    <w:p>
      <w:pPr>
        <w:pStyle w:val="Heading3"/>
        <w:spacing w:after="100" w:before="200"/>
      </w:pPr>
      <w:r>
        <w:t xml:space="preserve">What it measures</w:t>
      </w:r>
    </w:p>
    <w:p>
      <w:pPr>
        <w:spacing w:after="160" w:line="300"/>
      </w:pPr>
      <w:r>
        <w:t xml:space="preserve">Average Directional Index, computed with proper Wilder smoothing — the same method used by TradingView and most institutional platforms. High ADX means a strong directional trend; low ADX means a directionless, choppy market.</w:t>
      </w:r>
    </w:p>
    <w:p>
      <w:pPr>
        <w:pStyle w:val="Heading3"/>
        <w:spacing w:after="100" w:before="200"/>
      </w:pPr>
      <w:r>
        <w:t xml:space="preserve">Why it matters</w:t>
      </w:r>
    </w:p>
    <w:p>
      <w:pPr>
        <w:spacing w:after="160" w:line="300"/>
      </w:pPr>
      <w:r>
        <w:t xml:space="preserve">This is a gatekeeper, not a bonus. A Strong Buy or Breakout signal only keeps its full score if ADX confirms a real trend is underway. If ADX is weak, the score is cut to roughly a third of its normal value and the label is flagged “Unconfirmed: low ADX/volume” — the system is telling you the setup looks right but the market hasn't committed to it yet.</w:t>
      </w:r>
    </w:p>
    <w:p>
      <w:pPr>
        <w:pStyle w:val="Heading3"/>
        <w:spacing w:after="100" w:before="200"/>
      </w:pPr>
      <w:r>
        <w:t xml:space="preserve">How to read it on the dashboard</w:t>
      </w:r>
    </w:p>
    <w:p>
      <w:pPr>
        <w:pStyle w:val="ListParagraph"/>
        <w:numPr>
          <w:ilvl w:val="0"/>
          <w:numId w:val="1"/>
        </w:numPr>
        <w:spacing w:after="90" w:line="280"/>
      </w:pPr>
      <w:r>
        <w:t xml:space="preserve">“ADX-14” column — above 20 generally counts as a confirmed trend</w:t>
      </w:r>
    </w:p>
    <w:p>
      <w:pPr>
        <w:pStyle w:val="ListParagraph"/>
        <w:numPr>
          <w:ilvl w:val="0"/>
          <w:numId w:val="1"/>
        </w:numPr>
        <w:spacing w:after="90" w:line="280"/>
      </w:pPr>
      <w:r>
        <w:t xml:space="preserve">“(Unconfirmed…)” appended to the Action label is your visual cue that this gate didn't pass</w:t>
      </w:r>
    </w:p>
    <w:p>
      <w:pPr>
        <w:pStyle w:val="Heading2"/>
        <w:spacing w:after="150" w:before="300"/>
      </w:pPr>
      <w:r>
        <w:t xml:space="preserve">Module 4: Volume confirmation</w:t>
      </w:r>
    </w:p>
    <w:p>
      <w:pPr>
        <w:spacing w:after="160" w:line="300"/>
      </w:pPr>
      <w:r>
        <w:rPr>
          <w:i/>
          <w:iCs/>
          <w:color w:val="5F5E5A"/>
        </w:rPr>
        <w:t xml:space="preserve">Is real money actually behind this move?</w:t>
      </w:r>
    </w:p>
    <w:p>
      <w:pPr>
        <w:pStyle w:val="Heading3"/>
        <w:spacing w:after="100" w:before="200"/>
      </w:pPr>
      <w:r>
        <w:t xml:space="preserve">What it measures</w:t>
      </w:r>
    </w:p>
    <w:p>
      <w:pPr>
        <w:spacing w:after="160" w:line="300"/>
      </w:pPr>
      <w:r>
        <w:t xml:space="preserve">Two measures: volume ratio (today's volume versus the 20-day average) and volume z-score (how many standard deviations today's volume is from normal).</w:t>
      </w:r>
    </w:p>
    <w:p>
      <w:pPr>
        <w:pStyle w:val="Heading3"/>
        <w:spacing w:after="100" w:before="200"/>
      </w:pPr>
      <w:r>
        <w:t xml:space="preserve">Why it matters</w:t>
      </w:r>
    </w:p>
    <w:p>
      <w:pPr>
        <w:spacing w:after="160" w:line="300"/>
      </w:pPr>
      <w:r>
        <w:t xml:space="preserve">Price can move on almost no volume — that's a move that reverses easily. The system treats volume as the second half of the confirmation gate alongside ADX: a breakout without above-average volume behind it is exactly the kind of setup that traps traders who only look at price.</w:t>
      </w:r>
    </w:p>
    <w:p>
      <w:pPr>
        <w:pStyle w:val="Heading3"/>
        <w:spacing w:after="100" w:before="200"/>
      </w:pPr>
      <w:r>
        <w:t xml:space="preserve">How to read it on the dashboard</w:t>
      </w:r>
    </w:p>
    <w:p>
      <w:pPr>
        <w:pStyle w:val="ListParagraph"/>
        <w:numPr>
          <w:ilvl w:val="0"/>
          <w:numId w:val="1"/>
        </w:numPr>
        <w:spacing w:after="90" w:line="280"/>
      </w:pPr>
      <w:r>
        <w:t xml:space="preserve">“Vol Z-Score” column — above roughly 1.5 signals unusually heavy participation</w:t>
      </w:r>
    </w:p>
    <w:p>
      <w:pPr>
        <w:pStyle w:val="ListParagraph"/>
        <w:numPr>
          <w:ilvl w:val="0"/>
          <w:numId w:val="1"/>
        </w:numPr>
        <w:spacing w:after="90" w:line="280"/>
      </w:pPr>
      <w:r>
        <w:t xml:space="preserve">“Avg Volume (20D)” shows the baseline being compared against</w:t>
      </w:r>
    </w:p>
    <w:p>
      <w:pPr>
        <w:pStyle w:val="Heading2"/>
        <w:spacing w:after="150" w:before="300"/>
      </w:pPr>
      <w:r>
        <w:t xml:space="preserve">Module 5: CMF — Chaikin Money Flow</w:t>
      </w:r>
    </w:p>
    <w:p>
      <w:pPr>
        <w:spacing w:after="160" w:line="300"/>
      </w:pPr>
      <w:r>
        <w:rPr>
          <w:i/>
          <w:iCs/>
          <w:color w:val="5F5E5A"/>
        </w:rPr>
        <w:t xml:space="preserve">Is volume concentrated on up days or down days?</w:t>
      </w:r>
    </w:p>
    <w:p>
      <w:pPr>
        <w:pStyle w:val="Heading3"/>
        <w:spacing w:after="100" w:before="200"/>
      </w:pPr>
      <w:r>
        <w:t xml:space="preserve">What it measures</w:t>
      </w:r>
    </w:p>
    <w:p>
      <w:pPr>
        <w:spacing w:after="160" w:line="300"/>
      </w:pPr>
      <w:r>
        <w:t xml:space="preserve">A money-flow indicator that weights each day's volume by where the close landed within that day's high-low range — positive when buying pressure dominates, negative when selling pressure does.</w:t>
      </w:r>
    </w:p>
    <w:p>
      <w:pPr>
        <w:pStyle w:val="Heading3"/>
        <w:spacing w:after="100" w:before="200"/>
      </w:pPr>
      <w:r>
        <w:t xml:space="preserve">Why it matters</w:t>
      </w:r>
    </w:p>
    <w:p>
      <w:pPr>
        <w:spacing w:after="160" w:line="300"/>
      </w:pPr>
      <w:r>
        <w:t xml:space="preserve">Two stocks can have identical price charts with very different volume character underneath. Positive CMF means the buying is happening on strength, not just price drifting up while sellers quietly distribute into it. It's a bonus layered on top of the base signal — confirmation, not a trigger by itself.</w:t>
      </w:r>
    </w:p>
    <w:p>
      <w:pPr>
        <w:pStyle w:val="Heading3"/>
        <w:spacing w:after="100" w:before="200"/>
      </w:pPr>
      <w:r>
        <w:t xml:space="preserve">How to read it on the dashboard</w:t>
      </w:r>
    </w:p>
    <w:p>
      <w:pPr>
        <w:pStyle w:val="ListParagraph"/>
        <w:numPr>
          <w:ilvl w:val="0"/>
          <w:numId w:val="1"/>
        </w:numPr>
        <w:spacing w:after="90" w:line="280"/>
      </w:pPr>
      <w:r>
        <w:t xml:space="preserve">“Money Flow (CMF)” appears at the sector level on the heatmap, and feeds a scoring bonus at the stock level</w:t>
      </w:r>
    </w:p>
    <w:tbl>
      <w:tblPr>
        <w:tblW w:type="pct" w:w="100%"/>
        <w:tblBorders>
          <w:top w:val="single" w:color="0C447C" w:sz="4"/>
          <w:left w:val="single" w:color="0C447C" w:sz="24"/>
          <w:bottom w:val="single" w:color="0C447C" w:sz="4"/>
          <w:right w:val="single" w:color="0C447C" w:sz="4"/>
          <w:insideH w:val="none"/>
          <w:insideV w:val="none"/>
        </w:tblBorders>
      </w:tblPr>
      <w:tblGrid>
        <w:gridCol w:w="100"/>
      </w:tblGrid>
      <w:tr>
        <w:tc>
          <w:tcPr>
            <w:shd w:fill="F1EFE8" w:val="clear"/>
            <w:tcMar>
              <w:top w:type="dxa" w:w="160"/>
              <w:left w:type="dxa" w:w="240"/>
              <w:bottom w:type="dxa" w:w="160"/>
              <w:right w:type="dxa" w:w="240"/>
            </w:tcMar>
          </w:tcPr>
          <w:p>
            <w:pPr>
              <w:spacing w:after="60"/>
            </w:pPr>
            <w:r>
              <w:rPr>
                <w:b/>
                <w:bCs/>
                <w:color w:val="0C447C"/>
                <w:sz w:val="20"/>
                <w:szCs w:val="20"/>
              </w:rPr>
              <w:t xml:space="preserve">Score contribution</w:t>
            </w:r>
          </w:p>
          <w:p>
            <w:pPr>
              <w:spacing w:line="280"/>
            </w:pPr>
            <w:r>
              <w:rPr>
                <w:sz w:val="20"/>
                <w:szCs w:val="20"/>
              </w:rPr>
              <w:t xml:space="preserve">+15 to the score when CMF is positive and above threshold, on any non-Sell signal.</w:t>
            </w:r>
          </w:p>
        </w:tc>
      </w:tr>
    </w:tbl>
    <w:p>
      <w:pPr>
        <w:spacing w:after="120"/>
      </w:pPr>
    </w:p>
    <w:p>
      <w:pPr>
        <w:pStyle w:val="Heading2"/>
        <w:spacing w:after="150" w:before="300"/>
      </w:pPr>
      <w:r>
        <w:t xml:space="preserve">Module 6: Volatility squeeze</w:t>
      </w:r>
    </w:p>
    <w:p>
      <w:pPr>
        <w:spacing w:after="160" w:line="300"/>
      </w:pPr>
      <w:r>
        <w:rPr>
          <w:i/>
          <w:iCs/>
          <w:color w:val="5F5E5A"/>
        </w:rPr>
        <w:t xml:space="preserve">Has the stock gone quiet before a bigger move?</w:t>
      </w:r>
    </w:p>
    <w:p>
      <w:pPr>
        <w:pStyle w:val="Heading3"/>
        <w:spacing w:after="100" w:before="200"/>
      </w:pPr>
      <w:r>
        <w:t xml:space="preserve">What it measures</w:t>
      </w:r>
    </w:p>
    <w:p>
      <w:pPr>
        <w:spacing w:after="160" w:line="300"/>
      </w:pPr>
      <w:r>
        <w:t xml:space="preserve">Bollinger Bands (price volatility) compressed inside Keltner Channels (average true range volatility) — a classic “calm before the storm” pattern.</w:t>
      </w:r>
    </w:p>
    <w:p>
      <w:pPr>
        <w:pStyle w:val="Heading3"/>
        <w:spacing w:after="100" w:before="200"/>
      </w:pPr>
      <w:r>
        <w:t xml:space="preserve">Why it matters</w:t>
      </w:r>
    </w:p>
    <w:p>
      <w:pPr>
        <w:spacing w:after="160" w:line="300"/>
      </w:pPr>
      <w:r>
        <w:t xml:space="preserve">Volatility tends to cluster: quiet periods are often followed by expansion. A squeeze doesn't tell you which direction the move will be, only that one is more likely to be coming — which is why it's a modest bonus, not a standalone buy trigger, and why it's flagged with a visible marker rather than its own action label.</w:t>
      </w:r>
    </w:p>
    <w:p>
      <w:pPr>
        <w:pStyle w:val="Heading3"/>
        <w:spacing w:after="100" w:before="200"/>
      </w:pPr>
      <w:r>
        <w:t xml:space="preserve">How to read it on the dashboard</w:t>
      </w:r>
    </w:p>
    <w:p>
      <w:pPr>
        <w:pStyle w:val="ListParagraph"/>
        <w:numPr>
          <w:ilvl w:val="0"/>
          <w:numId w:val="1"/>
        </w:numPr>
        <w:spacing w:after="90" w:line="280"/>
      </w:pPr>
      <w:r>
        <w:t xml:space="preserve">Look for the 💥 SQUEEZE marker appended to the Action label</w:t>
      </w:r>
    </w:p>
    <w:tbl>
      <w:tblPr>
        <w:tblW w:type="pct" w:w="100%"/>
        <w:tblBorders>
          <w:top w:val="single" w:color="0C447C" w:sz="4"/>
          <w:left w:val="single" w:color="0C447C" w:sz="24"/>
          <w:bottom w:val="single" w:color="0C447C" w:sz="4"/>
          <w:right w:val="single" w:color="0C447C" w:sz="4"/>
          <w:insideH w:val="none"/>
          <w:insideV w:val="none"/>
        </w:tblBorders>
      </w:tblPr>
      <w:tblGrid>
        <w:gridCol w:w="100"/>
      </w:tblGrid>
      <w:tr>
        <w:tc>
          <w:tcPr>
            <w:shd w:fill="F1EFE8" w:val="clear"/>
            <w:tcMar>
              <w:top w:type="dxa" w:w="160"/>
              <w:left w:type="dxa" w:w="240"/>
              <w:bottom w:type="dxa" w:w="160"/>
              <w:right w:type="dxa" w:w="240"/>
            </w:tcMar>
          </w:tcPr>
          <w:p>
            <w:pPr>
              <w:spacing w:after="60"/>
            </w:pPr>
            <w:r>
              <w:rPr>
                <w:b/>
                <w:bCs/>
                <w:color w:val="0C447C"/>
                <w:sz w:val="20"/>
                <w:szCs w:val="20"/>
              </w:rPr>
              <w:t xml:space="preserve">Score contribution</w:t>
            </w:r>
          </w:p>
          <w:p>
            <w:pPr>
              <w:spacing w:line="280"/>
            </w:pPr>
            <w:r>
              <w:rPr>
                <w:sz w:val="20"/>
                <w:szCs w:val="20"/>
              </w:rPr>
              <w:t xml:space="preserve">+10 to the score, on any non-Sell signal.</w:t>
            </w:r>
          </w:p>
        </w:tc>
      </w:tr>
    </w:tbl>
    <w:p>
      <w:pPr>
        <w:spacing w:after="120"/>
      </w:pPr>
    </w:p>
    <w:p>
      <w:pPr>
        <w:pStyle w:val="Heading2"/>
        <w:spacing w:after="150" w:before="300"/>
      </w:pPr>
      <w:r>
        <w:t xml:space="preserve">Module 7: Weekly alignment</w:t>
      </w:r>
    </w:p>
    <w:p>
      <w:pPr>
        <w:spacing w:after="160" w:line="300"/>
      </w:pPr>
      <w:r>
        <w:rPr>
          <w:i/>
          <w:iCs/>
          <w:color w:val="5F5E5A"/>
        </w:rPr>
        <w:t xml:space="preserve">Does the higher timeframe agree with the daily chart?</w:t>
      </w:r>
    </w:p>
    <w:p>
      <w:pPr>
        <w:pStyle w:val="Heading3"/>
        <w:spacing w:after="100" w:before="200"/>
      </w:pPr>
      <w:r>
        <w:t xml:space="preserve">What it measures</w:t>
      </w:r>
    </w:p>
    <w:p>
      <w:pPr>
        <w:spacing w:after="160" w:line="300"/>
      </w:pPr>
      <w:r>
        <w:t xml:space="preserve">The stock's 50-week moving average and weekly RSI, calculated from the last fully completed week (never the current, in-progress week, which would leak future information into today's signal).</w:t>
      </w:r>
    </w:p>
    <w:p>
      <w:pPr>
        <w:pStyle w:val="Heading3"/>
        <w:spacing w:after="100" w:before="200"/>
      </w:pPr>
      <w:r>
        <w:t xml:space="preserve">Why it matters</w:t>
      </w:r>
    </w:p>
    <w:p>
      <w:pPr>
        <w:spacing w:after="160" w:line="300"/>
      </w:pPr>
      <w:r>
        <w:t xml:space="preserve">A daily-chart signal that's fighting the weekly trend is a classic source of false starts — the kind of breakout that looks great for two days and then fails. Requiring the weekly picture to agree is one of the more powerful filters in the whole system, which is why it only applies its bonus to the strongest labels.</w:t>
      </w:r>
    </w:p>
    <w:p>
      <w:pPr>
        <w:pStyle w:val="Heading3"/>
        <w:spacing w:after="100" w:before="200"/>
      </w:pPr>
      <w:r>
        <w:t xml:space="preserve">How to read it on the dashboard</w:t>
      </w:r>
    </w:p>
    <w:p>
      <w:pPr>
        <w:pStyle w:val="ListParagraph"/>
        <w:numPr>
          <w:ilvl w:val="0"/>
          <w:numId w:val="1"/>
        </w:numPr>
        <w:spacing w:after="90" w:line="280"/>
      </w:pPr>
      <w:r>
        <w:t xml:space="preserve">Look for the 👑 WEEKLY ALIGNED marker — only appears on Strong Buy and Breakout Buy signals</w:t>
      </w:r>
    </w:p>
    <w:tbl>
      <w:tblPr>
        <w:tblW w:type="pct" w:w="100%"/>
        <w:tblBorders>
          <w:top w:val="single" w:color="0C447C" w:sz="4"/>
          <w:left w:val="single" w:color="0C447C" w:sz="24"/>
          <w:bottom w:val="single" w:color="0C447C" w:sz="4"/>
          <w:right w:val="single" w:color="0C447C" w:sz="4"/>
          <w:insideH w:val="none"/>
          <w:insideV w:val="none"/>
        </w:tblBorders>
      </w:tblPr>
      <w:tblGrid>
        <w:gridCol w:w="100"/>
      </w:tblGrid>
      <w:tr>
        <w:tc>
          <w:tcPr>
            <w:shd w:fill="F1EFE8" w:val="clear"/>
            <w:tcMar>
              <w:top w:type="dxa" w:w="160"/>
              <w:left w:type="dxa" w:w="240"/>
              <w:bottom w:type="dxa" w:w="160"/>
              <w:right w:type="dxa" w:w="240"/>
            </w:tcMar>
          </w:tcPr>
          <w:p>
            <w:pPr>
              <w:spacing w:after="60"/>
            </w:pPr>
            <w:r>
              <w:rPr>
                <w:b/>
                <w:bCs/>
                <w:color w:val="0C447C"/>
                <w:sz w:val="20"/>
                <w:szCs w:val="20"/>
              </w:rPr>
              <w:t xml:space="preserve">Score contribution</w:t>
            </w:r>
          </w:p>
          <w:p>
            <w:pPr>
              <w:spacing w:line="280"/>
            </w:pPr>
            <w:r>
              <w:rPr>
                <w:sz w:val="20"/>
                <w:szCs w:val="20"/>
              </w:rPr>
              <w:t xml:space="preserve">+20 to the score — the single largest bonus in the system, reserved for when the daily and weekly trends genuinely agree.</w:t>
            </w:r>
          </w:p>
        </w:tc>
      </w:tr>
    </w:tbl>
    <w:p>
      <w:pPr>
        <w:spacing w:after="120"/>
      </w:pPr>
    </w:p>
    <w:p>
      <w:pPr>
        <w:pStyle w:val="Heading2"/>
        <w:spacing w:after="150" w:before="300"/>
      </w:pPr>
      <w:r>
        <w:t xml:space="preserve">Module 8: Historical pattern matching</w:t>
      </w:r>
    </w:p>
    <w:p>
      <w:pPr>
        <w:spacing w:after="160" w:line="300"/>
      </w:pPr>
      <w:r>
        <w:rPr>
          <w:i/>
          <w:iCs/>
          <w:color w:val="5F5E5A"/>
        </w:rPr>
        <w:t xml:space="preserve">Has the stock's own history seen a setup like this before?</w:t>
      </w:r>
    </w:p>
    <w:p>
      <w:pPr>
        <w:pStyle w:val="Heading3"/>
        <w:spacing w:after="100" w:before="200"/>
      </w:pPr>
      <w:r>
        <w:t xml:space="preserve">What it measures</w:t>
      </w:r>
    </w:p>
    <w:p>
      <w:pPr>
        <w:spacing w:after="160" w:line="300"/>
      </w:pPr>
      <w:r>
        <w:t xml:space="preserve">The engine takes the most recent 15 trading days as a fingerprint, searches the stock's entire prior history for statistically similar windows, and looks at what happened in the 5 days after each of those past matches.</w:t>
      </w:r>
    </w:p>
    <w:p>
      <w:pPr>
        <w:pStyle w:val="Heading3"/>
        <w:spacing w:after="100" w:before="200"/>
      </w:pPr>
      <w:r>
        <w:t xml:space="preserve">Why it matters</w:t>
      </w:r>
    </w:p>
    <w:p>
      <w:pPr>
        <w:spacing w:after="160" w:line="300"/>
      </w:pPr>
      <w:r>
        <w:t xml:space="preserve">This is not a chart-pattern label pasted on for looks — it's a real statistical search of the stock's own behavior. A match only counts if it clears a similarity threshold, and the confidence score is deliberately reduced when the past outcomes disagreed with each other or had a nasty downside tail (a Sortino-style penalty). A pattern match with high confidence means the stock's own history, not a generic textbook pattern, supports the move.</w:t>
      </w:r>
    </w:p>
    <w:p>
      <w:pPr>
        <w:pStyle w:val="Heading3"/>
        <w:spacing w:after="100" w:before="200"/>
      </w:pPr>
      <w:r>
        <w:t xml:space="preserve">How to read it on the dashboard</w:t>
      </w:r>
    </w:p>
    <w:p>
      <w:pPr>
        <w:pStyle w:val="ListParagraph"/>
        <w:numPr>
          <w:ilvl w:val="0"/>
          <w:numId w:val="1"/>
        </w:numPr>
        <w:spacing w:after="90" w:line="280"/>
      </w:pPr>
      <w:r>
        <w:t xml:space="preserve">“Projected Gain (%)” and “Pattern Conf (%)” columns — “N/A” means no reliable historical analog was found, which is itself useful information</w:t>
      </w:r>
    </w:p>
    <w:p>
      <w:pPr>
        <w:pStyle w:val="Heading2"/>
        <w:spacing w:after="150" w:before="300"/>
      </w:pPr>
      <w:r>
        <w:t xml:space="preserve">Module 9: Geometric chart patterns</w:t>
      </w:r>
    </w:p>
    <w:p>
      <w:pPr>
        <w:spacing w:after="160" w:line="300"/>
      </w:pPr>
      <w:r>
        <w:rPr>
          <w:i/>
          <w:iCs/>
          <w:color w:val="5F5E5A"/>
        </w:rPr>
        <w:t xml:space="preserve">Does the price chart show a recognized structural pattern?</w:t>
      </w:r>
    </w:p>
    <w:p>
      <w:pPr>
        <w:pStyle w:val="Heading3"/>
        <w:spacing w:after="100" w:before="200"/>
      </w:pPr>
      <w:r>
        <w:t xml:space="preserve">What it measures</w:t>
      </w:r>
    </w:p>
    <w:p>
      <w:pPr>
        <w:spacing w:after="160" w:line="300"/>
      </w:pPr>
      <w:r>
        <w:t xml:space="preserve">A separate, deterministic pattern engine scans for classic technical structures — head &amp; shoulders, double tops/bottoms, triangles, flags, cup &amp; handle — using swing-point geometry, not machine learning.</w:t>
      </w:r>
    </w:p>
    <w:p>
      <w:pPr>
        <w:pStyle w:val="Heading3"/>
        <w:spacing w:after="100" w:before="200"/>
      </w:pPr>
      <w:r>
        <w:t xml:space="preserve">Why it matters</w:t>
      </w:r>
    </w:p>
    <w:p>
      <w:pPr>
        <w:spacing w:after="160" w:line="300"/>
      </w:pPr>
      <w:r>
        <w:t xml:space="preserve">These patterns appear as overlays directly on the price chart (in the app's Charts view), each with a quality score reflecting how cleanly the geometry actually fits (not a confidence guess). Low-quality near-misses are filtered out before they ever reach your screen, so what you see is a real structural match, not a shape someone eyeballed.</w:t>
      </w:r>
    </w:p>
    <w:p>
      <w:pPr>
        <w:pStyle w:val="Heading3"/>
        <w:spacing w:after="100" w:before="200"/>
      </w:pPr>
      <w:r>
        <w:t xml:space="preserve">All 12 patterns the engine detects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6%"/>
            <w:shd w:fill="0C447C" w:val="clear"/>
            <w:tcMar>
              <w:top w:type="dxa" w:w="100"/>
              <w:left w:type="dxa" w:w="140"/>
              <w:bottom w:type="dxa" w:w="100"/>
              <w:right w:type="dxa" w:w="140"/>
            </w:tcMar>
          </w:tcPr>
          <w:p>
            <w:r>
              <w:rPr>
                <w:b/>
                <w:bCs/>
                <w:color w:val="FFFFFF"/>
                <w:sz w:val="20"/>
                <w:szCs w:val="20"/>
              </w:rPr>
              <w:t xml:space="preserve">Pattern</w:t>
            </w:r>
          </w:p>
        </w:tc>
        <w:tc>
          <w:tcPr>
            <w:tcW w:type="pct" w:w="16%"/>
            <w:shd w:fill="0C447C" w:val="clear"/>
            <w:tcMar>
              <w:top w:type="dxa" w:w="100"/>
              <w:left w:type="dxa" w:w="140"/>
              <w:bottom w:type="dxa" w:w="100"/>
              <w:right w:type="dxa" w:w="140"/>
            </w:tcMar>
          </w:tcPr>
          <w:p>
            <w:r>
              <w:rPr>
                <w:b/>
                <w:bCs/>
                <w:color w:val="FFFFFF"/>
                <w:sz w:val="20"/>
                <w:szCs w:val="20"/>
              </w:rPr>
              <w:t xml:space="preserve">Bias</w:t>
            </w:r>
          </w:p>
        </w:tc>
        <w:tc>
          <w:tcPr>
            <w:tcW w:type="pct" w:w="58%"/>
            <w:shd w:fill="0C447C" w:val="clear"/>
            <w:tcMar>
              <w:top w:type="dxa" w:w="100"/>
              <w:left w:type="dxa" w:w="140"/>
              <w:bottom w:type="dxa" w:w="100"/>
              <w:right w:type="dxa" w:w="140"/>
            </w:tcMar>
          </w:tcPr>
          <w:p>
            <w:r>
              <w:rPr>
                <w:b/>
                <w:bCs/>
                <w:color w:val="FFFFFF"/>
                <w:sz w:val="20"/>
                <w:szCs w:val="20"/>
              </w:rPr>
              <w:t xml:space="preserve">What it signals</w:t>
            </w:r>
          </w:p>
        </w:tc>
      </w:tr>
      <w:tr>
        <w:tc>
          <w:tcPr>
            <w:tcW w:type="pct" w:w="26%"/>
            <w:shd w:fill="F1EFE8" w:val="clear"/>
            <w:tcMar>
              <w:top w:type="dxa" w:w="100"/>
              <w:left w:type="dxa" w:w="140"/>
              <w:bottom w:type="dxa" w:w="100"/>
              <w:right w:type="dxa" w:w="140"/>
            </w:tcMar>
          </w:tcPr>
          <w:p>
            <w:r>
              <w:rPr>
                <w:b w:val="false"/>
                <w:bCs w:val="false"/>
                <w:sz w:val="20"/>
                <w:szCs w:val="20"/>
              </w:rPr>
              <w:t xml:space="preserve">Head &amp; Shoulders</w:t>
            </w:r>
          </w:p>
        </w:tc>
        <w:tc>
          <w:tcPr>
            <w:tcW w:type="pct" w:w="16%"/>
            <w:shd w:fill="F1EFE8" w:val="clear"/>
            <w:tcMar>
              <w:top w:type="dxa" w:w="100"/>
              <w:left w:type="dxa" w:w="140"/>
              <w:bottom w:type="dxa" w:w="100"/>
              <w:right w:type="dxa" w:w="140"/>
            </w:tcMar>
          </w:tcPr>
          <w:p>
            <w:r>
              <w:rPr>
                <w:b w:val="false"/>
                <w:bCs w:val="false"/>
                <w:sz w:val="20"/>
                <w:szCs w:val="20"/>
              </w:rPr>
              <w:t xml:space="preserve">Bearish</w:t>
            </w:r>
          </w:p>
        </w:tc>
        <w:tc>
          <w:tcPr>
            <w:tcW w:type="pct" w:w="58%"/>
            <w:shd w:fill="F1EFE8" w:val="clear"/>
            <w:tcMar>
              <w:top w:type="dxa" w:w="100"/>
              <w:left w:type="dxa" w:w="140"/>
              <w:bottom w:type="dxa" w:w="100"/>
              <w:right w:type="dxa" w:w="140"/>
            </w:tcMar>
          </w:tcPr>
          <w:p>
            <w:r>
              <w:rPr>
                <w:b w:val="false"/>
                <w:bCs w:val="false"/>
                <w:sz w:val="20"/>
                <w:szCs w:val="20"/>
              </w:rPr>
              <w:t xml:space="preserve">Three peaks, a higher ‘head’ between two roughly equal ‘shoulders’. A break below the neckline signals a reversal from uptrend to downtrend.</w:t>
            </w:r>
          </w:p>
        </w:tc>
      </w:tr>
      <w:tr>
        <w:tc>
          <w:tcPr>
            <w:tcW w:type="pct" w:w="26%"/>
            <w:tcMar>
              <w:top w:type="dxa" w:w="100"/>
              <w:left w:type="dxa" w:w="140"/>
              <w:bottom w:type="dxa" w:w="100"/>
              <w:right w:type="dxa" w:w="140"/>
            </w:tcMar>
          </w:tcPr>
          <w:p>
            <w:r>
              <w:rPr>
                <w:b w:val="false"/>
                <w:bCs w:val="false"/>
                <w:sz w:val="20"/>
                <w:szCs w:val="20"/>
              </w:rPr>
              <w:t xml:space="preserve">Inverse Head &amp; Shoulders</w:t>
            </w:r>
          </w:p>
        </w:tc>
        <w:tc>
          <w:tcPr>
            <w:tcW w:type="pct" w:w="16%"/>
            <w:tcMar>
              <w:top w:type="dxa" w:w="100"/>
              <w:left w:type="dxa" w:w="140"/>
              <w:bottom w:type="dxa" w:w="100"/>
              <w:right w:type="dxa" w:w="140"/>
            </w:tcMar>
          </w:tcPr>
          <w:p>
            <w:r>
              <w:rPr>
                <w:b w:val="false"/>
                <w:bCs w:val="false"/>
                <w:sz w:val="20"/>
                <w:szCs w:val="20"/>
              </w:rPr>
              <w:t xml:space="preserve">Bullish</w:t>
            </w:r>
          </w:p>
        </w:tc>
        <w:tc>
          <w:tcPr>
            <w:tcW w:type="pct" w:w="58%"/>
            <w:tcMar>
              <w:top w:type="dxa" w:w="100"/>
              <w:left w:type="dxa" w:w="140"/>
              <w:bottom w:type="dxa" w:w="100"/>
              <w:right w:type="dxa" w:w="140"/>
            </w:tcMar>
          </w:tcPr>
          <w:p>
            <w:r>
              <w:rPr>
                <w:b w:val="false"/>
                <w:bCs w:val="false"/>
                <w:sz w:val="20"/>
                <w:szCs w:val="20"/>
              </w:rPr>
              <w:t xml:space="preserve">The mirror image — three troughs with a lower ‘head’. A break above the neckline signals a reversal from downtrend to uptrend.</w:t>
            </w:r>
          </w:p>
        </w:tc>
      </w:tr>
      <w:tr>
        <w:tc>
          <w:tcPr>
            <w:tcW w:type="pct" w:w="26%"/>
            <w:shd w:fill="F1EFE8" w:val="clear"/>
            <w:tcMar>
              <w:top w:type="dxa" w:w="100"/>
              <w:left w:type="dxa" w:w="140"/>
              <w:bottom w:type="dxa" w:w="100"/>
              <w:right w:type="dxa" w:w="140"/>
            </w:tcMar>
          </w:tcPr>
          <w:p>
            <w:r>
              <w:rPr>
                <w:b w:val="false"/>
                <w:bCs w:val="false"/>
                <w:sz w:val="20"/>
                <w:szCs w:val="20"/>
              </w:rPr>
              <w:t xml:space="preserve">Double Top</w:t>
            </w:r>
          </w:p>
        </w:tc>
        <w:tc>
          <w:tcPr>
            <w:tcW w:type="pct" w:w="16%"/>
            <w:shd w:fill="F1EFE8" w:val="clear"/>
            <w:tcMar>
              <w:top w:type="dxa" w:w="100"/>
              <w:left w:type="dxa" w:w="140"/>
              <w:bottom w:type="dxa" w:w="100"/>
              <w:right w:type="dxa" w:w="140"/>
            </w:tcMar>
          </w:tcPr>
          <w:p>
            <w:r>
              <w:rPr>
                <w:b w:val="false"/>
                <w:bCs w:val="false"/>
                <w:sz w:val="20"/>
                <w:szCs w:val="20"/>
              </w:rPr>
              <w:t xml:space="preserve">Bearish</w:t>
            </w:r>
          </w:p>
        </w:tc>
        <w:tc>
          <w:tcPr>
            <w:tcW w:type="pct" w:w="58%"/>
            <w:shd w:fill="F1EFE8" w:val="clear"/>
            <w:tcMar>
              <w:top w:type="dxa" w:w="100"/>
              <w:left w:type="dxa" w:w="140"/>
              <w:bottom w:type="dxa" w:w="100"/>
              <w:right w:type="dxa" w:w="140"/>
            </w:tcMar>
          </w:tcPr>
          <w:p>
            <w:r>
              <w:rPr>
                <w:b w:val="false"/>
                <w:bCs w:val="false"/>
                <w:sz w:val="20"/>
                <w:szCs w:val="20"/>
              </w:rPr>
              <w:t xml:space="preserve">Two roughly equal peaks — a second failed attempt to break higher. Warns upward momentum is exhausted.</w:t>
            </w:r>
          </w:p>
        </w:tc>
      </w:tr>
      <w:tr>
        <w:tc>
          <w:tcPr>
            <w:tcW w:type="pct" w:w="26%"/>
            <w:tcMar>
              <w:top w:type="dxa" w:w="100"/>
              <w:left w:type="dxa" w:w="140"/>
              <w:bottom w:type="dxa" w:w="100"/>
              <w:right w:type="dxa" w:w="140"/>
            </w:tcMar>
          </w:tcPr>
          <w:p>
            <w:r>
              <w:rPr>
                <w:b w:val="false"/>
                <w:bCs w:val="false"/>
                <w:sz w:val="20"/>
                <w:szCs w:val="20"/>
              </w:rPr>
              <w:t xml:space="preserve">Double Bottom</w:t>
            </w:r>
          </w:p>
        </w:tc>
        <w:tc>
          <w:tcPr>
            <w:tcW w:type="pct" w:w="16%"/>
            <w:tcMar>
              <w:top w:type="dxa" w:w="100"/>
              <w:left w:type="dxa" w:w="140"/>
              <w:bottom w:type="dxa" w:w="100"/>
              <w:right w:type="dxa" w:w="140"/>
            </w:tcMar>
          </w:tcPr>
          <w:p>
            <w:r>
              <w:rPr>
                <w:b w:val="false"/>
                <w:bCs w:val="false"/>
                <w:sz w:val="20"/>
                <w:szCs w:val="20"/>
              </w:rPr>
              <w:t xml:space="preserve">Bullish</w:t>
            </w:r>
          </w:p>
        </w:tc>
        <w:tc>
          <w:tcPr>
            <w:tcW w:type="pct" w:w="58%"/>
            <w:tcMar>
              <w:top w:type="dxa" w:w="100"/>
              <w:left w:type="dxa" w:w="140"/>
              <w:bottom w:type="dxa" w:w="100"/>
              <w:right w:type="dxa" w:w="140"/>
            </w:tcMar>
          </w:tcPr>
          <w:p>
            <w:r>
              <w:rPr>
                <w:b w:val="false"/>
                <w:bCs w:val="false"/>
                <w:sz w:val="20"/>
                <w:szCs w:val="20"/>
              </w:rPr>
              <w:t xml:space="preserve">Two roughly equal troughs — a second failed attempt to break lower. Suggests selling pressure is exhausted.</w:t>
            </w:r>
          </w:p>
        </w:tc>
      </w:tr>
      <w:tr>
        <w:tc>
          <w:tcPr>
            <w:tcW w:type="pct" w:w="26%"/>
            <w:shd w:fill="F1EFE8" w:val="clear"/>
            <w:tcMar>
              <w:top w:type="dxa" w:w="100"/>
              <w:left w:type="dxa" w:w="140"/>
              <w:bottom w:type="dxa" w:w="100"/>
              <w:right w:type="dxa" w:w="140"/>
            </w:tcMar>
          </w:tcPr>
          <w:p>
            <w:r>
              <w:rPr>
                <w:b w:val="false"/>
                <w:bCs w:val="false"/>
                <w:sz w:val="20"/>
                <w:szCs w:val="20"/>
              </w:rPr>
              <w:t xml:space="preserve">Ascending Triangle</w:t>
            </w:r>
          </w:p>
        </w:tc>
        <w:tc>
          <w:tcPr>
            <w:tcW w:type="pct" w:w="16%"/>
            <w:shd w:fill="F1EFE8" w:val="clear"/>
            <w:tcMar>
              <w:top w:type="dxa" w:w="100"/>
              <w:left w:type="dxa" w:w="140"/>
              <w:bottom w:type="dxa" w:w="100"/>
              <w:right w:type="dxa" w:w="140"/>
            </w:tcMar>
          </w:tcPr>
          <w:p>
            <w:r>
              <w:rPr>
                <w:b w:val="false"/>
                <w:bCs w:val="false"/>
                <w:sz w:val="20"/>
                <w:szCs w:val="20"/>
              </w:rPr>
              <w:t xml:space="preserve">Bullish</w:t>
            </w:r>
          </w:p>
        </w:tc>
        <w:tc>
          <w:tcPr>
            <w:tcW w:type="pct" w:w="58%"/>
            <w:shd w:fill="F1EFE8" w:val="clear"/>
            <w:tcMar>
              <w:top w:type="dxa" w:w="100"/>
              <w:left w:type="dxa" w:w="140"/>
              <w:bottom w:type="dxa" w:w="100"/>
              <w:right w:type="dxa" w:w="140"/>
            </w:tcMar>
          </w:tcPr>
          <w:p>
            <w:r>
              <w:rPr>
                <w:b w:val="false"/>
                <w:bCs w:val="false"/>
                <w:sz w:val="20"/>
                <w:szCs w:val="20"/>
              </w:rPr>
              <w:t xml:space="preserve">Flat resistance on top, rising higher-lows underneath. Usually resolves upward through resistance.</w:t>
            </w:r>
          </w:p>
        </w:tc>
      </w:tr>
      <w:tr>
        <w:tc>
          <w:tcPr>
            <w:tcW w:type="pct" w:w="26%"/>
            <w:tcMar>
              <w:top w:type="dxa" w:w="100"/>
              <w:left w:type="dxa" w:w="140"/>
              <w:bottom w:type="dxa" w:w="100"/>
              <w:right w:type="dxa" w:w="140"/>
            </w:tcMar>
          </w:tcPr>
          <w:p>
            <w:r>
              <w:rPr>
                <w:b w:val="false"/>
                <w:bCs w:val="false"/>
                <w:sz w:val="20"/>
                <w:szCs w:val="20"/>
              </w:rPr>
              <w:t xml:space="preserve">Descending Triangle</w:t>
            </w:r>
          </w:p>
        </w:tc>
        <w:tc>
          <w:tcPr>
            <w:tcW w:type="pct" w:w="16%"/>
            <w:tcMar>
              <w:top w:type="dxa" w:w="100"/>
              <w:left w:type="dxa" w:w="140"/>
              <w:bottom w:type="dxa" w:w="100"/>
              <w:right w:type="dxa" w:w="140"/>
            </w:tcMar>
          </w:tcPr>
          <w:p>
            <w:r>
              <w:rPr>
                <w:b w:val="false"/>
                <w:bCs w:val="false"/>
                <w:sz w:val="20"/>
                <w:szCs w:val="20"/>
              </w:rPr>
              <w:t xml:space="preserve">Bearish</w:t>
            </w:r>
          </w:p>
        </w:tc>
        <w:tc>
          <w:tcPr>
            <w:tcW w:type="pct" w:w="58%"/>
            <w:tcMar>
              <w:top w:type="dxa" w:w="100"/>
              <w:left w:type="dxa" w:w="140"/>
              <w:bottom w:type="dxa" w:w="100"/>
              <w:right w:type="dxa" w:w="140"/>
            </w:tcMar>
          </w:tcPr>
          <w:p>
            <w:r>
              <w:rPr>
                <w:b w:val="false"/>
                <w:bCs w:val="false"/>
                <w:sz w:val="20"/>
                <w:szCs w:val="20"/>
              </w:rPr>
              <w:t xml:space="preserve">Flat support below, falling lower-highs above. Usually resolves downward through support.</w:t>
            </w:r>
          </w:p>
        </w:tc>
      </w:tr>
      <w:tr>
        <w:tc>
          <w:tcPr>
            <w:tcW w:type="pct" w:w="26%"/>
            <w:shd w:fill="F1EFE8" w:val="clear"/>
            <w:tcMar>
              <w:top w:type="dxa" w:w="100"/>
              <w:left w:type="dxa" w:w="140"/>
              <w:bottom w:type="dxa" w:w="100"/>
              <w:right w:type="dxa" w:w="140"/>
            </w:tcMar>
          </w:tcPr>
          <w:p>
            <w:r>
              <w:rPr>
                <w:b w:val="false"/>
                <w:bCs w:val="false"/>
                <w:sz w:val="20"/>
                <w:szCs w:val="20"/>
              </w:rPr>
              <w:t xml:space="preserve">Symmetrical Triangle</w:t>
            </w:r>
          </w:p>
        </w:tc>
        <w:tc>
          <w:tcPr>
            <w:tcW w:type="pct" w:w="16%"/>
            <w:shd w:fill="F1EFE8" w:val="clear"/>
            <w:tcMar>
              <w:top w:type="dxa" w:w="100"/>
              <w:left w:type="dxa" w:w="140"/>
              <w:bottom w:type="dxa" w:w="100"/>
              <w:right w:type="dxa" w:w="140"/>
            </w:tcMar>
          </w:tcPr>
          <w:p>
            <w:r>
              <w:rPr>
                <w:b w:val="false"/>
                <w:bCs w:val="false"/>
                <w:sz w:val="20"/>
                <w:szCs w:val="20"/>
              </w:rPr>
              <w:t xml:space="preserve">Neutral</w:t>
            </w:r>
          </w:p>
        </w:tc>
        <w:tc>
          <w:tcPr>
            <w:tcW w:type="pct" w:w="58%"/>
            <w:shd w:fill="F1EFE8" w:val="clear"/>
            <w:tcMar>
              <w:top w:type="dxa" w:w="100"/>
              <w:left w:type="dxa" w:w="140"/>
              <w:bottom w:type="dxa" w:w="100"/>
              <w:right w:type="dxa" w:w="140"/>
            </w:tcMar>
          </w:tcPr>
          <w:p>
            <w:r>
              <w:rPr>
                <w:b w:val="false"/>
                <w:bCs w:val="false"/>
                <w:sz w:val="20"/>
                <w:szCs w:val="20"/>
              </w:rPr>
              <w:t xml:space="preserve">Converging resistance and support at similar angles. Direction depends on which side breaks.</w:t>
            </w:r>
          </w:p>
        </w:tc>
      </w:tr>
      <w:tr>
        <w:tc>
          <w:tcPr>
            <w:tcW w:type="pct" w:w="26%"/>
            <w:tcMar>
              <w:top w:type="dxa" w:w="100"/>
              <w:left w:type="dxa" w:w="140"/>
              <w:bottom w:type="dxa" w:w="100"/>
              <w:right w:type="dxa" w:w="140"/>
            </w:tcMar>
          </w:tcPr>
          <w:p>
            <w:r>
              <w:rPr>
                <w:b w:val="false"/>
                <w:bCs w:val="false"/>
                <w:sz w:val="20"/>
                <w:szCs w:val="20"/>
              </w:rPr>
              <w:t xml:space="preserve">Price Channel</w:t>
            </w:r>
          </w:p>
        </w:tc>
        <w:tc>
          <w:tcPr>
            <w:tcW w:type="pct" w:w="16%"/>
            <w:tcMar>
              <w:top w:type="dxa" w:w="100"/>
              <w:left w:type="dxa" w:w="140"/>
              <w:bottom w:type="dxa" w:w="100"/>
              <w:right w:type="dxa" w:w="140"/>
            </w:tcMar>
          </w:tcPr>
          <w:p>
            <w:r>
              <w:rPr>
                <w:b w:val="false"/>
                <w:bCs w:val="false"/>
                <w:sz w:val="20"/>
                <w:szCs w:val="20"/>
              </w:rPr>
              <w:t xml:space="preserve">Varies</w:t>
            </w:r>
          </w:p>
        </w:tc>
        <w:tc>
          <w:tcPr>
            <w:tcW w:type="pct" w:w="58%"/>
            <w:tcMar>
              <w:top w:type="dxa" w:w="100"/>
              <w:left w:type="dxa" w:w="140"/>
              <w:bottom w:type="dxa" w:w="100"/>
              <w:right w:type="dxa" w:w="140"/>
            </w:tcMar>
          </w:tcPr>
          <w:p>
            <w:r>
              <w:rPr>
                <w:b w:val="false"/>
                <w:bCs w:val="false"/>
                <w:sz w:val="20"/>
                <w:szCs w:val="20"/>
              </w:rPr>
              <w:t xml:space="preserve">Two roughly parallel trendlines — ascending, descending, or horizontal. Shows an orderly, structured trading range.</w:t>
            </w:r>
          </w:p>
        </w:tc>
      </w:tr>
      <w:tr>
        <w:tc>
          <w:tcPr>
            <w:tcW w:type="pct" w:w="26%"/>
            <w:shd w:fill="F1EFE8" w:val="clear"/>
            <w:tcMar>
              <w:top w:type="dxa" w:w="100"/>
              <w:left w:type="dxa" w:w="140"/>
              <w:bottom w:type="dxa" w:w="100"/>
              <w:right w:type="dxa" w:w="140"/>
            </w:tcMar>
          </w:tcPr>
          <w:p>
            <w:r>
              <w:rPr>
                <w:b w:val="false"/>
                <w:bCs w:val="false"/>
                <w:sz w:val="20"/>
                <w:szCs w:val="20"/>
              </w:rPr>
              <w:t xml:space="preserve">Bull Flag</w:t>
            </w:r>
          </w:p>
        </w:tc>
        <w:tc>
          <w:tcPr>
            <w:tcW w:type="pct" w:w="16%"/>
            <w:shd w:fill="F1EFE8" w:val="clear"/>
            <w:tcMar>
              <w:top w:type="dxa" w:w="100"/>
              <w:left w:type="dxa" w:w="140"/>
              <w:bottom w:type="dxa" w:w="100"/>
              <w:right w:type="dxa" w:w="140"/>
            </w:tcMar>
          </w:tcPr>
          <w:p>
            <w:r>
              <w:rPr>
                <w:b w:val="false"/>
                <w:bCs w:val="false"/>
                <w:sz w:val="20"/>
                <w:szCs w:val="20"/>
              </w:rPr>
              <w:t xml:space="preserve">Bullish</w:t>
            </w:r>
          </w:p>
        </w:tc>
        <w:tc>
          <w:tcPr>
            <w:tcW w:type="pct" w:w="58%"/>
            <w:shd w:fill="F1EFE8" w:val="clear"/>
            <w:tcMar>
              <w:top w:type="dxa" w:w="100"/>
              <w:left w:type="dxa" w:w="140"/>
              <w:bottom w:type="dxa" w:w="100"/>
              <w:right w:type="dxa" w:w="140"/>
            </w:tcMar>
          </w:tcPr>
          <w:p>
            <w:r>
              <w:rPr>
                <w:b w:val="false"/>
                <w:bCs w:val="false"/>
                <w:sz w:val="20"/>
                <w:szCs w:val="20"/>
              </w:rPr>
              <w:t xml:space="preserve">A sharp upward ‘pole’ followed by a brief, controlled pullback (the ‘flag’). Often continues in the pole's direction.</w:t>
            </w:r>
          </w:p>
        </w:tc>
      </w:tr>
      <w:tr>
        <w:tc>
          <w:tcPr>
            <w:tcW w:type="pct" w:w="26%"/>
            <w:tcMar>
              <w:top w:type="dxa" w:w="100"/>
              <w:left w:type="dxa" w:w="140"/>
              <w:bottom w:type="dxa" w:w="100"/>
              <w:right w:type="dxa" w:w="140"/>
            </w:tcMar>
          </w:tcPr>
          <w:p>
            <w:r>
              <w:rPr>
                <w:b w:val="false"/>
                <w:bCs w:val="false"/>
                <w:sz w:val="20"/>
                <w:szCs w:val="20"/>
              </w:rPr>
              <w:t xml:space="preserve">Bear Flag</w:t>
            </w:r>
          </w:p>
        </w:tc>
        <w:tc>
          <w:tcPr>
            <w:tcW w:type="pct" w:w="16%"/>
            <w:tcMar>
              <w:top w:type="dxa" w:w="100"/>
              <w:left w:type="dxa" w:w="140"/>
              <w:bottom w:type="dxa" w:w="100"/>
              <w:right w:type="dxa" w:w="140"/>
            </w:tcMar>
          </w:tcPr>
          <w:p>
            <w:r>
              <w:rPr>
                <w:b w:val="false"/>
                <w:bCs w:val="false"/>
                <w:sz w:val="20"/>
                <w:szCs w:val="20"/>
              </w:rPr>
              <w:t xml:space="preserve">Bearish</w:t>
            </w:r>
          </w:p>
        </w:tc>
        <w:tc>
          <w:tcPr>
            <w:tcW w:type="pct" w:w="58%"/>
            <w:tcMar>
              <w:top w:type="dxa" w:w="100"/>
              <w:left w:type="dxa" w:w="140"/>
              <w:bottom w:type="dxa" w:w="100"/>
              <w:right w:type="dxa" w:w="140"/>
            </w:tcMar>
          </w:tcPr>
          <w:p>
            <w:r>
              <w:rPr>
                <w:b w:val="false"/>
                <w:bCs w:val="false"/>
                <w:sz w:val="20"/>
                <w:szCs w:val="20"/>
              </w:rPr>
              <w:t xml:space="preserve">The mirror of a Bull Flag — a sharp downward pole followed by a brief upward-drifting pause. Often continues downward.</w:t>
            </w:r>
          </w:p>
        </w:tc>
      </w:tr>
      <w:tr>
        <w:tc>
          <w:tcPr>
            <w:tcW w:type="pct" w:w="26%"/>
            <w:shd w:fill="F1EFE8" w:val="clear"/>
            <w:tcMar>
              <w:top w:type="dxa" w:w="100"/>
              <w:left w:type="dxa" w:w="140"/>
              <w:bottom w:type="dxa" w:w="100"/>
              <w:right w:type="dxa" w:w="140"/>
            </w:tcMar>
          </w:tcPr>
          <w:p>
            <w:r>
              <w:rPr>
                <w:b w:val="false"/>
                <w:bCs w:val="false"/>
                <w:sz w:val="20"/>
                <w:szCs w:val="20"/>
              </w:rPr>
              <w:t xml:space="preserve">Pennant</w:t>
            </w:r>
          </w:p>
        </w:tc>
        <w:tc>
          <w:tcPr>
            <w:tcW w:type="pct" w:w="16%"/>
            <w:shd w:fill="F1EFE8" w:val="clear"/>
            <w:tcMar>
              <w:top w:type="dxa" w:w="100"/>
              <w:left w:type="dxa" w:w="140"/>
              <w:bottom w:type="dxa" w:w="100"/>
              <w:right w:type="dxa" w:w="140"/>
            </w:tcMar>
          </w:tcPr>
          <w:p>
            <w:r>
              <w:rPr>
                <w:b w:val="false"/>
                <w:bCs w:val="false"/>
                <w:sz w:val="20"/>
                <w:szCs w:val="20"/>
              </w:rPr>
              <w:t xml:space="preserve">Varies</w:t>
            </w:r>
          </w:p>
        </w:tc>
        <w:tc>
          <w:tcPr>
            <w:tcW w:type="pct" w:w="58%"/>
            <w:shd w:fill="F1EFE8" w:val="clear"/>
            <w:tcMar>
              <w:top w:type="dxa" w:w="100"/>
              <w:left w:type="dxa" w:w="140"/>
              <w:bottom w:type="dxa" w:w="100"/>
              <w:right w:type="dxa" w:w="140"/>
            </w:tcMar>
          </w:tcPr>
          <w:p>
            <w:r>
              <w:rPr>
                <w:b w:val="false"/>
                <w:bCs w:val="false"/>
                <w:sz w:val="20"/>
                <w:szCs w:val="20"/>
              </w:rPr>
              <w:t xml:space="preserve">Like a flag, but the pause converges into a small symmetrical triangle. Direction is inherited from the preceding pole.</w:t>
            </w:r>
          </w:p>
        </w:tc>
      </w:tr>
      <w:tr>
        <w:tc>
          <w:tcPr>
            <w:tcW w:type="pct" w:w="26%"/>
            <w:tcMar>
              <w:top w:type="dxa" w:w="100"/>
              <w:left w:type="dxa" w:w="140"/>
              <w:bottom w:type="dxa" w:w="100"/>
              <w:right w:type="dxa" w:w="140"/>
            </w:tcMar>
          </w:tcPr>
          <w:p>
            <w:r>
              <w:rPr>
                <w:b w:val="false"/>
                <w:bCs w:val="false"/>
                <w:sz w:val="20"/>
                <w:szCs w:val="20"/>
              </w:rPr>
              <w:t xml:space="preserve">Cup &amp; Handle</w:t>
            </w:r>
          </w:p>
        </w:tc>
        <w:tc>
          <w:tcPr>
            <w:tcW w:type="pct" w:w="16%"/>
            <w:tcMar>
              <w:top w:type="dxa" w:w="100"/>
              <w:left w:type="dxa" w:w="140"/>
              <w:bottom w:type="dxa" w:w="100"/>
              <w:right w:type="dxa" w:w="140"/>
            </w:tcMar>
          </w:tcPr>
          <w:p>
            <w:r>
              <w:rPr>
                <w:b w:val="false"/>
                <w:bCs w:val="false"/>
                <w:sz w:val="20"/>
                <w:szCs w:val="20"/>
              </w:rPr>
              <w:t xml:space="preserve">Bullish</w:t>
            </w:r>
          </w:p>
        </w:tc>
        <w:tc>
          <w:tcPr>
            <w:tcW w:type="pct" w:w="58%"/>
            <w:tcMar>
              <w:top w:type="dxa" w:w="100"/>
              <w:left w:type="dxa" w:w="140"/>
              <w:bottom w:type="dxa" w:w="100"/>
              <w:right w:type="dxa" w:w="140"/>
            </w:tcMar>
          </w:tcPr>
          <w:p>
            <w:r>
              <w:rPr>
                <w:b w:val="false"/>
                <w:bCs w:val="false"/>
                <w:sz w:val="20"/>
                <w:szCs w:val="20"/>
              </w:rPr>
              <w:t xml:space="preserve">A rounded ‘cup’ between two equal rims, then a small downward-drifting ‘handle’ before a breakout. A longer-duration bullish base.</w:t>
            </w:r>
          </w:p>
        </w:tc>
      </w:tr>
    </w:tbl>
    <w:p>
      <w:pPr>
        <w:spacing w:after="120"/>
      </w:pPr>
    </w:p>
    <w:p>
      <w:pPr>
        <w:pStyle w:val="Heading2"/>
        <w:spacing w:after="150" w:before="300"/>
      </w:pPr>
      <w:r>
        <w:t xml:space="preserve">Module 10: Data confidence weighting</w:t>
      </w:r>
    </w:p>
    <w:p>
      <w:pPr>
        <w:spacing w:after="160" w:line="300"/>
      </w:pPr>
      <w:r>
        <w:rPr>
          <w:i/>
          <w:iCs/>
          <w:color w:val="5F5E5A"/>
        </w:rPr>
        <w:t xml:space="preserve">How much history does this stock actually have?</w:t>
      </w:r>
    </w:p>
    <w:p>
      <w:pPr>
        <w:pStyle w:val="Heading3"/>
        <w:spacing w:after="100" w:before="200"/>
      </w:pPr>
      <w:r>
        <w:t xml:space="preserve">What it measures</w:t>
      </w:r>
    </w:p>
    <w:p>
      <w:pPr>
        <w:spacing w:after="160" w:line="300"/>
      </w:pPr>
      <w:r>
        <w:t xml:space="preserve">Every score is scaled by a confidence multiplier based on the number of trading days of clean history available — floored at 50% trust under roughly 25 bars, scaling up to full trust past roughly 250 bars (about a year).</w:t>
      </w:r>
    </w:p>
    <w:p>
      <w:pPr>
        <w:pStyle w:val="Heading3"/>
        <w:spacing w:after="100" w:before="200"/>
      </w:pPr>
      <w:r>
        <w:t xml:space="preserve">Why it matters</w:t>
      </w:r>
    </w:p>
    <w:p>
      <w:pPr>
        <w:spacing w:after="160" w:line="300"/>
      </w:pPr>
      <w:r>
        <w:t xml:space="preserve">A newly listed stock or one with a short, choppy data history simply cannot support the same conviction as one with a year of clean trading behind it, no matter how good the chart looks today. This stops the system from ever handing a brand-new listing a maximum-confidence score.</w:t>
      </w:r>
    </w:p>
    <w:p>
      <w:pPr>
        <w:pStyle w:val="Heading3"/>
        <w:spacing w:after="100" w:before="200"/>
      </w:pPr>
      <w:r>
        <w:t xml:space="preserve">How to read it on the dashboard</w:t>
      </w:r>
    </w:p>
    <w:p>
      <w:pPr>
        <w:pStyle w:val="ListParagraph"/>
        <w:numPr>
          <w:ilvl w:val="0"/>
          <w:numId w:val="1"/>
        </w:numPr>
        <w:spacing w:after="90" w:line="280"/>
      </w:pPr>
      <w:r>
        <w:t xml:space="preserve">“Data Confidence” column shows the plain-language tier: Very Low, Low, Medium, or High</w:t>
      </w:r>
    </w:p>
    <w:p>
      <w:pPr>
        <w:pStyle w:val="Heading2"/>
        <w:spacing w:after="150" w:before="300"/>
      </w:pPr>
      <w:r>
        <w:t xml:space="preserve">Module 11: Liquidity filter</w:t>
      </w:r>
    </w:p>
    <w:p>
      <w:pPr>
        <w:spacing w:after="160" w:line="300"/>
      </w:pPr>
      <w:r>
        <w:rPr>
          <w:i/>
          <w:iCs/>
          <w:color w:val="5F5E5A"/>
        </w:rPr>
        <w:t xml:space="preserve">Can you actually get in and out of this stock?</w:t>
      </w:r>
    </w:p>
    <w:p>
      <w:pPr>
        <w:pStyle w:val="Heading3"/>
        <w:spacing w:after="100" w:before="200"/>
      </w:pPr>
      <w:r>
        <w:t xml:space="preserve">What it measures</w:t>
      </w:r>
    </w:p>
    <w:p>
      <w:pPr>
        <w:spacing w:after="160" w:line="300"/>
      </w:pPr>
      <w:r>
        <w:t xml:space="preserve">Average 20-day trading volume, compared against a minimum liquidity floor.</w:t>
      </w:r>
    </w:p>
    <w:p>
      <w:pPr>
        <w:pStyle w:val="Heading3"/>
        <w:spacing w:after="100" w:before="200"/>
      </w:pPr>
      <w:r>
        <w:t xml:space="preserve">Why it matters</w:t>
      </w:r>
    </w:p>
    <w:p>
      <w:pPr>
        <w:spacing w:after="160" w:line="300"/>
      </w:pPr>
      <w:r>
        <w:t xml:space="preserve">A textbook-perfect setup on a stock nobody's trading is a trap, not an opportunity — you may not be able to build or exit a position at a reasonable price. Any stock under the liquidity floor is explicitly tagged and its score penalized hard, regardless of how clean the technicals look.</w:t>
      </w:r>
    </w:p>
    <w:p>
      <w:pPr>
        <w:pStyle w:val="Heading3"/>
        <w:spacing w:after="100" w:before="200"/>
      </w:pPr>
      <w:r>
        <w:t xml:space="preserve">How to read it on the dashboard</w:t>
      </w:r>
    </w:p>
    <w:p>
      <w:pPr>
        <w:pStyle w:val="ListParagraph"/>
        <w:numPr>
          <w:ilvl w:val="0"/>
          <w:numId w:val="1"/>
        </w:numPr>
        <w:spacing w:after="90" w:line="280"/>
      </w:pPr>
      <w:r>
        <w:t xml:space="preserve">Look for the 🚫 ILLIQUID prefix on the Action label</w:t>
      </w:r>
    </w:p>
    <w:tbl>
      <w:tblPr>
        <w:tblW w:type="pct" w:w="100%"/>
        <w:tblBorders>
          <w:top w:val="single" w:color="0C447C" w:sz="4"/>
          <w:left w:val="single" w:color="0C447C" w:sz="24"/>
          <w:bottom w:val="single" w:color="0C447C" w:sz="4"/>
          <w:right w:val="single" w:color="0C447C" w:sz="4"/>
          <w:insideH w:val="none"/>
          <w:insideV w:val="none"/>
        </w:tblBorders>
      </w:tblPr>
      <w:tblGrid>
        <w:gridCol w:w="100"/>
      </w:tblGrid>
      <w:tr>
        <w:tc>
          <w:tcPr>
            <w:shd w:fill="F1EFE8" w:val="clear"/>
            <w:tcMar>
              <w:top w:type="dxa" w:w="160"/>
              <w:left w:type="dxa" w:w="240"/>
              <w:bottom w:type="dxa" w:w="160"/>
              <w:right w:type="dxa" w:w="240"/>
            </w:tcMar>
          </w:tcPr>
          <w:p>
            <w:pPr>
              <w:spacing w:after="60"/>
            </w:pPr>
            <w:r>
              <w:rPr>
                <w:b/>
                <w:bCs/>
                <w:color w:val="0C447C"/>
                <w:sz w:val="20"/>
                <w:szCs w:val="20"/>
              </w:rPr>
              <w:t xml:space="preserve">Score contribution</w:t>
            </w:r>
          </w:p>
          <w:p>
            <w:pPr>
              <w:spacing w:line="280"/>
            </w:pPr>
            <w:r>
              <w:rPr>
                <w:sz w:val="20"/>
                <w:szCs w:val="20"/>
              </w:rPr>
              <w:t xml:space="preserve">–22 to −40 penalty applied on top of whatever the base signal was.</w:t>
            </w:r>
          </w:p>
        </w:tc>
      </w:tr>
    </w:tbl>
    <w:p>
      <w:pPr>
        <w:spacing w:after="120"/>
      </w:pPr>
    </w:p>
    <w:p>
      <w:pPr>
        <w:pStyle w:val="Heading2"/>
        <w:spacing w:after="150" w:before="300"/>
      </w:pPr>
      <w:r>
        <w:t xml:space="preserve">Module 12: Risk and position sizing</w:t>
      </w:r>
    </w:p>
    <w:p>
      <w:pPr>
        <w:spacing w:after="160" w:line="300"/>
      </w:pPr>
      <w:r>
        <w:rPr>
          <w:i/>
          <w:iCs/>
          <w:color w:val="5F5E5A"/>
        </w:rPr>
        <w:t xml:space="preserve">How much should you actually put into this trade, and where do you get out?</w:t>
      </w:r>
    </w:p>
    <w:p>
      <w:pPr>
        <w:pStyle w:val="Heading3"/>
        <w:spacing w:after="100" w:before="200"/>
      </w:pPr>
      <w:r>
        <w:t xml:space="preserve">What it measures</w:t>
      </w:r>
    </w:p>
    <w:p>
      <w:pPr>
        <w:spacing w:after="160" w:line="300"/>
      </w:pPr>
      <w:r>
        <w:t xml:space="preserve">Every recommendation comes with a suggested share count sized to risk exactly 1% of your account on that trade (based on the distance to the ATR-based stop-loss), a suggested stop-loss, and a take-profit target blended from either the pattern-match projection or a floor based on average true range.</w:t>
      </w:r>
    </w:p>
    <w:p>
      <w:pPr>
        <w:pStyle w:val="Heading3"/>
        <w:spacing w:after="100" w:before="200"/>
      </w:pPr>
      <w:r>
        <w:t xml:space="preserve">Why it matters</w:t>
      </w:r>
    </w:p>
    <w:p>
      <w:pPr>
        <w:spacing w:after="160" w:line="300"/>
      </w:pPr>
      <w:r>
        <w:t xml:space="preserve">A good signal with no risk plan is half an analysis. This module is what turns a ranked list of stocks into an actual, executable trading plan — and it's also where the portfolio-level check lives: if too much of your account sits in one sector or one ticker, you'll see an explicit concentration warning, a blind spot that no single stock's technicals can reveal on their own.</w:t>
      </w:r>
    </w:p>
    <w:p>
      <w:pPr>
        <w:pStyle w:val="Heading3"/>
        <w:spacing w:after="100" w:before="200"/>
      </w:pPr>
      <w:r>
        <w:t xml:space="preserve">How to read it on the dashboard</w:t>
      </w:r>
    </w:p>
    <w:p>
      <w:pPr>
        <w:pStyle w:val="ListParagraph"/>
        <w:numPr>
          <w:ilvl w:val="0"/>
          <w:numId w:val="1"/>
        </w:numPr>
        <w:spacing w:after="90" w:line="280"/>
      </w:pPr>
      <w:r>
        <w:t xml:space="preserve">“Suggested Shares (1% Risk)”, “Suggested Stop-Loss”, and “Take-Profit Target” columns on every buy candidate</w:t>
      </w:r>
    </w:p>
    <w:p>
      <w:pPr>
        <w:pStyle w:val="ListParagraph"/>
        <w:numPr>
          <w:ilvl w:val="0"/>
          <w:numId w:val="1"/>
        </w:numPr>
        <w:spacing w:after="90" w:line="280"/>
      </w:pPr>
      <w:r>
        <w:t xml:space="preserve">Portfolio Risk warnings appear above the matrix table whenever concentration crosses the threshold</w:t>
      </w:r>
    </w:p>
    <w:p>
      <w:r>
        <w:br w:type="page"/>
      </w:r>
    </w:p>
    <w:p>
      <w:pPr>
        <w:pStyle w:val="Heading1"/>
        <w:spacing w:after="200" w:before="400"/>
      </w:pPr>
      <w:r>
        <w:t xml:space="preserve">4. Reading a signal — a worked example</w:t>
      </w:r>
    </w:p>
    <w:p>
      <w:pPr>
        <w:spacing w:after="160" w:line="300"/>
      </w:pPr>
      <w:r>
        <w:t xml:space="preserve">Here's how the pieces from Section 3 combine into one row on the market matrix. Suppose a stock shows: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shd w:fill="0C447C" w:val="clear"/>
            <w:tcMar>
              <w:top w:type="dxa" w:w="100"/>
              <w:left w:type="dxa" w:w="140"/>
              <w:bottom w:type="dxa" w:w="100"/>
              <w:right w:type="dxa" w:w="140"/>
            </w:tcMar>
          </w:tcPr>
          <w:p>
            <w:r>
              <w:rPr>
                <w:b/>
                <w:bCs/>
                <w:color w:val="FFFFFF"/>
                <w:sz w:val="20"/>
                <w:szCs w:val="20"/>
              </w:rPr>
              <w:t xml:space="preserve">Field</w:t>
            </w:r>
          </w:p>
        </w:tc>
        <w:tc>
          <w:tcPr>
            <w:tcW w:type="pct" w:w="22%"/>
            <w:shd w:fill="0C447C" w:val="clear"/>
            <w:tcMar>
              <w:top w:type="dxa" w:w="100"/>
              <w:left w:type="dxa" w:w="140"/>
              <w:bottom w:type="dxa" w:w="100"/>
              <w:right w:type="dxa" w:w="140"/>
            </w:tcMar>
          </w:tcPr>
          <w:p>
            <w:r>
              <w:rPr>
                <w:b/>
                <w:bCs/>
                <w:color w:val="FFFFFF"/>
                <w:sz w:val="20"/>
                <w:szCs w:val="20"/>
              </w:rPr>
              <w:t xml:space="preserve">Value</w:t>
            </w:r>
          </w:p>
        </w:tc>
        <w:tc>
          <w:tcPr>
            <w:tcW w:type="pct" w:w="50%"/>
            <w:shd w:fill="0C447C" w:val="clear"/>
            <w:tcMar>
              <w:top w:type="dxa" w:w="100"/>
              <w:left w:type="dxa" w:w="140"/>
              <w:bottom w:type="dxa" w:w="100"/>
              <w:right w:type="dxa" w:w="140"/>
            </w:tcMar>
          </w:tcPr>
          <w:p>
            <w:r>
              <w:rPr>
                <w:b/>
                <w:bCs/>
                <w:color w:val="FFFFFF"/>
                <w:sz w:val="20"/>
                <w:szCs w:val="20"/>
              </w:rPr>
              <w:t xml:space="preserve">What it tells you</w:t>
            </w:r>
          </w:p>
        </w:tc>
      </w:tr>
      <w:tr>
        <w:tc>
          <w:tcPr>
            <w:tcW w:type="pct" w:w="28%"/>
            <w:shd w:fill="F1EFE8" w:val="clear"/>
            <w:tcMar>
              <w:top w:type="dxa" w:w="100"/>
              <w:left w:type="dxa" w:w="140"/>
              <w:bottom w:type="dxa" w:w="100"/>
              <w:right w:type="dxa" w:w="140"/>
            </w:tcMar>
          </w:tcPr>
          <w:p>
            <w:r>
              <w:rPr>
                <w:b w:val="false"/>
                <w:bCs w:val="false"/>
                <w:sz w:val="20"/>
                <w:szCs w:val="20"/>
              </w:rPr>
              <w:t xml:space="preserve">Action</w:t>
            </w:r>
          </w:p>
        </w:tc>
        <w:tc>
          <w:tcPr>
            <w:tcW w:type="pct" w:w="22%"/>
            <w:shd w:fill="F1EFE8" w:val="clear"/>
            <w:tcMar>
              <w:top w:type="dxa" w:w="100"/>
              <w:left w:type="dxa" w:w="140"/>
              <w:bottom w:type="dxa" w:w="100"/>
              <w:right w:type="dxa" w:w="140"/>
            </w:tcMar>
          </w:tcPr>
          <w:p>
            <w:r>
              <w:rPr>
                <w:b w:val="false"/>
                <w:bCs w:val="false"/>
                <w:sz w:val="20"/>
                <w:szCs w:val="20"/>
              </w:rPr>
              <w:t xml:space="preserve">⚡ BREAKOUT BUY (X-OVER + MOMENTUM) [👑 WEEKLY ALIGNED]</w:t>
            </w:r>
          </w:p>
        </w:tc>
        <w:tc>
          <w:tcPr>
            <w:tcW w:type="pct" w:w="50%"/>
            <w:shd w:fill="F1EFE8" w:val="clear"/>
            <w:tcMar>
              <w:top w:type="dxa" w:w="100"/>
              <w:left w:type="dxa" w:w="140"/>
              <w:bottom w:type="dxa" w:w="100"/>
              <w:right w:type="dxa" w:w="140"/>
            </w:tcMar>
          </w:tcPr>
          <w:p>
            <w:r>
              <w:rPr>
                <w:b w:val="false"/>
                <w:bCs w:val="false"/>
                <w:sz w:val="20"/>
                <w:szCs w:val="20"/>
              </w:rPr>
              <w:t xml:space="preserve">Both the SMA-50 crossover and the EMA/RSI momentum signal fired together, and the weekly trend agrees — the strongest breakout label the system produces</w:t>
            </w:r>
          </w:p>
        </w:tc>
      </w:tr>
      <w:tr>
        <w:tc>
          <w:tcPr>
            <w:tcW w:type="pct" w:w="28%"/>
            <w:tcMar>
              <w:top w:type="dxa" w:w="100"/>
              <w:left w:type="dxa" w:w="140"/>
              <w:bottom w:type="dxa" w:w="100"/>
              <w:right w:type="dxa" w:w="140"/>
            </w:tcMar>
          </w:tcPr>
          <w:p>
            <w:r>
              <w:rPr>
                <w:b w:val="false"/>
                <w:bCs w:val="false"/>
                <w:sz w:val="20"/>
                <w:szCs w:val="20"/>
              </w:rPr>
              <w:t xml:space="preserve">Rank Score</w:t>
            </w:r>
          </w:p>
        </w:tc>
        <w:tc>
          <w:tcPr>
            <w:tcW w:type="pct" w:w="22%"/>
            <w:tcMar>
              <w:top w:type="dxa" w:w="100"/>
              <w:left w:type="dxa" w:w="140"/>
              <w:bottom w:type="dxa" w:w="100"/>
              <w:right w:type="dxa" w:w="140"/>
            </w:tcMar>
          </w:tcPr>
          <w:p>
            <w:r>
              <w:rPr>
                <w:b w:val="false"/>
                <w:bCs w:val="false"/>
                <w:sz w:val="20"/>
                <w:szCs w:val="20"/>
              </w:rPr>
              <w:t xml:space="preserve">78.4</w:t>
            </w:r>
          </w:p>
        </w:tc>
        <w:tc>
          <w:tcPr>
            <w:tcW w:type="pct" w:w="50%"/>
            <w:tcMar>
              <w:top w:type="dxa" w:w="100"/>
              <w:left w:type="dxa" w:w="140"/>
              <w:bottom w:type="dxa" w:w="100"/>
              <w:right w:type="dxa" w:w="140"/>
            </w:tcMar>
          </w:tcPr>
          <w:p>
            <w:r>
              <w:rPr>
                <w:b w:val="false"/>
                <w:bCs w:val="false"/>
                <w:sz w:val="20"/>
                <w:szCs w:val="20"/>
              </w:rPr>
              <w:t xml:space="preserve">High relative conviction — comparable across every other stock in the matrix</w:t>
            </w:r>
          </w:p>
        </w:tc>
      </w:tr>
      <w:tr>
        <w:tc>
          <w:tcPr>
            <w:tcW w:type="pct" w:w="28%"/>
            <w:shd w:fill="F1EFE8" w:val="clear"/>
            <w:tcMar>
              <w:top w:type="dxa" w:w="100"/>
              <w:left w:type="dxa" w:w="140"/>
              <w:bottom w:type="dxa" w:w="100"/>
              <w:right w:type="dxa" w:w="140"/>
            </w:tcMar>
          </w:tcPr>
          <w:p>
            <w:r>
              <w:rPr>
                <w:b w:val="false"/>
                <w:bCs w:val="false"/>
                <w:sz w:val="20"/>
                <w:szCs w:val="20"/>
              </w:rPr>
              <w:t xml:space="preserve">RSI-14 / ADX-14</w:t>
            </w:r>
          </w:p>
        </w:tc>
        <w:tc>
          <w:tcPr>
            <w:tcW w:type="pct" w:w="22%"/>
            <w:shd w:fill="F1EFE8" w:val="clear"/>
            <w:tcMar>
              <w:top w:type="dxa" w:w="100"/>
              <w:left w:type="dxa" w:w="140"/>
              <w:bottom w:type="dxa" w:w="100"/>
              <w:right w:type="dxa" w:w="140"/>
            </w:tcMar>
          </w:tcPr>
          <w:p>
            <w:r>
              <w:rPr>
                <w:b w:val="false"/>
                <w:bCs w:val="false"/>
                <w:sz w:val="20"/>
                <w:szCs w:val="20"/>
              </w:rPr>
              <w:t xml:space="preserve">58.2 / 26.1</w:t>
            </w:r>
          </w:p>
        </w:tc>
        <w:tc>
          <w:tcPr>
            <w:tcW w:type="pct" w:w="50%"/>
            <w:shd w:fill="F1EFE8" w:val="clear"/>
            <w:tcMar>
              <w:top w:type="dxa" w:w="100"/>
              <w:left w:type="dxa" w:w="140"/>
              <w:bottom w:type="dxa" w:w="100"/>
              <w:right w:type="dxa" w:w="140"/>
            </w:tcMar>
          </w:tcPr>
          <w:p>
            <w:r>
              <w:rPr>
                <w:b w:val="false"/>
                <w:bCs w:val="false"/>
                <w:sz w:val="20"/>
                <w:szCs w:val="20"/>
              </w:rPr>
              <w:t xml:space="preserve">Bullish momentum with a confirmed trend — the confirmation gate passed, no discount applied</w:t>
            </w:r>
          </w:p>
        </w:tc>
      </w:tr>
      <w:tr>
        <w:tc>
          <w:tcPr>
            <w:tcW w:type="pct" w:w="28%"/>
            <w:tcMar>
              <w:top w:type="dxa" w:w="100"/>
              <w:left w:type="dxa" w:w="140"/>
              <w:bottom w:type="dxa" w:w="100"/>
              <w:right w:type="dxa" w:w="140"/>
            </w:tcMar>
          </w:tcPr>
          <w:p>
            <w:r>
              <w:rPr>
                <w:b w:val="false"/>
                <w:bCs w:val="false"/>
                <w:sz w:val="20"/>
                <w:szCs w:val="20"/>
              </w:rPr>
              <w:t xml:space="preserve">Vol Z-Score</w:t>
            </w:r>
          </w:p>
        </w:tc>
        <w:tc>
          <w:tcPr>
            <w:tcW w:type="pct" w:w="22%"/>
            <w:tcMar>
              <w:top w:type="dxa" w:w="100"/>
              <w:left w:type="dxa" w:w="140"/>
              <w:bottom w:type="dxa" w:w="100"/>
              <w:right w:type="dxa" w:w="140"/>
            </w:tcMar>
          </w:tcPr>
          <w:p>
            <w:r>
              <w:rPr>
                <w:b w:val="false"/>
                <w:bCs w:val="false"/>
                <w:sz w:val="20"/>
                <w:szCs w:val="20"/>
              </w:rPr>
              <w:t xml:space="preserve">1.8</w:t>
            </w:r>
          </w:p>
        </w:tc>
        <w:tc>
          <w:tcPr>
            <w:tcW w:type="pct" w:w="50%"/>
            <w:tcMar>
              <w:top w:type="dxa" w:w="100"/>
              <w:left w:type="dxa" w:w="140"/>
              <w:bottom w:type="dxa" w:w="100"/>
              <w:right w:type="dxa" w:w="140"/>
            </w:tcMar>
          </w:tcPr>
          <w:p>
            <w:r>
              <w:rPr>
                <w:b w:val="false"/>
                <w:bCs w:val="false"/>
                <w:sz w:val="20"/>
                <w:szCs w:val="20"/>
              </w:rPr>
              <w:t xml:space="preserve">Real volume behind the move, above the 1.5 confirmation threshold</w:t>
            </w:r>
          </w:p>
        </w:tc>
      </w:tr>
      <w:tr>
        <w:tc>
          <w:tcPr>
            <w:tcW w:type="pct" w:w="28%"/>
            <w:shd w:fill="F1EFE8" w:val="clear"/>
            <w:tcMar>
              <w:top w:type="dxa" w:w="100"/>
              <w:left w:type="dxa" w:w="140"/>
              <w:bottom w:type="dxa" w:w="100"/>
              <w:right w:type="dxa" w:w="140"/>
            </w:tcMar>
          </w:tcPr>
          <w:p>
            <w:r>
              <w:rPr>
                <w:b w:val="false"/>
                <w:bCs w:val="false"/>
                <w:sz w:val="20"/>
                <w:szCs w:val="20"/>
              </w:rPr>
              <w:t xml:space="preserve">Pattern Conf (%)</w:t>
            </w:r>
          </w:p>
        </w:tc>
        <w:tc>
          <w:tcPr>
            <w:tcW w:type="pct" w:w="22%"/>
            <w:shd w:fill="F1EFE8" w:val="clear"/>
            <w:tcMar>
              <w:top w:type="dxa" w:w="100"/>
              <w:left w:type="dxa" w:w="140"/>
              <w:bottom w:type="dxa" w:w="100"/>
              <w:right w:type="dxa" w:w="140"/>
            </w:tcMar>
          </w:tcPr>
          <w:p>
            <w:r>
              <w:rPr>
                <w:b w:val="false"/>
                <w:bCs w:val="false"/>
                <w:sz w:val="20"/>
                <w:szCs w:val="20"/>
              </w:rPr>
              <w:t xml:space="preserve">71.3</w:t>
            </w:r>
          </w:p>
        </w:tc>
        <w:tc>
          <w:tcPr>
            <w:tcW w:type="pct" w:w="50%"/>
            <w:shd w:fill="F1EFE8" w:val="clear"/>
            <w:tcMar>
              <w:top w:type="dxa" w:w="100"/>
              <w:left w:type="dxa" w:w="140"/>
              <w:bottom w:type="dxa" w:w="100"/>
              <w:right w:type="dxa" w:w="140"/>
            </w:tcMar>
          </w:tcPr>
          <w:p>
            <w:r>
              <w:rPr>
                <w:b w:val="false"/>
                <w:bCs w:val="false"/>
                <w:sz w:val="20"/>
                <w:szCs w:val="20"/>
              </w:rPr>
              <w:t xml:space="preserve">A historical analog was found with reasonably consistent past outcomes</w:t>
            </w:r>
          </w:p>
        </w:tc>
      </w:tr>
      <w:tr>
        <w:tc>
          <w:tcPr>
            <w:tcW w:type="pct" w:w="28%"/>
            <w:tcMar>
              <w:top w:type="dxa" w:w="100"/>
              <w:left w:type="dxa" w:w="140"/>
              <w:bottom w:type="dxa" w:w="100"/>
              <w:right w:type="dxa" w:w="140"/>
            </w:tcMar>
          </w:tcPr>
          <w:p>
            <w:r>
              <w:rPr>
                <w:b w:val="false"/>
                <w:bCs w:val="false"/>
                <w:sz w:val="20"/>
                <w:szCs w:val="20"/>
              </w:rPr>
              <w:t xml:space="preserve">Suggested Stop-Loss / Take-Profit</w:t>
            </w:r>
          </w:p>
        </w:tc>
        <w:tc>
          <w:tcPr>
            <w:tcW w:type="pct" w:w="22%"/>
            <w:tcMar>
              <w:top w:type="dxa" w:w="100"/>
              <w:left w:type="dxa" w:w="140"/>
              <w:bottom w:type="dxa" w:w="100"/>
              <w:right w:type="dxa" w:w="140"/>
            </w:tcMar>
          </w:tcPr>
          <w:p>
            <w:r>
              <w:rPr>
                <w:b w:val="false"/>
                <w:bCs w:val="false"/>
                <w:sz w:val="20"/>
                <w:szCs w:val="20"/>
              </w:rPr>
              <w:t xml:space="preserve">EGP 12.40 / EGP 14.90</w:t>
            </w:r>
          </w:p>
        </w:tc>
        <w:tc>
          <w:tcPr>
            <w:tcW w:type="pct" w:w="50%"/>
            <w:tcMar>
              <w:top w:type="dxa" w:w="100"/>
              <w:left w:type="dxa" w:w="140"/>
              <w:bottom w:type="dxa" w:w="100"/>
              <w:right w:type="dxa" w:w="140"/>
            </w:tcMar>
          </w:tcPr>
          <w:p>
            <w:r>
              <w:rPr>
                <w:b w:val="false"/>
                <w:bCs w:val="false"/>
                <w:sz w:val="20"/>
                <w:szCs w:val="20"/>
              </w:rPr>
              <w:t xml:space="preserve">Your risk plan, computed automatically from ATR and the pattern projection</w:t>
            </w:r>
          </w:p>
        </w:tc>
      </w:tr>
      <w:tr>
        <w:tc>
          <w:tcPr>
            <w:tcW w:type="pct" w:w="28%"/>
            <w:shd w:fill="F1EFE8" w:val="clear"/>
            <w:tcMar>
              <w:top w:type="dxa" w:w="100"/>
              <w:left w:type="dxa" w:w="140"/>
              <w:bottom w:type="dxa" w:w="100"/>
              <w:right w:type="dxa" w:w="140"/>
            </w:tcMar>
          </w:tcPr>
          <w:p>
            <w:r>
              <w:rPr>
                <w:b w:val="false"/>
                <w:bCs w:val="false"/>
                <w:sz w:val="20"/>
                <w:szCs w:val="20"/>
              </w:rPr>
              <w:t xml:space="preserve">Data Confidence</w:t>
            </w:r>
          </w:p>
        </w:tc>
        <w:tc>
          <w:tcPr>
            <w:tcW w:type="pct" w:w="22%"/>
            <w:shd w:fill="F1EFE8" w:val="clear"/>
            <w:tcMar>
              <w:top w:type="dxa" w:w="100"/>
              <w:left w:type="dxa" w:w="140"/>
              <w:bottom w:type="dxa" w:w="100"/>
              <w:right w:type="dxa" w:w="140"/>
            </w:tcMar>
          </w:tcPr>
          <w:p>
            <w:r>
              <w:rPr>
                <w:b w:val="false"/>
                <w:bCs w:val="false"/>
                <w:sz w:val="20"/>
                <w:szCs w:val="20"/>
              </w:rPr>
              <w:t xml:space="preserve">High (1Y+)</w:t>
            </w:r>
          </w:p>
        </w:tc>
        <w:tc>
          <w:tcPr>
            <w:tcW w:type="pct" w:w="50%"/>
            <w:shd w:fill="F1EFE8" w:val="clear"/>
            <w:tcMar>
              <w:top w:type="dxa" w:w="100"/>
              <w:left w:type="dxa" w:w="140"/>
              <w:bottom w:type="dxa" w:w="100"/>
              <w:right w:type="dxa" w:w="140"/>
            </w:tcMar>
          </w:tcPr>
          <w:p>
            <w:r>
              <w:rPr>
                <w:b w:val="false"/>
                <w:bCs w:val="false"/>
                <w:sz w:val="20"/>
                <w:szCs w:val="20"/>
              </w:rPr>
              <w:t xml:space="preserve">This isn't a thin, new listing — the score can be trusted at full weight</w:t>
            </w:r>
          </w:p>
        </w:tc>
      </w:tr>
    </w:tbl>
    <w:p>
      <w:pPr>
        <w:spacing w:after="120"/>
      </w:pPr>
    </w:p>
    <w:p>
      <w:pPr>
        <w:spacing w:after="160" w:line="300"/>
      </w:pPr>
      <w:r>
        <w:t xml:space="preserve">Every one of those fields is explained in Section 3. That's the point: nothing on this screen is a black box, and any trader can trace a score back to the specific rules that produced it.</w:t>
      </w:r>
    </w:p>
    <w:p>
      <w:r>
        <w:br w:type="page"/>
      </w:r>
    </w:p>
    <w:p>
      <w:pPr>
        <w:pStyle w:val="Heading1"/>
        <w:spacing w:after="200" w:before="400"/>
      </w:pPr>
      <w:r>
        <w:t xml:space="preserve">5. Frequently asked questions</w:t>
      </w:r>
    </w:p>
    <w:p>
      <w:pPr>
        <w:pStyle w:val="Heading3"/>
        <w:spacing w:after="100" w:before="200"/>
      </w:pPr>
      <w:r>
        <w:t xml:space="preserve">Is this financial advice?</w:t>
      </w:r>
    </w:p>
    <w:p>
      <w:pPr>
        <w:spacing w:after="160" w:line="300"/>
      </w:pPr>
      <w:r>
        <w:t xml:space="preserve">No. MB-EGX produces quantitative analytics — indicator outputs and pattern-matching results — for your own independent decision-making. See the full disclaimer in Section 6.</w:t>
      </w:r>
    </w:p>
    <w:p>
      <w:pPr>
        <w:pStyle w:val="Heading3"/>
        <w:spacing w:after="100" w:before="200"/>
      </w:pPr>
      <w:r>
        <w:t xml:space="preserve">Why did a stock I was watching disappear from the buy list?</w:t>
      </w:r>
    </w:p>
    <w:p>
      <w:pPr>
        <w:spacing w:after="160" w:line="300"/>
      </w:pPr>
      <w:r>
        <w:t xml:space="preserve">Most commonly: it fell below the liquidity floor, or its signal simply expired as the price/trend moved. Check the Illiquid or Sell/Avoid tags before assuming it's a bug.</w:t>
      </w:r>
    </w:p>
    <w:p>
      <w:pPr>
        <w:pStyle w:val="Heading3"/>
        <w:spacing w:after="100" w:before="200"/>
      </w:pPr>
      <w:r>
        <w:t xml:space="preserve">What does “Unconfirmed” mean, and should I ignore those signals?</w:t>
      </w:r>
    </w:p>
    <w:p>
      <w:pPr>
        <w:spacing w:after="160" w:line="300"/>
      </w:pPr>
      <w:r>
        <w:t xml:space="preserve">It means the base pattern (Strong Buy, Breakout, etc.) fired, but ADX and volume didn't confirm it yet. Treat these as early or weaker setups — not necessarily wrong, but lower conviction until confirmation shows up.</w:t>
      </w:r>
    </w:p>
    <w:p>
      <w:pPr>
        <w:pStyle w:val="Heading3"/>
        <w:spacing w:after="100" w:before="200"/>
      </w:pPr>
      <w:r>
        <w:t xml:space="preserve">Can I use this on my phone during market hours?</w:t>
      </w:r>
    </w:p>
    <w:p>
      <w:pPr>
        <w:spacing w:after="160" w:line="300"/>
      </w:pPr>
      <w:r>
        <w:t xml:space="preserve">Yes — the dashboard is browser-based and works on any device, showing the same live matrix, sector heatmap, and breakout watchlist wherever you sign in.</w:t>
      </w:r>
    </w:p>
    <w:p>
      <w:pPr>
        <w:pStyle w:val="Heading3"/>
        <w:spacing w:after="100" w:before="200"/>
      </w:pPr>
      <w:r>
        <w:t xml:space="preserve">Does the app place trades for me?</w:t>
      </w:r>
    </w:p>
    <w:p>
      <w:pPr>
        <w:spacing w:after="160" w:line="300"/>
      </w:pPr>
      <w:r>
        <w:t xml:space="preserve">No. All execution happens through your own licensed EGX broker (e.g. Thndr, EFG Hermes). The app never requests or holds trading capital.</w:t>
      </w:r>
    </w:p>
    <w:p>
      <w:r>
        <w:br w:type="page"/>
      </w:r>
    </w:p>
    <w:p>
      <w:pPr>
        <w:pStyle w:val="Heading1"/>
        <w:spacing w:after="200" w:before="400"/>
      </w:pPr>
      <w:r>
        <w:t xml:space="preserve">6. Legal and compliance summary</w:t>
      </w:r>
    </w:p>
    <w:p>
      <w:pPr>
        <w:spacing w:after="160" w:line="300"/>
      </w:pPr>
      <w:r>
        <w:t xml:space="preserve">This section summarizes the consent terms every user agrees to on sign-up. It is not a substitute for the full disclaimer text shown in the app.</w:t>
      </w:r>
    </w:p>
    <w:p>
      <w:pPr>
        <w:pStyle w:val="ListParagraph"/>
        <w:numPr>
          <w:ilvl w:val="0"/>
          <w:numId w:val="1"/>
        </w:numPr>
        <w:spacing w:after="90" w:line="280"/>
      </w:pPr>
      <w:r>
        <w:t xml:space="preserve">Informational and educational use only — this is not financial or investment advice.</w:t>
      </w:r>
    </w:p>
    <w:p>
      <w:pPr>
        <w:pStyle w:val="ListParagraph"/>
        <w:numPr>
          <w:ilvl w:val="0"/>
          <w:numId w:val="1"/>
        </w:numPr>
        <w:spacing w:after="90" w:line="280"/>
      </w:pPr>
      <w:r>
        <w:t xml:space="preserve">The app provides analytics (quantitative indicator outputs, pattern-matching results); it does not direct your specific trading actions and does not act as a portfolio manager.</w:t>
      </w:r>
    </w:p>
    <w:p>
      <w:pPr>
        <w:pStyle w:val="ListParagraph"/>
        <w:numPr>
          <w:ilvl w:val="0"/>
          <w:numId w:val="1"/>
        </w:numPr>
        <w:spacing w:after="90" w:line="280"/>
      </w:pPr>
      <w:r>
        <w:t xml:space="preserve">Providing licensed financial advisory or portfolio management requires authorization from the Egyptian Financial Regulatory Authority (FRA), which this software does not hold and does not claim to hold.</w:t>
      </w:r>
    </w:p>
    <w:p>
      <w:pPr>
        <w:pStyle w:val="ListParagraph"/>
        <w:numPr>
          <w:ilvl w:val="0"/>
          <w:numId w:val="1"/>
        </w:numPr>
        <w:spacing w:after="90" w:line="280"/>
      </w:pPr>
      <w:r>
        <w:t xml:space="preserve">You are solely responsible for your own trading decisions.</w:t>
      </w:r>
    </w:p>
    <w:p>
      <w:pPr>
        <w:pStyle w:val="ListParagraph"/>
        <w:numPr>
          <w:ilvl w:val="0"/>
          <w:numId w:val="1"/>
        </w:numPr>
        <w:spacing w:after="90" w:line="280"/>
      </w:pPr>
      <w:r>
        <w:t xml:space="preserve">The app never requests, holds, or accepts deposits of trading capital or funds.</w:t>
      </w:r>
    </w:p>
    <w:p>
      <w:pPr>
        <w:pStyle w:val="ListParagraph"/>
        <w:numPr>
          <w:ilvl w:val="0"/>
          <w:numId w:val="1"/>
        </w:numPr>
        <w:spacing w:after="90" w:line="280"/>
      </w:pPr>
      <w:r>
        <w:t xml:space="preserve">All trade execution happens through your own approved, licensed EGX broker.</w:t>
      </w:r>
    </w:p>
    <w:tbl>
      <w:tblPr>
        <w:tblW w:type="pct" w:w="100%"/>
        <w:tblBorders>
          <w:top w:val="single" w:color="0C447C" w:sz="4"/>
          <w:left w:val="single" w:color="0C447C" w:sz="24"/>
          <w:bottom w:val="single" w:color="0C447C" w:sz="4"/>
          <w:right w:val="single" w:color="0C447C" w:sz="4"/>
          <w:insideH w:val="none"/>
          <w:insideV w:val="none"/>
        </w:tblBorders>
      </w:tblPr>
      <w:tblGrid>
        <w:gridCol w:w="100"/>
      </w:tblGrid>
      <w:tr>
        <w:tc>
          <w:tcPr>
            <w:shd w:fill="F1EFE8" w:val="clear"/>
            <w:tcMar>
              <w:top w:type="dxa" w:w="160"/>
              <w:left w:type="dxa" w:w="240"/>
              <w:bottom w:type="dxa" w:w="160"/>
              <w:right w:type="dxa" w:w="240"/>
            </w:tcMar>
          </w:tcPr>
          <w:p>
            <w:pPr>
              <w:spacing w:after="60"/>
            </w:pPr>
            <w:r>
              <w:rPr>
                <w:b/>
                <w:bCs/>
                <w:color w:val="0C447C"/>
                <w:sz w:val="20"/>
                <w:szCs w:val="20"/>
              </w:rPr>
              <w:t xml:space="preserve">Bottom line</w:t>
            </w:r>
          </w:p>
          <w:p>
            <w:pPr>
              <w:spacing w:line="280"/>
            </w:pPr>
            <w:r>
              <w:rPr>
                <w:sz w:val="20"/>
                <w:szCs w:val="20"/>
              </w:rPr>
              <w:t xml:space="preserve">Use MB-EGX to see the market more clearly and make your own decisions with better information — not as a substitute for your own judgment or a licensed advisor.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C447C"/>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185FA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2026-08-07T01:56:47.783Z</dcterms:created>
  <dcterms:modified xsi:type="dcterms:W3CDTF">2026-08-07T01:56:47.783Z</dcterms:modified>
</cp:coreProperties>
</file>

<file path=docProps/custom.xml><?xml version="1.0" encoding="utf-8"?>
<Properties xmlns="http://schemas.openxmlformats.org/officeDocument/2006/custom-properties" xmlns:vt="http://schemas.openxmlformats.org/officeDocument/2006/docPropsVTypes"/>
</file>