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ink="http://schemas.microsoft.com/office/drawing/2016/ink" xmlns:dgm="http://schemas.openxmlformats.org/drawingml/2006/diagram">
  <w:body>
    <w:p w14:paraId="00000001">
      <w:pPr>
        <w:spacing w:line="480" w:lineRule="auto"/>
        <w:jc w:val="center"/>
        <w:rPr>
          <w:sz w:val="48"/>
          <w:szCs w:val="48"/>
          <w:lang w:val="en-US"/>
        </w:rPr>
      </w:pPr>
    </w:p>
    <w:p w14:paraId="00000002">
      <w:pPr>
        <w:spacing w:line="480" w:lineRule="auto"/>
        <w:jc w:val="center"/>
        <w:rPr>
          <w:sz w:val="48"/>
          <w:szCs w:val="48"/>
          <w:lang w:val="en-US"/>
        </w:rPr>
      </w:pPr>
    </w:p>
    <w:p w14:paraId="00000003">
      <w:pPr>
        <w:spacing w:line="480" w:lineRule="auto"/>
        <w:jc w:val="center"/>
        <w:rPr>
          <w:b/>
          <w:bCs/>
          <w:sz w:val="48"/>
          <w:szCs w:val="48"/>
          <w:lang w:val="en-US"/>
        </w:rPr>
      </w:pPr>
    </w:p>
    <w:p w14:paraId="00000004">
      <w:pPr>
        <w:spacing w:line="240" w:lineRule="auto"/>
        <w:jc w:val="center"/>
        <w:rPr>
          <w:b/>
          <w:bCs/>
          <w:sz w:val="48"/>
          <w:szCs w:val="48"/>
          <w:lang w:val="en-US"/>
        </w:rPr>
      </w:pPr>
      <w:r>
        <w:rPr>
          <w:b/>
          <w:bCs/>
          <w:sz w:val="48"/>
          <w:szCs w:val="48"/>
          <w:lang w:val="en-US"/>
        </w:rPr>
        <w:t xml:space="preserve">Predictive Modeling for Workforce Retention: A CRISP-DM Approach to Mitigating Attrition at </w:t>
      </w:r>
      <w:r>
        <w:rPr>
          <w:b/>
          <w:bCs/>
          <w:sz w:val="48"/>
          <w:szCs w:val="48"/>
          <w:lang w:val="en-US"/>
        </w:rPr>
        <w:t>TechCorp</w:t>
      </w:r>
    </w:p>
    <w:p w14:paraId="00000005">
      <w:pPr>
        <w:spacing w:line="480" w:lineRule="auto"/>
        <w:jc w:val="center"/>
        <w:rPr>
          <w:lang w:val="en-US"/>
        </w:rPr>
      </w:pPr>
    </w:p>
    <w:p w14:paraId="00000006">
      <w:pPr>
        <w:spacing w:line="480" w:lineRule="auto"/>
        <w:jc w:val="center"/>
        <w:rPr/>
      </w:pPr>
      <w:r>
        <w:rPr>
          <w:lang w:val="en-US"/>
        </w:rPr>
        <w:t>Mario Miguel Benjamin Garnett Lopez</w:t>
      </w:r>
    </w:p>
    <w:p w14:paraId="00000007">
      <w:pPr>
        <w:pStyle w:val="Normal"/>
        <w:spacing w:line="480" w:lineRule="auto"/>
        <w:jc w:val="center"/>
        <w:rPr/>
      </w:pPr>
      <w:r>
        <w:rPr>
          <w:lang w:val="en-US"/>
        </w:rPr>
        <w:t>April 19, 2026</w:t>
      </w:r>
    </w:p>
    <w:p w14:paraId="00000008">
      <w:pPr>
        <w:spacing w:line="480" w:lineRule="auto"/>
        <w:jc w:val="center"/>
        <w:rPr>
          <w:lang w:val="en-US"/>
        </w:rPr>
      </w:pPr>
    </w:p>
    <w:p w14:paraId="00000009">
      <w:r>
        <w:rPr/>
        <w:br w:type="page"/>
      </w:r>
    </w:p>
    <w:p w14:paraId="0000000A">
      <w:pPr>
        <w:pStyle w:val="Normal"/>
        <w:spacing w:line="480" w:lineRule="auto"/>
        <w:jc w:val="left"/>
        <w:rPr>
          <w:b w:val="off"/>
          <w:bCs w:val="off"/>
          <w:i/>
          <w:iCs/>
          <w:sz w:val="36"/>
          <w:szCs w:val="36"/>
          <w:u w:val="single"/>
          <w:lang w:val="en-US"/>
        </w:rPr>
      </w:pPr>
      <w:r>
        <w:rPr>
          <w:b w:val="off"/>
          <w:bCs w:val="off"/>
          <w:i/>
          <w:iCs/>
          <w:sz w:val="36"/>
          <w:szCs w:val="36"/>
          <w:u w:val="single"/>
          <w:lang w:val="en-US"/>
        </w:rPr>
        <w:t>1.2 Abstract</w:t>
      </w:r>
    </w:p>
    <w:p w14:paraId="0000000B">
      <w:pPr>
        <w:pStyle w:val="Normal"/>
        <w:spacing w:line="480" w:lineRule="auto"/>
        <w:ind w:firstLine="708"/>
        <w:jc w:val="left"/>
        <w:rPr>
          <w:lang w:val="en-US"/>
        </w:rPr>
      </w:pPr>
      <w:r>
        <w:rPr>
          <w:lang w:val="en-US"/>
        </w:rPr>
        <w:t xml:space="preserve">Keywords: CRISP-DM, Employee Attrition, Logistic Regression, </w:t>
      </w:r>
      <w:r>
        <w:rPr>
          <w:lang w:val="en-US"/>
        </w:rPr>
        <w:t xml:space="preserve">Random Oversampling, </w:t>
      </w:r>
      <w:r>
        <w:rPr>
          <w:lang w:val="en-US"/>
        </w:rPr>
        <w:t>Predictive Analytics, HR Informatics, Workforce Retention.</w:t>
      </w:r>
    </w:p>
    <w:p w14:paraId="0000000C">
      <w:pPr>
        <w:pStyle w:val="Normal"/>
        <w:spacing w:line="480" w:lineRule="auto"/>
        <w:jc w:val="left"/>
        <w:rPr>
          <w:lang w:val="en-US"/>
        </w:rPr>
      </w:pPr>
    </w:p>
    <w:p w14:paraId="0000000D">
      <w:pPr>
        <w:pStyle w:val="Normal"/>
        <w:spacing w:line="480" w:lineRule="auto"/>
        <w:ind w:firstLine="708"/>
        <w:jc w:val="left"/>
        <w:rPr/>
      </w:pPr>
      <w:r>
        <w:rPr>
          <w:lang w:val="en-US"/>
        </w:rPr>
        <w:t>The topic of this research is related to the problem of employee attrition on a systematic level in "</w:t>
      </w:r>
      <w:r>
        <w:rPr>
          <w:lang w:val="en-US"/>
        </w:rPr>
        <w:t>TechCorp</w:t>
      </w:r>
      <w:r>
        <w:rPr>
          <w:lang w:val="en-US"/>
        </w:rPr>
        <w:t>"</w:t>
      </w:r>
      <w:r>
        <w:rPr>
          <w:lang w:val="en-US"/>
        </w:rPr>
        <w:t>, a high</w:t>
      </w:r>
      <w:r>
        <w:rPr>
          <w:lang w:val="en-US"/>
        </w:rPr>
        <w:t xml:space="preserve">-tech company that is estimated to be experiencing losses from this process amounting to around $30 million per year. Given the nature of today's talent war, losing key employees </w:t>
      </w:r>
      <w:r>
        <w:rPr>
          <w:lang w:val="en-US"/>
        </w:rPr>
        <w:t>not only constitutes</w:t>
      </w:r>
      <w:r>
        <w:rPr>
          <w:lang w:val="en-US"/>
        </w:rPr>
        <w:t xml:space="preserve"> a direct financial cost but also implies the loss of valuable knowledge base for the company. Shifting away from the usual reactionary approach typical of Human Resource management methods, which include exit interviews, this study </w:t>
      </w:r>
      <w:r>
        <w:rPr>
          <w:lang w:val="en-US"/>
        </w:rPr>
        <w:t>uses</w:t>
      </w:r>
      <w:r>
        <w:rPr>
          <w:lang w:val="en-US"/>
        </w:rPr>
        <w:t xml:space="preserve"> a predictive analytics model, known as CRISP-DM.</w:t>
      </w:r>
    </w:p>
    <w:p w14:paraId="0000000E">
      <w:pPr>
        <w:pStyle w:val="Normal"/>
        <w:spacing w:line="480" w:lineRule="auto"/>
        <w:ind w:firstLine="0"/>
        <w:jc w:val="left"/>
        <w:rPr>
          <w:lang w:val="en-US"/>
        </w:rPr>
      </w:pPr>
    </w:p>
    <w:p w14:paraId="0000000F">
      <w:pPr>
        <w:pStyle w:val="Normal"/>
        <w:spacing w:line="480" w:lineRule="auto"/>
        <w:ind w:firstLine="708"/>
        <w:jc w:val="left"/>
        <w:rPr>
          <w:lang w:val="en-US"/>
        </w:rPr>
      </w:pPr>
      <w:r>
        <w:rPr>
          <w:lang w:val="en-US"/>
        </w:rPr>
        <w:t>In addition, as part of the implementation of the IBM HR Analytics Employee Attrition &amp; Performance data set, the project examines 35 unique attributes, including performance, demographics, and behavior.</w:t>
      </w:r>
      <w:r>
        <w:rPr>
          <w:lang w:val="en-US"/>
        </w:rPr>
        <w:t xml:space="preserve"> Techniques employed during the process of analysis include cleansing of the data, feature extraction, and class balancing with the use </w:t>
      </w:r>
      <w:r>
        <w:rPr>
          <w:lang w:val="en-US"/>
        </w:rPr>
        <w:t xml:space="preserve">of </w:t>
      </w:r>
      <w:r>
        <w:rPr>
          <w:lang w:val="en-US"/>
        </w:rPr>
        <w:t>Random Oversampling</w:t>
      </w:r>
      <w:r>
        <w:rPr>
          <w:lang w:val="en-US"/>
        </w:rPr>
        <w:t>. In view of the comparative</w:t>
      </w:r>
      <w:r>
        <w:rPr>
          <w:lang w:val="en-US"/>
        </w:rPr>
        <w:t xml:space="preserve"> </w:t>
      </w:r>
      <w:r>
        <w:rPr>
          <w:lang w:val="en-US"/>
        </w:rPr>
        <w:t xml:space="preserve">evaluation of the selected models, the most suitable </w:t>
      </w:r>
      <w:r>
        <w:rPr>
          <w:lang w:val="en-US"/>
        </w:rPr>
        <w:t>option</w:t>
      </w:r>
      <w:r>
        <w:rPr>
          <w:lang w:val="en-US"/>
        </w:rPr>
        <w:t xml:space="preserve"> for predicting employee </w:t>
      </w:r>
      <w:r>
        <w:rPr>
          <w:lang w:val="en-US"/>
        </w:rPr>
        <w:t>Turnover</w:t>
      </w:r>
      <w:r>
        <w:rPr>
          <w:lang w:val="en-US"/>
        </w:rPr>
        <w:t xml:space="preserve"> involves Logistic Regression with a recall level of 66%. It signifies that the </w:t>
      </w:r>
      <w:r>
        <w:rPr>
          <w:lang w:val="en-US"/>
        </w:rPr>
        <w:t>algor</w:t>
      </w:r>
      <w:r>
        <w:rPr>
          <w:lang w:val="en-US"/>
        </w:rPr>
        <w:t>ithm man</w:t>
      </w:r>
      <w:r>
        <w:rPr>
          <w:lang w:val="en-US"/>
        </w:rPr>
        <w:t xml:space="preserve">ages to </w:t>
      </w:r>
      <w:r>
        <w:rPr>
          <w:lang w:val="en-US"/>
        </w:rPr>
        <w:t>identify</w:t>
      </w:r>
      <w:r>
        <w:rPr>
          <w:lang w:val="en-US"/>
        </w:rPr>
        <w:t xml:space="preserve"> two-thirds of potential leavers in advance before they quit.</w:t>
      </w:r>
    </w:p>
    <w:p w14:paraId="00000010">
      <w:pPr>
        <w:pStyle w:val="Normal"/>
        <w:spacing w:line="480" w:lineRule="auto"/>
        <w:ind w:firstLine="708"/>
        <w:jc w:val="left"/>
        <w:rPr>
          <w:lang w:val="en-US"/>
        </w:rPr>
      </w:pPr>
      <w:r>
        <w:rPr>
          <w:lang w:val="en-US"/>
        </w:rPr>
        <w:t>We would like to stress that the principal indicators of employee turnover include</w:t>
      </w:r>
      <w:r>
        <w:rPr>
          <w:lang w:val="en-US"/>
        </w:rPr>
        <w:t xml:space="preserve"> </w:t>
      </w:r>
      <w:r>
        <w:rPr>
          <w:lang w:val="en-US"/>
        </w:rPr>
        <w:t xml:space="preserve">"Overtime frequency," "Monthly Income," and "Age." </w:t>
      </w:r>
      <w:r>
        <w:rPr>
          <w:lang w:val="en-US"/>
        </w:rPr>
        <w:t xml:space="preserve">In view of the findings contained in the conclusion of this report, </w:t>
      </w:r>
      <w:r>
        <w:rPr>
          <w:lang w:val="en-US"/>
        </w:rPr>
        <w:t>it</w:t>
      </w:r>
      <w:r>
        <w:rPr>
          <w:lang w:val="en-US"/>
        </w:rPr>
        <w:t xml:space="preserve"> is necessary to develop a highly effective 90-day plan using "Stay Interviews." By embracing ethics in handling data and the use of mathematics and human resource management, </w:t>
      </w:r>
      <w:r>
        <w:rPr>
          <w:lang w:val="en-US"/>
        </w:rPr>
        <w:t>We</w:t>
      </w:r>
      <w:r>
        <w:rPr>
          <w:lang w:val="en-US"/>
        </w:rPr>
        <w:t xml:space="preserve"> have developed a manual for </w:t>
      </w:r>
      <w:r>
        <w:rPr>
          <w:lang w:val="en-US"/>
        </w:rPr>
        <w:t>TechCorp</w:t>
      </w:r>
      <w:r>
        <w:rPr>
          <w:lang w:val="en-US"/>
        </w:rPr>
        <w:t>.</w:t>
      </w:r>
    </w:p>
    <w:p w14:paraId="00000011">
      <w:pPr>
        <w:pStyle w:val="Normal"/>
        <w:spacing w:line="480" w:lineRule="auto"/>
        <w:ind w:firstLine="0"/>
        <w:jc w:val="left"/>
        <w:rPr>
          <w:b/>
          <w:bCs/>
          <w:sz w:val="40"/>
          <w:szCs w:val="40"/>
          <w:u w:val="single"/>
          <w:lang w:val="en-US"/>
        </w:rPr>
      </w:pPr>
    </w:p>
    <w:p w14:paraId="00000012">
      <w:pPr>
        <w:pStyle w:val="Normal"/>
        <w:spacing w:line="480" w:lineRule="auto"/>
        <w:ind w:firstLine="0"/>
        <w:jc w:val="left"/>
        <w:rPr>
          <w:b w:val="off"/>
          <w:bCs w:val="off"/>
          <w:i/>
          <w:iCs/>
          <w:sz w:val="36"/>
          <w:szCs w:val="36"/>
          <w:u w:val="single"/>
          <w:lang w:val="en-US"/>
        </w:rPr>
      </w:pPr>
      <w:r>
        <w:rPr>
          <w:b w:val="off"/>
          <w:bCs w:val="off"/>
          <w:i/>
          <w:iCs/>
          <w:sz w:val="36"/>
          <w:szCs w:val="36"/>
          <w:u w:val="single"/>
          <w:lang w:val="en-US"/>
        </w:rPr>
        <w:t>1.3 Table of contents</w:t>
      </w:r>
    </w:p>
    <w:p w14:paraId="00000013">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1. Cover Page, Abstract, and Indexes</w:t>
      </w:r>
      <w:r>
        <w:rPr>
          <w:rFonts w:ascii="Times New Roman" w:cs="Times New Roman" w:eastAsia="Times New Roman" w:hAnsi="Times New Roman"/>
          <w:b/>
          <w:bCs/>
          <w:sz w:val="24"/>
          <w:szCs w:val="24"/>
          <w:lang w:val="en-US"/>
        </w:rPr>
        <w:t xml:space="preserve"> ..................................................................... 1</w:t>
      </w:r>
    </w:p>
    <w:p w14:paraId="00000014">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2. Introduction</w:t>
      </w:r>
      <w:r>
        <w:rPr>
          <w:rFonts w:ascii="Times New Roman" w:cs="Times New Roman" w:eastAsia="Times New Roman" w:hAnsi="Times New Roman"/>
          <w:b/>
          <w:bCs/>
          <w:sz w:val="24"/>
          <w:szCs w:val="24"/>
          <w:lang w:val="en-US"/>
        </w:rPr>
        <w:t xml:space="preserve"> .......................................................................................................... </w:t>
      </w:r>
      <w:r>
        <w:rPr>
          <w:rFonts w:ascii="Times New Roman" w:cs="Times New Roman" w:eastAsia="Times New Roman" w:hAnsi="Times New Roman"/>
          <w:b/>
          <w:bCs/>
          <w:sz w:val="24"/>
          <w:szCs w:val="24"/>
          <w:lang w:val="en-US"/>
        </w:rPr>
        <w:t>5</w:t>
      </w:r>
    </w:p>
    <w:p w14:paraId="00000015">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2.1 Project Overview</w:t>
      </w:r>
      <w:r>
        <w:rPr>
          <w:rFonts w:ascii="Times New Roman" w:cs="Times New Roman" w:eastAsia="Times New Roman" w:hAnsi="Times New Roman"/>
          <w:b/>
          <w:bCs/>
          <w:sz w:val="24"/>
          <w:szCs w:val="24"/>
          <w:lang w:val="en-US"/>
        </w:rPr>
        <w:t xml:space="preserve"> and the “War of Talent” ...........................................................</w:t>
      </w:r>
      <w:r>
        <w:rPr>
          <w:rFonts w:ascii="Times New Roman" w:cs="Times New Roman" w:eastAsia="Times New Roman" w:hAnsi="Times New Roman"/>
          <w:b/>
          <w:bCs/>
          <w:sz w:val="24"/>
          <w:szCs w:val="24"/>
          <w:lang w:val="en-US"/>
        </w:rPr>
        <w:t>5</w:t>
      </w:r>
    </w:p>
    <w:p w14:paraId="00000016">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2.2 Organizational Context ........................................................................................ 6</w:t>
      </w:r>
    </w:p>
    <w:p w14:paraId="00000017">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2.3 </w:t>
      </w:r>
      <w:r>
        <w:rPr>
          <w:rFonts w:ascii="Times New Roman" w:cs="Times New Roman" w:eastAsia="Times New Roman" w:hAnsi="Times New Roman"/>
          <w:b/>
          <w:bCs/>
          <w:sz w:val="24"/>
          <w:szCs w:val="24"/>
          <w:lang w:val="en-US"/>
        </w:rPr>
        <w:t>The Evolution of HR: From Reactive to Predictive Analytics.</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xml:space="preserve"> 8</w:t>
      </w:r>
    </w:p>
    <w:p w14:paraId="00000018">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3. Literature Review</w:t>
      </w:r>
      <w:r>
        <w:rPr>
          <w:rFonts w:ascii="Times New Roman" w:cs="Times New Roman" w:eastAsia="Times New Roman" w:hAnsi="Times New Roman"/>
          <w:b/>
          <w:bCs/>
          <w:sz w:val="24"/>
          <w:szCs w:val="24"/>
          <w:lang w:val="en-US"/>
        </w:rPr>
        <w:t xml:space="preserve"> ............................................................................................... 10</w:t>
      </w:r>
    </w:p>
    <w:p w14:paraId="00000019">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3.1 </w:t>
      </w:r>
      <w:r>
        <w:rPr>
          <w:rFonts w:ascii="Times New Roman" w:cs="Times New Roman" w:eastAsia="Times New Roman" w:hAnsi="Times New Roman"/>
          <w:b/>
          <w:bCs/>
          <w:sz w:val="24"/>
          <w:szCs w:val="24"/>
          <w:lang w:val="en-US"/>
        </w:rPr>
        <w:t>The Economic and Organizational Impact of Attrition</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xml:space="preserve"> 10</w:t>
      </w:r>
    </w:p>
    <w:p w14:paraId="0000001A">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3.2 Theoretical Framework: Job Embeddedness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13</w:t>
      </w:r>
    </w:p>
    <w:p w14:paraId="0000001B">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3.3 </w:t>
      </w:r>
      <w:r>
        <w:rPr>
          <w:rFonts w:ascii="Times New Roman" w:cs="Times New Roman" w:eastAsia="Times New Roman" w:hAnsi="Times New Roman"/>
          <w:b/>
          <w:bCs/>
          <w:sz w:val="24"/>
          <w:szCs w:val="24"/>
          <w:lang w:val="en-US"/>
        </w:rPr>
        <w:t>Predictive Analytics and the CRISP-DM Standard</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16</w:t>
      </w:r>
    </w:p>
    <w:p w14:paraId="0000001C">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3.4 Summary of Top Attrition Drivers in Tech.......................................................</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17</w:t>
      </w:r>
    </w:p>
    <w:p w14:paraId="0000001D">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4. Identification of Study Object</w:t>
      </w:r>
      <w:r>
        <w:rPr>
          <w:rFonts w:ascii="Times New Roman" w:cs="Times New Roman" w:eastAsia="Times New Roman" w:hAnsi="Times New Roman"/>
          <w:b/>
          <w:bCs/>
          <w:sz w:val="24"/>
          <w:szCs w:val="24"/>
          <w:lang w:val="en-US"/>
        </w:rPr>
        <w:t xml:space="preserve"> ........................................................................... 19</w:t>
      </w:r>
    </w:p>
    <w:p w14:paraId="0000001E">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4.1 Dataset Origin and Contextual Selection.............................................................19</w:t>
      </w:r>
    </w:p>
    <w:p w14:paraId="0000001F">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4.2 Structural Overview and Variable Matrix............................................................20</w:t>
      </w:r>
    </w:p>
    <w:p w14:paraId="00000020">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4.3 Data Quality and Metadat</w:t>
      </w:r>
      <w:r>
        <w:rPr>
          <w:rFonts w:ascii="Times New Roman" w:cs="Times New Roman" w:eastAsia="Times New Roman" w:hAnsi="Times New Roman"/>
          <w:b/>
          <w:bCs/>
          <w:sz w:val="24"/>
          <w:szCs w:val="24"/>
          <w:lang w:val="en-US"/>
        </w:rPr>
        <w:t>a</w:t>
      </w:r>
      <w:r>
        <w:rPr>
          <w:rFonts w:ascii="Times New Roman" w:cs="Times New Roman" w:eastAsia="Times New Roman" w:hAnsi="Times New Roman"/>
          <w:b/>
          <w:bCs/>
          <w:sz w:val="24"/>
          <w:szCs w:val="24"/>
          <w:lang w:val="en-US"/>
        </w:rPr>
        <w:t xml:space="preserve"> Analysis........</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21</w:t>
      </w:r>
    </w:p>
    <w:p w14:paraId="00000021">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4.4</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Appropiateness</w:t>
      </w:r>
      <w:r>
        <w:rPr>
          <w:rFonts w:ascii="Times New Roman" w:cs="Times New Roman" w:eastAsia="Times New Roman" w:hAnsi="Times New Roman"/>
          <w:b/>
          <w:bCs/>
          <w:sz w:val="24"/>
          <w:szCs w:val="24"/>
          <w:lang w:val="en-US"/>
        </w:rPr>
        <w:t xml:space="preserve"> for the </w:t>
      </w:r>
      <w:r>
        <w:rPr>
          <w:rFonts w:ascii="Times New Roman" w:cs="Times New Roman" w:eastAsia="Times New Roman" w:hAnsi="Times New Roman"/>
          <w:b/>
          <w:bCs/>
          <w:sz w:val="24"/>
          <w:szCs w:val="24"/>
          <w:lang w:val="en-US"/>
        </w:rPr>
        <w:t>TechCorp</w:t>
      </w:r>
      <w:r>
        <w:rPr>
          <w:rFonts w:ascii="Times New Roman" w:cs="Times New Roman" w:eastAsia="Times New Roman" w:hAnsi="Times New Roman"/>
          <w:b/>
          <w:bCs/>
          <w:sz w:val="24"/>
          <w:szCs w:val="24"/>
          <w:lang w:val="en-US"/>
        </w:rPr>
        <w:t xml:space="preserve"> Case Study..........</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21</w:t>
      </w:r>
    </w:p>
    <w:p w14:paraId="00000022">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5. Problem Statement and Objectives</w:t>
      </w:r>
      <w:r>
        <w:rPr>
          <w:rFonts w:ascii="Times New Roman" w:cs="Times New Roman" w:eastAsia="Times New Roman" w:hAnsi="Times New Roman"/>
          <w:b/>
          <w:bCs/>
          <w:sz w:val="24"/>
          <w:szCs w:val="24"/>
          <w:lang w:val="en-US"/>
        </w:rPr>
        <w:t xml:space="preserve"> ................................................................... 22</w:t>
      </w:r>
    </w:p>
    <w:p w14:paraId="00000023">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5.1 Detailed Problem Statement..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..22</w:t>
      </w:r>
    </w:p>
    <w:p w14:paraId="00000024">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5.2 General Objective......</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........23</w:t>
      </w:r>
    </w:p>
    <w:p w14:paraId="00000025">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5.3 Specific Objectives........</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.24</w:t>
      </w:r>
    </w:p>
    <w:p w14:paraId="00000026">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5.4</w:t>
      </w:r>
      <w:r>
        <w:rPr>
          <w:rFonts w:ascii="Times New Roman" w:cs="Times New Roman" w:eastAsia="Times New Roman" w:hAnsi="Times New Roman"/>
          <w:b/>
          <w:bCs/>
          <w:sz w:val="24"/>
          <w:szCs w:val="24"/>
          <w:lang w:val="en-US"/>
        </w:rPr>
        <w:t xml:space="preserve"> Success Criteria..............</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.24</w:t>
      </w:r>
    </w:p>
    <w:p w14:paraId="00000027">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6. Methodology</w:t>
      </w:r>
      <w:r>
        <w:rPr>
          <w:rFonts w:ascii="Times New Roman" w:cs="Times New Roman" w:eastAsia="Times New Roman" w:hAnsi="Times New Roman"/>
          <w:b/>
          <w:bCs/>
          <w:sz w:val="24"/>
          <w:szCs w:val="24"/>
          <w:lang w:val="en-US"/>
        </w:rPr>
        <w:t xml:space="preserve"> ........................................................................................................ 25</w:t>
      </w:r>
    </w:p>
    <w:p w14:paraId="00000028">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6.1 The CRISP-DM Framework..........</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.25</w:t>
      </w:r>
    </w:p>
    <w:p w14:paraId="00000029">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6.2 Phase 1: Business Understanding.....</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w:t>
      </w:r>
      <w:r>
        <w:rPr>
          <w:rFonts w:ascii="Times New Roman" w:cs="Times New Roman" w:eastAsia="Times New Roman" w:hAnsi="Times New Roman"/>
          <w:b/>
          <w:bCs/>
          <w:sz w:val="24"/>
          <w:szCs w:val="24"/>
          <w:lang w:val="en-US"/>
        </w:rPr>
        <w:t>5</w:t>
      </w:r>
    </w:p>
    <w:p w14:paraId="0000002A">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6.3 Phase 2: Data Understanding.......</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w:t>
      </w:r>
      <w:r>
        <w:rPr>
          <w:rFonts w:ascii="Times New Roman" w:cs="Times New Roman" w:eastAsia="Times New Roman" w:hAnsi="Times New Roman"/>
          <w:b/>
          <w:bCs/>
          <w:sz w:val="24"/>
          <w:szCs w:val="24"/>
          <w:lang w:val="en-US"/>
        </w:rPr>
        <w:t>6</w:t>
      </w:r>
    </w:p>
    <w:p w14:paraId="0000002B">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6.4</w:t>
      </w:r>
      <w:r>
        <w:rPr>
          <w:rFonts w:ascii="Times New Roman" w:cs="Times New Roman" w:eastAsia="Times New Roman" w:hAnsi="Times New Roman"/>
          <w:b/>
          <w:bCs/>
          <w:sz w:val="24"/>
          <w:szCs w:val="24"/>
          <w:lang w:val="en-US"/>
        </w:rPr>
        <w:t xml:space="preserve"> Phase 3:</w:t>
      </w:r>
      <w:r>
        <w:rPr>
          <w:rFonts w:ascii="Times New Roman" w:cs="Times New Roman" w:eastAsia="Times New Roman" w:hAnsi="Times New Roman"/>
          <w:b/>
          <w:bCs/>
          <w:sz w:val="24"/>
          <w:szCs w:val="24"/>
          <w:lang w:val="en-US"/>
        </w:rPr>
        <w:t xml:space="preserve"> Data Preparation (The Engineering </w:t>
      </w:r>
      <w:r>
        <w:rPr>
          <w:rFonts w:ascii="Times New Roman" w:cs="Times New Roman" w:eastAsia="Times New Roman" w:hAnsi="Times New Roman"/>
          <w:b/>
          <w:bCs/>
          <w:sz w:val="24"/>
          <w:szCs w:val="24"/>
          <w:lang w:val="en-US"/>
        </w:rPr>
        <w:t>Phase)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.27</w:t>
      </w:r>
    </w:p>
    <w:p w14:paraId="0000002C">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6.5</w:t>
      </w:r>
      <w:r>
        <w:rPr>
          <w:rFonts w:ascii="Times New Roman" w:cs="Times New Roman" w:eastAsia="Times New Roman" w:hAnsi="Times New Roman"/>
          <w:b/>
          <w:bCs/>
          <w:sz w:val="24"/>
          <w:szCs w:val="24"/>
          <w:lang w:val="en-US"/>
        </w:rPr>
        <w:t xml:space="preserve"> Phase 4:</w:t>
      </w:r>
      <w:r>
        <w:rPr>
          <w:rFonts w:ascii="Times New Roman" w:cs="Times New Roman" w:eastAsia="Times New Roman" w:hAnsi="Times New Roman"/>
          <w:b/>
          <w:bCs/>
          <w:sz w:val="24"/>
          <w:szCs w:val="24"/>
          <w:lang w:val="en-US"/>
        </w:rPr>
        <w:t xml:space="preserve"> Modeling Strategy</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.28</w:t>
      </w:r>
    </w:p>
    <w:p w14:paraId="0000002D">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6.6</w:t>
      </w:r>
      <w:r>
        <w:rPr>
          <w:rFonts w:ascii="Times New Roman" w:cs="Times New Roman" w:eastAsia="Times New Roman" w:hAnsi="Times New Roman"/>
          <w:b/>
          <w:bCs/>
          <w:sz w:val="24"/>
          <w:szCs w:val="24"/>
          <w:lang w:val="en-US"/>
        </w:rPr>
        <w:t xml:space="preserve"> Phase 5:</w:t>
      </w:r>
      <w:r>
        <w:rPr>
          <w:rFonts w:ascii="Times New Roman" w:cs="Times New Roman" w:eastAsia="Times New Roman" w:hAnsi="Times New Roman"/>
          <w:b/>
          <w:bCs/>
          <w:sz w:val="24"/>
          <w:szCs w:val="24"/>
          <w:lang w:val="en-US"/>
        </w:rPr>
        <w:t xml:space="preserve"> Evaluation Framework................</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29</w:t>
      </w:r>
    </w:p>
    <w:p w14:paraId="0000002E">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7. Results</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30</w:t>
      </w:r>
    </w:p>
    <w:p w14:paraId="0000002F">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7.1 Model Performance Comparison............</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30</w:t>
      </w:r>
    </w:p>
    <w:p w14:paraId="00000030">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7.2 The Accuracy vs Recall Paradox.........</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.31</w:t>
      </w:r>
    </w:p>
    <w:p w14:paraId="00000031">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7.3 Primary Drivers of Attrition (Coeff</w:t>
      </w:r>
      <w:r>
        <w:rPr>
          <w:rFonts w:ascii="Times New Roman" w:cs="Times New Roman" w:eastAsia="Times New Roman" w:hAnsi="Times New Roman"/>
          <w:b/>
          <w:bCs/>
          <w:sz w:val="24"/>
          <w:szCs w:val="24"/>
          <w:lang w:val="en-US"/>
        </w:rPr>
        <w:t>icient Analysis)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32</w:t>
      </w:r>
    </w:p>
    <w:p w14:paraId="00000032">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7.4</w:t>
      </w:r>
      <w:r>
        <w:rPr>
          <w:rFonts w:ascii="Times New Roman" w:cs="Times New Roman" w:eastAsia="Times New Roman" w:hAnsi="Times New Roman"/>
          <w:b/>
          <w:bCs/>
          <w:sz w:val="24"/>
          <w:szCs w:val="24"/>
          <w:lang w:val="en-US"/>
        </w:rPr>
        <w:t xml:space="preserve"> Visual Interpretation of the Results.................</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33</w:t>
      </w:r>
    </w:p>
    <w:p w14:paraId="00000033">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8. Discussion and Proposed Solution</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34</w:t>
      </w:r>
    </w:p>
    <w:p w14:paraId="00000034">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9. Conclusions and Recommendations</w:t>
      </w:r>
      <w:r>
        <w:rPr>
          <w:rFonts w:ascii="Times New Roman" w:cs="Times New Roman" w:eastAsia="Times New Roman" w:hAnsi="Times New Roman"/>
          <w:b/>
          <w:bCs/>
          <w:sz w:val="24"/>
          <w:szCs w:val="24"/>
          <w:lang w:val="en-US"/>
        </w:rPr>
        <w:t xml:space="preserve"> .................................................................. 38</w:t>
      </w:r>
    </w:p>
    <w:p w14:paraId="00000035">
      <w:p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10. References and Annexes</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40</w:t>
      </w:r>
    </w:p>
    <w:p w14:paraId="00000036">
      <w:pPr>
        <w:pStyle w:val="Normal"/>
        <w:spacing w:line="480" w:lineRule="auto"/>
        <w:ind w:firstLine="0"/>
        <w:jc w:val="left"/>
        <w:rPr>
          <w:lang w:val="en-US"/>
        </w:rPr>
      </w:pPr>
    </w:p>
    <w:p w14:paraId="00000037">
      <w:pPr>
        <w:pStyle w:val="Normal"/>
        <w:spacing w:line="480" w:lineRule="auto"/>
        <w:ind w:firstLine="0"/>
        <w:jc w:val="left"/>
        <w:rPr>
          <w:b w:val="off"/>
          <w:bCs w:val="off"/>
          <w:i/>
          <w:iCs/>
          <w:sz w:val="36"/>
          <w:szCs w:val="36"/>
          <w:u w:val="single"/>
          <w:lang w:val="en-US"/>
        </w:rPr>
      </w:pPr>
      <w:r>
        <w:rPr>
          <w:b w:val="off"/>
          <w:bCs w:val="off"/>
          <w:i/>
          <w:iCs/>
          <w:sz w:val="36"/>
          <w:szCs w:val="36"/>
          <w:u w:val="single"/>
          <w:lang w:val="en-US"/>
        </w:rPr>
        <w:t>1.4 List of Tables</w:t>
      </w:r>
    </w:p>
    <w:p w14:paraId="00000038">
      <w:pPr>
        <w:pStyle w:val="ListParagraph"/>
        <w:numPr>
          <w:ilvl w:val="0"/>
          <w:numId w:val="40"/>
        </w:num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Table 1:</w:t>
      </w:r>
      <w:r>
        <w:rPr>
          <w:rFonts w:ascii="Times New Roman" w:cs="Times New Roman" w:eastAsia="Times New Roman" w:hAnsi="Times New Roman"/>
          <w:b/>
          <w:bCs/>
          <w:sz w:val="24"/>
          <w:szCs w:val="24"/>
          <w:lang w:val="en-US"/>
        </w:rPr>
        <w:t xml:space="preserve"> Descriptive Statistics of the IBM HR Dataset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13</w:t>
      </w:r>
    </w:p>
    <w:p w14:paraId="00000039">
      <w:pPr>
        <w:pStyle w:val="ListParagraph"/>
        <w:numPr>
          <w:ilvl w:val="0"/>
          <w:numId w:val="40"/>
        </w:num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Table 2:</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Random Oversampling Class Balancing Results</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xml:space="preserve"> 2</w:t>
      </w:r>
      <w:r>
        <w:rPr>
          <w:rFonts w:ascii="Times New Roman" w:cs="Times New Roman" w:eastAsia="Times New Roman" w:hAnsi="Times New Roman"/>
          <w:b/>
          <w:bCs/>
          <w:sz w:val="24"/>
          <w:szCs w:val="24"/>
          <w:lang w:val="en-US"/>
        </w:rPr>
        <w:t>0</w:t>
      </w:r>
    </w:p>
    <w:p w14:paraId="0000003A">
      <w:pPr>
        <w:pStyle w:val="ListParagraph"/>
        <w:numPr>
          <w:ilvl w:val="0"/>
          <w:numId w:val="40"/>
        </w:num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Table 3:</w:t>
      </w:r>
      <w:r>
        <w:rPr>
          <w:rFonts w:ascii="Times New Roman" w:cs="Times New Roman" w:eastAsia="Times New Roman" w:hAnsi="Times New Roman"/>
          <w:b/>
          <w:bCs/>
          <w:sz w:val="24"/>
          <w:szCs w:val="24"/>
          <w:lang w:val="en-US"/>
        </w:rPr>
        <w:t xml:space="preserve"> Comparative Model Performance </w:t>
      </w:r>
      <w:r>
        <w:rPr>
          <w:rFonts w:ascii="Times New Roman" w:cs="Times New Roman" w:eastAsia="Times New Roman" w:hAnsi="Times New Roman"/>
          <w:b/>
          <w:bCs/>
          <w:sz w:val="24"/>
          <w:szCs w:val="24"/>
          <w:lang w:val="en-US"/>
        </w:rPr>
        <w:t>Matrix......................................</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22</w:t>
      </w:r>
    </w:p>
    <w:p w14:paraId="0000003B">
      <w:pPr>
        <w:pStyle w:val="ListParagraph"/>
        <w:numPr>
          <w:ilvl w:val="0"/>
          <w:numId w:val="40"/>
        </w:num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Table 4:</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Top Attrition Drivers (Coefficients)</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24</w:t>
      </w:r>
    </w:p>
    <w:p w14:paraId="0000003C">
      <w:pPr>
        <w:pStyle w:val="ListParagraph"/>
        <w:numPr>
          <w:ilvl w:val="0"/>
          <w:numId w:val="40"/>
        </w:num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Table 4: 90-Day Implementation Timeline ....................................................... 28</w:t>
      </w:r>
    </w:p>
    <w:p w14:paraId="0000003D">
      <w:pPr>
        <w:pStyle w:val="ListParagraph"/>
        <w:numPr>
          <w:ilvl w:val="0"/>
          <w:numId w:val="40"/>
        </w:numPr>
        <w:spacing w:before="180" w:after="180" w:line="480" w:lineRule="auto"/>
        <w:jc w:val="left"/>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Table 5:</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Comparative ROI: Cost of Inaction vs. Intervention</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w:t>
      </w:r>
      <w:r>
        <w:rPr>
          <w:rFonts w:ascii="Times New Roman" w:cs="Times New Roman" w:eastAsia="Times New Roman" w:hAnsi="Times New Roman"/>
          <w:b/>
          <w:bCs/>
          <w:sz w:val="24"/>
          <w:szCs w:val="24"/>
          <w:lang w:val="en-US"/>
        </w:rPr>
        <w:t xml:space="preserve"> </w:t>
      </w:r>
      <w:r>
        <w:rPr>
          <w:rFonts w:ascii="Times New Roman" w:cs="Times New Roman" w:eastAsia="Times New Roman" w:hAnsi="Times New Roman"/>
          <w:b/>
          <w:bCs/>
          <w:sz w:val="24"/>
          <w:szCs w:val="24"/>
          <w:lang w:val="en-US"/>
        </w:rPr>
        <w:t>29</w:t>
      </w:r>
    </w:p>
    <w:p w14:paraId="0000003E">
      <w:pPr>
        <w:pStyle w:val="Normal"/>
        <w:spacing w:line="480" w:lineRule="auto"/>
        <w:ind w:firstLine="0"/>
        <w:jc w:val="left"/>
        <w:rPr>
          <w:lang w:val="en-US"/>
        </w:rPr>
      </w:pPr>
    </w:p>
    <w:p w14:paraId="0000003F">
      <w:pPr>
        <w:pStyle w:val="Normal"/>
        <w:spacing w:line="480" w:lineRule="auto"/>
        <w:ind w:firstLine="0"/>
        <w:jc w:val="left"/>
        <w:rPr>
          <w:b/>
          <w:bCs/>
          <w:sz w:val="48"/>
          <w:szCs w:val="48"/>
          <w:u w:val="none"/>
          <w:lang w:val="en-US"/>
        </w:rPr>
      </w:pPr>
      <w:r>
        <w:rPr>
          <w:b/>
          <w:bCs/>
          <w:sz w:val="48"/>
          <w:szCs w:val="48"/>
          <w:u w:val="none"/>
          <w:lang w:val="en-US"/>
        </w:rPr>
        <w:t>2. Introduction</w:t>
      </w:r>
    </w:p>
    <w:p w14:paraId="00000040">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2.1 Project Overview and the "War for Talent" </w:t>
      </w:r>
    </w:p>
    <w:p w14:paraId="00000041">
      <w:pPr>
        <w:pStyle w:val="Normal"/>
        <w:spacing w:before="180" w:after="180" w:line="480" w:lineRule="auto"/>
        <w:ind w:firstLine="708"/>
        <w:jc w:val="left"/>
        <w:rPr/>
      </w:pPr>
      <w:r>
        <w:rPr>
          <w:rFonts w:ascii="Times New Roman" w:cs="Times New Roman" w:eastAsia="Times New Roman" w:hAnsi="Times New Roman"/>
          <w:sz w:val="24"/>
          <w:szCs w:val="24"/>
          <w:lang w:val="en-US"/>
        </w:rPr>
        <w:t>The issue of the importance of human capital has gained special attention about the contemporary global economy and the technology industry where the competitive environment has turned people into a main source of companies' success. Over the past decade, physical assets and traditional capital have taken a backseat to intellectual property and operational agility. This macro-economic shift has fundamentally altered how organizations view their workforce. The problem is widely referred to as "the War for Talent," defined by McKinsey &amp; Company as a constant, aggressive battle for attracting employees and retaining elite specialists in a saturated market.</w:t>
      </w:r>
    </w:p>
    <w:p w14:paraId="00000042">
      <w:pPr>
        <w:pStyle w:val="Normal"/>
        <w:spacing w:before="180" w:after="180" w:line="480" w:lineRule="auto"/>
        <w:ind w:firstLine="708"/>
        <w:jc w:val="left"/>
        <w:rPr/>
      </w:pPr>
      <w:r>
        <w:rPr>
          <w:rFonts w:ascii="Times New Roman" w:cs="Times New Roman" w:eastAsia="Times New Roman" w:hAnsi="Times New Roman"/>
          <w:sz w:val="24"/>
          <w:szCs w:val="24"/>
          <w:lang w:val="en-US"/>
        </w:rPr>
        <w:t>In the highly technical field of software development, this particular dispute transcends mere quantitative aspects; this is more of a problem concerning institutional memory retention.</w:t>
      </w:r>
      <w:r>
        <w:rPr>
          <w:rFonts w:ascii="Times New Roman" w:cs="Times New Roman" w:eastAsia="Times New Roman" w:hAnsi="Times New Roman"/>
          <w:sz w:val="24"/>
          <w:szCs w:val="24"/>
          <w:lang w:val="en-US"/>
        </w:rPr>
        <w:t xml:space="preserve"> This is especially true in the case of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Solutions, a rapidly expanding software development company, where the preservation of intellectual property rights and the rapid pace at which the software life cycle progresses through its phases become highly relevant. The developer who is leaving the company has valuable knowledge </w:t>
      </w:r>
      <w:r>
        <w:rPr>
          <w:rFonts w:ascii="Times New Roman" w:cs="Times New Roman" w:eastAsia="Times New Roman" w:hAnsi="Times New Roman"/>
          <w:sz w:val="24"/>
          <w:szCs w:val="24"/>
          <w:lang w:val="en-US"/>
        </w:rPr>
        <w:t>regarding</w:t>
      </w:r>
      <w:r>
        <w:rPr>
          <w:rFonts w:ascii="Times New Roman" w:cs="Times New Roman" w:eastAsia="Times New Roman" w:hAnsi="Times New Roman"/>
          <w:sz w:val="24"/>
          <w:szCs w:val="24"/>
          <w:lang w:val="en-US"/>
        </w:rPr>
        <w:t xml:space="preserve"> the proprietary systems that cannot be easily substituted by the </w:t>
      </w:r>
      <w:r>
        <w:rPr>
          <w:rFonts w:ascii="Times New Roman" w:cs="Times New Roman" w:eastAsia="Times New Roman" w:hAnsi="Times New Roman"/>
          <w:sz w:val="24"/>
          <w:szCs w:val="24"/>
          <w:lang w:val="en-US"/>
        </w:rPr>
        <w:t>recruit</w:t>
      </w:r>
      <w:r>
        <w:rPr>
          <w:rFonts w:ascii="Times New Roman" w:cs="Times New Roman" w:eastAsia="Times New Roman" w:hAnsi="Times New Roman"/>
          <w:sz w:val="24"/>
          <w:szCs w:val="24"/>
          <w:lang w:val="en-US"/>
        </w:rPr>
        <w:t xml:space="preserve"> despite being highly skilled technically.</w:t>
      </w:r>
    </w:p>
    <w:p w14:paraId="00000043">
      <w:pPr>
        <w:pStyle w:val="Normal"/>
        <w:spacing w:before="180" w:after="180" w:line="480" w:lineRule="auto"/>
        <w:ind w:firstLine="708"/>
        <w:jc w:val="left"/>
        <w:rPr/>
      </w:pPr>
      <w:r>
        <w:rPr>
          <w:rFonts w:ascii="Times New Roman" w:cs="Times New Roman" w:eastAsia="Times New Roman" w:hAnsi="Times New Roman"/>
          <w:sz w:val="24"/>
          <w:szCs w:val="24"/>
          <w:lang w:val="en-US"/>
        </w:rPr>
        <w:t>In this research paper, the issue of the application of the Cross-Industry Standard Process for Data Mining (CRISP-DM) for predicting employee turnover at TechCorp Solutions is addressed. Through transitioning from subjective, purely observational HR practices to a mathematically based prediction process, the presented report aims at identifying the complex behavioral and demographic factors that trigger employee turnover at TechCorp and also preventing its negative downstream consequences.</w:t>
      </w:r>
    </w:p>
    <w:p w14:paraId="00000044">
      <w:pPr>
        <w:spacing w:before="180" w:after="180" w:line="480" w:lineRule="auto"/>
        <w:jc w:val="left"/>
        <w:rPr>
          <w:rFonts w:ascii="Times New Roman" w:cs="Times New Roman" w:eastAsia="Times New Roman" w:hAnsi="Times New Roman"/>
          <w:sz w:val="24"/>
          <w:szCs w:val="24"/>
          <w:lang w:val="en-US"/>
        </w:rPr>
      </w:pPr>
    </w:p>
    <w:p w14:paraId="00000045">
      <w:pPr>
        <w:spacing w:before="180" w:after="180" w:line="480" w:lineRule="auto"/>
        <w:jc w:val="left"/>
        <w:rPr>
          <w:lang w:val="es-ES"/>
        </w:rPr>
      </w:pPr>
      <w:r>
        <w:rPr>
          <w:rFonts w:ascii="Times New Roman" w:cs="Times New Roman" w:eastAsia="Times New Roman" w:hAnsi="Times New Roman"/>
          <w:i/>
          <w:iCs/>
          <w:sz w:val="36"/>
          <w:szCs w:val="36"/>
          <w:u w:val="single"/>
          <w:lang w:val="en-US"/>
        </w:rPr>
        <w:t xml:space="preserve">2.2 Organizational Context: The Attrition "Leakage" at </w:t>
      </w:r>
      <w:r>
        <w:rPr>
          <w:rFonts w:ascii="Times New Roman" w:cs="Times New Roman" w:eastAsia="Times New Roman" w:hAnsi="Times New Roman"/>
          <w:i/>
          <w:iCs/>
          <w:sz w:val="36"/>
          <w:szCs w:val="36"/>
          <w:u w:val="single"/>
          <w:lang w:val="en-US"/>
        </w:rPr>
        <w:t>TechCorp</w:t>
      </w:r>
      <w:r>
        <w:rPr>
          <w:rFonts w:ascii="Times New Roman" w:cs="Times New Roman" w:eastAsia="Times New Roman" w:hAnsi="Times New Roman"/>
          <w:i/>
          <w:iCs/>
          <w:sz w:val="36"/>
          <w:szCs w:val="36"/>
          <w:u w:val="single"/>
          <w:lang w:val="en-US"/>
        </w:rPr>
        <w:t xml:space="preserve"> </w:t>
      </w:r>
    </w:p>
    <w:p w14:paraId="00000046">
      <w:pPr>
        <w:spacing w:before="180" w:after="180" w:line="480" w:lineRule="auto"/>
        <w:ind w:firstLine="708"/>
        <w:jc w:val="left"/>
        <w:rPr>
          <w:lang w:val="es-ES"/>
        </w:rPr>
      </w:pPr>
      <w:r>
        <w:rPr>
          <w:lang w:val="en-US"/>
        </w:rPr>
        <w:t>TechCorp Solutions seems to be growing all the time and expanding its market share, but it should be noted that some internal audits carried out during 2025 and into 2026 revealed that the company faces an important, systemic problem related to the "leakage" of its most experienced developers. Namely, the number of voluntary departures of the senior employees has increased by a staggering 15% year-over-</w:t>
      </w:r>
      <w:r>
        <w:rPr>
          <w:lang w:val="en-US"/>
        </w:rPr>
        <w:t>year.</w:t>
      </w:r>
    </w:p>
    <w:p w14:paraId="00000047">
      <w:pPr>
        <w:spacing w:before="180" w:after="180" w:line="480" w:lineRule="auto"/>
        <w:ind w:firstLine="708"/>
        <w:jc w:val="left"/>
        <w:rPr>
          <w:lang w:val="es-ES"/>
        </w:rPr>
      </w:pPr>
      <w:r>
        <w:rPr>
          <w:lang w:val="en-US"/>
        </w:rPr>
        <w:t>This</w:t>
      </w:r>
      <w:r>
        <w:rPr>
          <w:lang w:val="en-US"/>
        </w:rPr>
        <w:t xml:space="preserve"> specific demographic of employees is critical because this kind of employee has valuable "institutional knowledge" and "code ownership". The business impact of this attrition has many </w:t>
      </w:r>
      <w:r>
        <w:rPr>
          <w:lang w:val="en-US"/>
        </w:rPr>
        <w:t>facets</w:t>
      </w:r>
      <w:r>
        <w:rPr>
          <w:lang w:val="en-US"/>
        </w:rPr>
        <w:t xml:space="preserve"> and it is severe, creating a cascading effect across operations, finance, and company </w:t>
      </w:r>
      <w:r>
        <w:rPr>
          <w:lang w:val="en-US"/>
        </w:rPr>
        <w:t>culture:</w:t>
      </w:r>
    </w:p>
    <w:p w14:paraId="00000048">
      <w:pPr>
        <w:pStyle w:val="ListParagraph"/>
        <w:numPr>
          <w:ilvl w:val="0"/>
          <w:numId w:val="9"/>
        </w:numPr>
        <w:spacing w:before="180" w:after="180" w:line="480" w:lineRule="auto"/>
        <w:jc w:val="left"/>
        <w:rPr>
          <w:lang w:val="es-ES"/>
        </w:rPr>
      </w:pPr>
      <w:r>
        <w:rPr>
          <w:lang w:val="en-US"/>
        </w:rPr>
        <w:t>Financial</w:t>
      </w:r>
      <w:r>
        <w:rPr>
          <w:lang w:val="en-US"/>
        </w:rPr>
        <w:t xml:space="preserve"> Burden Caused by Complication: According to industry standards, the cost of recruitment for highly skilled technical employees is 1.5-2.0 times their annual income. This multiplier accounts for direct recruiter fees, sign-on bonuses, and the lost productivity during a new </w:t>
      </w:r>
      <w:r>
        <w:rPr>
          <w:lang w:val="en-US"/>
        </w:rPr>
        <w:t>hire's</w:t>
      </w:r>
      <w:r>
        <w:rPr>
          <w:lang w:val="en-US"/>
        </w:rPr>
        <w:t xml:space="preserve"> 4-to-6-month "ramp-up" period. If added up for </w:t>
      </w:r>
      <w:r>
        <w:rPr>
          <w:lang w:val="en-US"/>
        </w:rPr>
        <w:t>all of</w:t>
      </w:r>
      <w:r>
        <w:rPr>
          <w:lang w:val="en-US"/>
        </w:rPr>
        <w:t xml:space="preserve"> the senior developer positions, </w:t>
      </w:r>
      <w:r>
        <w:rPr>
          <w:lang w:val="en-US"/>
        </w:rPr>
        <w:t>TechCorp</w:t>
      </w:r>
      <w:r>
        <w:rPr>
          <w:lang w:val="en-US"/>
        </w:rPr>
        <w:t xml:space="preserve"> risks an unsustainable loss of $30 million per </w:t>
      </w:r>
      <w:r>
        <w:rPr>
          <w:lang w:val="en-US"/>
        </w:rPr>
        <w:t>year.</w:t>
      </w:r>
    </w:p>
    <w:p w14:paraId="00000049">
      <w:pPr>
        <w:pStyle w:val="ListParagraph"/>
        <w:spacing w:before="180" w:after="180" w:line="480" w:lineRule="auto"/>
        <w:ind w:left="720"/>
        <w:jc w:val="left"/>
        <w:rPr>
          <w:lang w:val="es-ES"/>
        </w:rPr>
      </w:pPr>
    </w:p>
    <w:p w14:paraId="0000004A">
      <w:pPr>
        <w:pStyle w:val="ListParagraph"/>
        <w:numPr>
          <w:ilvl w:val="0"/>
          <w:numId w:val="9"/>
        </w:numPr>
        <w:spacing w:before="180" w:after="180" w:line="480" w:lineRule="auto"/>
        <w:jc w:val="left"/>
        <w:rPr>
          <w:lang w:val="es-ES"/>
        </w:rPr>
      </w:pPr>
      <w:r>
        <w:rPr>
          <w:lang w:val="en-US"/>
        </w:rPr>
        <w:t xml:space="preserve">Workflow Disruptions and Technical Debt: With any loss in the senior developer positions, there will be considerable consequences for each individual agile scrum team they belong to. Inabilities to deliver sprint tasks, technical debt caused by the low-quality code written by the junior developers, and disruptions in the entire workflow will </w:t>
      </w:r>
      <w:r>
        <w:rPr>
          <w:lang w:val="en-US"/>
        </w:rPr>
        <w:t>ultimately affect</w:t>
      </w:r>
      <w:r>
        <w:rPr>
          <w:lang w:val="en-US"/>
        </w:rPr>
        <w:t xml:space="preserve"> the </w:t>
      </w:r>
      <w:r>
        <w:rPr>
          <w:lang w:val="en-US"/>
        </w:rPr>
        <w:t>customer's</w:t>
      </w:r>
      <w:r>
        <w:rPr>
          <w:lang w:val="en-US"/>
        </w:rPr>
        <w:t xml:space="preserve"> experience.</w:t>
      </w:r>
    </w:p>
    <w:p w14:paraId="0000004B">
      <w:pPr>
        <w:pStyle w:val="ListParagraph"/>
        <w:spacing w:before="180" w:after="180" w:line="480" w:lineRule="auto"/>
        <w:ind w:left="720"/>
        <w:jc w:val="left"/>
        <w:rPr>
          <w:lang w:val="es-ES"/>
        </w:rPr>
      </w:pPr>
    </w:p>
    <w:p w14:paraId="0000004C">
      <w:pPr>
        <w:pStyle w:val="ListParagraph"/>
        <w:numPr>
          <w:ilvl w:val="0"/>
          <w:numId w:val="9"/>
        </w:numPr>
        <w:spacing w:before="180" w:after="180" w:line="480" w:lineRule="auto"/>
        <w:jc w:val="left"/>
        <w:rPr>
          <w:lang w:val="es-ES"/>
        </w:rPr>
      </w:pPr>
      <w:r>
        <w:rPr>
          <w:lang w:val="en-US"/>
        </w:rPr>
        <w:t>The</w:t>
      </w:r>
      <w:r>
        <w:rPr>
          <w:lang w:val="en-US"/>
        </w:rPr>
        <w:t xml:space="preserve"> “Contagion Effect": Attrition in leadership roles does not happen in a vacuum. As a result of the loss of senior developers, there is usually a "contagion effect", meaning junior and middle-level employees may start questioning organizational stability and considering leaving the company, too.</w:t>
      </w:r>
    </w:p>
    <w:p w14:paraId="0000004D">
      <w:pPr>
        <w:spacing w:before="180" w:after="180" w:line="480" w:lineRule="auto"/>
        <w:jc w:val="left"/>
        <w:rPr>
          <w:rFonts w:ascii="Times New Roman" w:cs="Times New Roman" w:eastAsia="Times New Roman" w:hAnsi="Times New Roman"/>
          <w:sz w:val="24"/>
          <w:szCs w:val="24"/>
          <w:lang w:val="en-US"/>
        </w:rPr>
      </w:pPr>
    </w:p>
    <w:p w14:paraId="0000004E">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2.3 The Evolution of HR: From Reactive to Predictive Analytics </w:t>
      </w:r>
    </w:p>
    <w:p w14:paraId="0000004F">
      <w:pPr>
        <w:pStyle w:val="Normal"/>
        <w:spacing w:before="180" w:after="180" w:line="480" w:lineRule="auto"/>
        <w:ind w:firstLine="708"/>
        <w:jc w:val="left"/>
        <w:rPr/>
      </w:pPr>
      <w:r>
        <w:rPr>
          <w:rFonts w:ascii="Times New Roman" w:cs="Times New Roman" w:eastAsia="Times New Roman" w:hAnsi="Times New Roman"/>
          <w:sz w:val="24"/>
          <w:szCs w:val="24"/>
          <w:lang w:val="en-US"/>
        </w:rPr>
        <w:t>Traditionally, Human Resources divisions have been viewed as strictly "reactive" entities, tasked with managing fallout rather than preventing it. One historical way of collecting information about the causes of the attrition has been the use of exit interviews, which are conducted when the harm has already occurred and the employee is securely employed somewhere else. This approach implies that the information obtained would either be outdated or heavily biased, as departing employees rarely have an incentive to provide fully transparent, actionable feedback to an organization they are leaving.</w:t>
      </w:r>
    </w:p>
    <w:p w14:paraId="00000050">
      <w:pPr>
        <w:pStyle w:val="Normal"/>
        <w:spacing w:before="180" w:after="180" w:line="480" w:lineRule="auto"/>
        <w:ind w:firstLine="708"/>
        <w:jc w:val="left"/>
        <w:rPr/>
      </w:pPr>
      <w:r>
        <w:rPr>
          <w:rFonts w:ascii="Times New Roman" w:cs="Times New Roman" w:eastAsia="Times New Roman" w:hAnsi="Times New Roman"/>
          <w:sz w:val="24"/>
          <w:szCs w:val="24"/>
          <w:lang w:val="en-US"/>
        </w:rPr>
        <w:t>Modern Business Intelligence (BI) and Data Mining provide a significantly better solution to the problem, moving HR into a strategic, operational role. By identifying the regularities in behavior and demographics ("red flags," such as the excessive amount of working time or income stagnation) associated with the high likelihood of attrition in the IBM HR Analytics dataset chosen as the object of study, we can make the company's collected information into the intelligent decision-making support system with the help of the Logistic Regression and Random Forest approaches to machine learning.</w:t>
      </w:r>
    </w:p>
    <w:p w14:paraId="00000051">
      <w:pPr>
        <w:pStyle w:val="Normal"/>
        <w:spacing w:before="180" w:after="180" w:line="480" w:lineRule="auto"/>
        <w:ind w:firstLine="708"/>
        <w:jc w:val="left"/>
        <w:rPr/>
      </w:pPr>
      <w:r>
        <w:rPr>
          <w:rFonts w:ascii="Times New Roman" w:cs="Times New Roman" w:eastAsia="Times New Roman" w:hAnsi="Times New Roman"/>
          <w:sz w:val="24"/>
          <w:szCs w:val="24"/>
          <w:lang w:val="en-US"/>
        </w:rPr>
        <w:t>Instead of retrospectively wondering "why they leave us," organizational leaders can anticipate "who will most likely leave soon" and act proactively by means of targeted interventions like "stay interviews". This paradigm shift leverages existing HRIS (Human Resource Information System) data to convert human capital management from a cost center into an active risk-mitigation strategy.</w:t>
      </w:r>
    </w:p>
    <w:p w14:paraId="00000052">
      <w:pPr>
        <w:pStyle w:val="Normal"/>
        <w:spacing w:line="480" w:lineRule="auto"/>
        <w:ind w:firstLine="0"/>
        <w:jc w:val="left"/>
        <w:rPr>
          <w:b/>
          <w:bCs/>
          <w:sz w:val="24"/>
          <w:szCs w:val="24"/>
          <w:lang w:val="en-US"/>
        </w:rPr>
      </w:pPr>
    </w:p>
    <w:p w14:paraId="00000053">
      <w:pPr>
        <w:pStyle w:val="Normal"/>
        <w:spacing w:line="480" w:lineRule="auto"/>
        <w:ind w:firstLine="0"/>
        <w:jc w:val="left"/>
        <w:rPr>
          <w:b/>
          <w:bCs/>
          <w:sz w:val="48"/>
          <w:szCs w:val="48"/>
          <w:lang w:val="en-US"/>
        </w:rPr>
      </w:pPr>
      <w:r>
        <w:rPr>
          <w:b/>
          <w:bCs/>
          <w:sz w:val="48"/>
          <w:szCs w:val="48"/>
          <w:lang w:val="en-US"/>
        </w:rPr>
        <w:t>3. Literature Review</w:t>
      </w:r>
    </w:p>
    <w:p w14:paraId="00000054">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3.1 The Economic and Organizational Impact of Attrition</w:t>
      </w:r>
    </w:p>
    <w:p w14:paraId="00000055">
      <w:pPr>
        <w:spacing w:before="180" w:after="180" w:line="480" w:lineRule="auto"/>
        <w:ind w:firstLine="708"/>
        <w:jc w:val="left"/>
        <w:rPr/>
      </w:pPr>
      <w:r>
        <w:rPr>
          <w:rFonts w:ascii="Times New Roman" w:cs="Times New Roman" w:eastAsia="Times New Roman" w:hAnsi="Times New Roman"/>
          <w:sz w:val="24"/>
          <w:szCs w:val="24"/>
          <w:lang w:val="en-US"/>
        </w:rPr>
        <w:t xml:space="preserve">The phenomenon of employee attrition defined as the voluntary resignation of staff from an organization has been a focal point of organizational psychology and management science for decades. Early seminal work by Cascio (2006) </w:t>
      </w:r>
      <w:r>
        <w:rPr>
          <w:rFonts w:ascii="Times New Roman" w:cs="Times New Roman" w:eastAsia="Times New Roman" w:hAnsi="Times New Roman"/>
          <w:sz w:val="24"/>
          <w:szCs w:val="24"/>
          <w:lang w:val="en-US"/>
        </w:rPr>
        <w:t>established</w:t>
      </w:r>
      <w:r>
        <w:rPr>
          <w:rFonts w:ascii="Times New Roman" w:cs="Times New Roman" w:eastAsia="Times New Roman" w:hAnsi="Times New Roman"/>
          <w:sz w:val="24"/>
          <w:szCs w:val="24"/>
          <w:lang w:val="en-US"/>
        </w:rPr>
        <w:t xml:space="preserve"> that the </w:t>
      </w:r>
      <w:r>
        <w:rPr>
          <w:rFonts w:ascii="Times New Roman" w:cs="Times New Roman" w:eastAsia="Times New Roman" w:hAnsi="Times New Roman"/>
          <w:sz w:val="24"/>
          <w:szCs w:val="24"/>
          <w:lang w:val="en-US"/>
        </w:rPr>
        <w:t>financial impact</w:t>
      </w:r>
      <w:r>
        <w:rPr>
          <w:rFonts w:ascii="Times New Roman" w:cs="Times New Roman" w:eastAsia="Times New Roman" w:hAnsi="Times New Roman"/>
          <w:sz w:val="24"/>
          <w:szCs w:val="24"/>
          <w:lang w:val="en-US"/>
        </w:rPr>
        <w:t xml:space="preserve"> of turnover is rarely confined to the simple, direct cost of a new hire base salary. Instead, it encompasses a complex web of "sunk costs" (for example., prior training and onboarding investments) and "opportunity costs" (for example, lost productivity and delayed deliverables).</w:t>
      </w:r>
    </w:p>
    <w:p w14:paraId="00000056">
      <w:pPr>
        <w:spacing w:before="180" w:after="180" w:line="480" w:lineRule="auto"/>
        <w:ind w:firstLine="708"/>
        <w:jc w:val="left"/>
        <w:rPr/>
      </w:pPr>
      <w:r>
        <w:rPr>
          <w:rFonts w:ascii="Times New Roman" w:cs="Times New Roman" w:eastAsia="Times New Roman" w:hAnsi="Times New Roman"/>
          <w:sz w:val="24"/>
          <w:szCs w:val="24"/>
          <w:lang w:val="en-US"/>
        </w:rPr>
        <w:t xml:space="preserve">For technical roles, such as the senior developers at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these costs are exacerbated by the loss of highly specialized intellectual property and proprietary system knowledge. Research </w:t>
      </w:r>
      <w:r>
        <w:rPr>
          <w:rFonts w:ascii="Times New Roman" w:cs="Times New Roman" w:eastAsia="Times New Roman" w:hAnsi="Times New Roman"/>
          <w:sz w:val="24"/>
          <w:szCs w:val="24"/>
          <w:lang w:val="en-US"/>
        </w:rPr>
        <w:t>indicates</w:t>
      </w:r>
      <w:r>
        <w:rPr>
          <w:rFonts w:ascii="Times New Roman" w:cs="Times New Roman" w:eastAsia="Times New Roman" w:hAnsi="Times New Roman"/>
          <w:sz w:val="24"/>
          <w:szCs w:val="24"/>
          <w:lang w:val="en-US"/>
        </w:rPr>
        <w:t xml:space="preserve"> that the replacement cost for a highly skilled technical employee can reach up to 200% of their annual compensation. This figure includes the recruitment process, the "ramp-up" period where productivity is sub-optimal, and the heavy involvement of senior leadership in the interviewing process rather than in core </w:t>
      </w:r>
      <w:r>
        <w:rPr>
          <w:rFonts w:ascii="Times New Roman" w:cs="Times New Roman" w:eastAsia="Times New Roman" w:hAnsi="Times New Roman"/>
          <w:sz w:val="24"/>
          <w:szCs w:val="24"/>
          <w:lang w:val="en-US"/>
        </w:rPr>
        <w:t>development.</w:t>
      </w:r>
    </w:p>
    <w:p w14:paraId="00000057">
      <w:pPr>
        <w:spacing w:before="180" w:after="180" w:line="480" w:lineRule="auto"/>
        <w:ind w:firstLine="708"/>
        <w:jc w:val="left"/>
        <w:rPr/>
      </w:pPr>
      <w:r>
        <w:rPr>
          <w:rFonts w:ascii="Times New Roman" w:cs="Times New Roman" w:eastAsia="Times New Roman" w:hAnsi="Times New Roman"/>
          <w:sz w:val="24"/>
          <w:szCs w:val="24"/>
          <w:lang w:val="en-US"/>
        </w:rPr>
        <w:t>Furthermore</w:t>
      </w:r>
      <w:r>
        <w:rPr>
          <w:rFonts w:ascii="Times New Roman" w:cs="Times New Roman" w:eastAsia="Times New Roman" w:hAnsi="Times New Roman"/>
          <w:sz w:val="24"/>
          <w:szCs w:val="24"/>
          <w:lang w:val="en-US"/>
        </w:rPr>
        <w:t>, scholars have identified the "Contagion Effect" (Holtom et al., 2005), wherein a single high-profile departure can trigger a psychological shift in the remaining workforce. This phenomenon occurs when a respected senior team member leaves, prompting peers to re-evaluate their own organizational commitment, often leading to secondary waves of attrition that can completely destabilize entire engineering departments.</w:t>
      </w:r>
    </w:p>
    <w:p w14:paraId="00000058">
      <w:pPr>
        <w:spacing w:before="180" w:after="180" w:line="480" w:lineRule="auto"/>
        <w:jc w:val="left"/>
        <w:rPr>
          <w:rFonts w:ascii="Times New Roman" w:cs="Times New Roman" w:eastAsia="Times New Roman" w:hAnsi="Times New Roman"/>
          <w:sz w:val="24"/>
          <w:szCs w:val="24"/>
          <w:lang w:val="en-US"/>
        </w:rPr>
      </w:pPr>
    </w:p>
    <w:p w14:paraId="00000059">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3.2 Theoretical Framework: Job Embeddedness Theory</w:t>
      </w:r>
    </w:p>
    <w:p w14:paraId="0000005A">
      <w:pPr>
        <w:spacing w:before="180" w:after="180" w:line="480" w:lineRule="auto"/>
        <w:ind w:firstLine="708"/>
        <w:jc w:val="left"/>
        <w:rPr/>
      </w:pPr>
      <w:r>
        <w:rPr>
          <w:rFonts w:ascii="Times New Roman" w:cs="Times New Roman" w:eastAsia="Times New Roman" w:hAnsi="Times New Roman"/>
          <w:sz w:val="24"/>
          <w:szCs w:val="24"/>
          <w:lang w:val="en-US"/>
        </w:rPr>
        <w:t xml:space="preserve">The primary theoretical lens for this study is the Job Embeddedness Theory, introduced by Mitchell et al. (2001). Unlike earlier turnover theories that focused </w:t>
      </w:r>
      <w:r>
        <w:rPr>
          <w:rFonts w:ascii="Times New Roman" w:cs="Times New Roman" w:eastAsia="Times New Roman" w:hAnsi="Times New Roman"/>
          <w:sz w:val="24"/>
          <w:szCs w:val="24"/>
          <w:lang w:val="en-US"/>
        </w:rPr>
        <w:t>almost exclusively</w:t>
      </w:r>
      <w:r>
        <w:rPr>
          <w:rFonts w:ascii="Times New Roman" w:cs="Times New Roman" w:eastAsia="Times New Roman" w:hAnsi="Times New Roman"/>
          <w:sz w:val="24"/>
          <w:szCs w:val="24"/>
          <w:lang w:val="en-US"/>
        </w:rPr>
        <w:t xml:space="preserve"> on "job satisfaction," Job Embeddedness explores why people stay rather than why they leave. This theory is structured around three key dimensions:</w:t>
      </w:r>
    </w:p>
    <w:p w14:paraId="0000005B">
      <w:pPr>
        <w:pStyle w:val="ListParagraph"/>
        <w:numPr>
          <w:ilvl w:val="0"/>
          <w:numId w:val="38"/>
        </w:numPr>
        <w:rPr>
          <w:lang w:val="en-US"/>
        </w:rPr>
      </w:pPr>
      <w:r>
        <w:rPr>
          <w:lang w:val="en-US"/>
        </w:rPr>
        <w:t xml:space="preserve">Links: These are the formal and informal relationships the individual employee </w:t>
      </w:r>
      <w:r>
        <w:rPr>
          <w:lang w:val="en-US"/>
        </w:rPr>
        <w:t>maintains</w:t>
      </w:r>
      <w:r>
        <w:rPr>
          <w:lang w:val="en-US"/>
        </w:rPr>
        <w:t xml:space="preserve"> with others in the organization and their surrounding community. Strong links act as a deterrent to attrition.</w:t>
      </w:r>
    </w:p>
    <w:p w14:paraId="0000005C">
      <w:pPr>
        <w:pStyle w:val="ListParagraph"/>
        <w:ind w:left="720"/>
        <w:rPr>
          <w:lang w:val="en-US"/>
        </w:rPr>
      </w:pPr>
    </w:p>
    <w:p w14:paraId="0000005D">
      <w:pPr>
        <w:pStyle w:val="ListParagraph"/>
        <w:numPr>
          <w:ilvl w:val="0"/>
          <w:numId w:val="38"/>
        </w:numPr>
        <w:rPr>
          <w:lang w:val="en-US"/>
        </w:rPr>
      </w:pPr>
      <w:r>
        <w:rPr>
          <w:lang w:val="en-US"/>
        </w:rPr>
        <w:t xml:space="preserve">Fit: This describes how compatible the skills, core values, and career goals of the employee are in relation to the organizational culture and the </w:t>
      </w:r>
      <w:r>
        <w:rPr>
          <w:lang w:val="en-US"/>
        </w:rPr>
        <w:t>responsibilities</w:t>
      </w:r>
      <w:r>
        <w:rPr>
          <w:lang w:val="en-US"/>
        </w:rPr>
        <w:t xml:space="preserve"> of his position.</w:t>
      </w:r>
    </w:p>
    <w:p w14:paraId="0000005E">
      <w:pPr>
        <w:pStyle w:val="ListParagraph"/>
        <w:spacing w:before="180" w:after="180"/>
        <w:ind w:left="720"/>
        <w:rPr>
          <w:lang w:val="en-US"/>
        </w:rPr>
      </w:pPr>
    </w:p>
    <w:p w14:paraId="0000005F">
      <w:pPr>
        <w:pStyle w:val="ListParagraph"/>
        <w:numPr>
          <w:ilvl w:val="0"/>
          <w:numId w:val="38"/>
        </w:numPr>
        <w:spacing w:before="180" w:after="180"/>
        <w:rPr>
          <w:lang w:val="en-US"/>
        </w:rPr>
      </w:pPr>
      <w:r>
        <w:rPr>
          <w:lang w:val="en-US"/>
        </w:rPr>
        <w:t xml:space="preserve">Sacrifice: This </w:t>
      </w:r>
      <w:r>
        <w:rPr>
          <w:lang w:val="en-US"/>
        </w:rPr>
        <w:t>represents</w:t>
      </w:r>
      <w:r>
        <w:rPr>
          <w:lang w:val="en-US"/>
        </w:rPr>
        <w:t xml:space="preserve"> the perceived material and psychological loss experienced by the employee upon termination. This includes tangible losses like unvested stock options, but also intangible losses such as relinquishing project ownership or disrupting </w:t>
      </w:r>
      <w:r>
        <w:rPr>
          <w:lang w:val="en-US"/>
        </w:rPr>
        <w:t>particular team</w:t>
      </w:r>
      <w:r>
        <w:rPr>
          <w:lang w:val="en-US"/>
        </w:rPr>
        <w:t xml:space="preserve"> chemistry</w:t>
      </w:r>
    </w:p>
    <w:p w14:paraId="00000060">
      <w:pPr>
        <w:pStyle w:val="Normal"/>
        <w:spacing w:before="180" w:after="180" w:line="480" w:lineRule="auto"/>
        <w:ind w:left="12"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In the context of the IBM HR Analytics dataset, variables such as "</w:t>
      </w:r>
      <w:r>
        <w:rPr>
          <w:rFonts w:ascii="Times New Roman" w:cs="Times New Roman" w:eastAsia="Times New Roman" w:hAnsi="Times New Roman"/>
          <w:sz w:val="24"/>
          <w:szCs w:val="24"/>
          <w:lang w:val="en-US"/>
        </w:rPr>
        <w:t>YearsAtCompany</w:t>
      </w:r>
      <w:r>
        <w:rPr>
          <w:rFonts w:ascii="Times New Roman" w:cs="Times New Roman" w:eastAsia="Times New Roman" w:hAnsi="Times New Roman"/>
          <w:sz w:val="24"/>
          <w:szCs w:val="24"/>
          <w:lang w:val="en-US"/>
        </w:rPr>
        <w:t>," "</w:t>
      </w:r>
      <w:r>
        <w:rPr>
          <w:rFonts w:ascii="Times New Roman" w:cs="Times New Roman" w:eastAsia="Times New Roman" w:hAnsi="Times New Roman"/>
          <w:sz w:val="24"/>
          <w:szCs w:val="24"/>
          <w:lang w:val="en-US"/>
        </w:rPr>
        <w:t>EnvironmentSatisfaction</w:t>
      </w:r>
      <w:r>
        <w:rPr>
          <w:rFonts w:ascii="Times New Roman" w:cs="Times New Roman" w:eastAsia="Times New Roman" w:hAnsi="Times New Roman"/>
          <w:sz w:val="24"/>
          <w:szCs w:val="24"/>
          <w:lang w:val="en-US"/>
        </w:rPr>
        <w:t>," and "</w:t>
      </w:r>
      <w:r>
        <w:rPr>
          <w:rFonts w:ascii="Times New Roman" w:cs="Times New Roman" w:eastAsia="Times New Roman" w:hAnsi="Times New Roman"/>
          <w:sz w:val="24"/>
          <w:szCs w:val="24"/>
          <w:lang w:val="en-US"/>
        </w:rPr>
        <w:t>MonthlyIncome</w:t>
      </w:r>
      <w:r>
        <w:rPr>
          <w:rFonts w:ascii="Times New Roman" w:cs="Times New Roman" w:eastAsia="Times New Roman" w:hAnsi="Times New Roman"/>
          <w:sz w:val="24"/>
          <w:szCs w:val="24"/>
          <w:lang w:val="en-US"/>
        </w:rPr>
        <w:t xml:space="preserve">" serve as direct proxies for these dimensions. By applying data mining to these variables,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can </w:t>
      </w:r>
      <w:r>
        <w:rPr>
          <w:rFonts w:ascii="Times New Roman" w:cs="Times New Roman" w:eastAsia="Times New Roman" w:hAnsi="Times New Roman"/>
          <w:sz w:val="24"/>
          <w:szCs w:val="24"/>
          <w:lang w:val="en-US"/>
        </w:rPr>
        <w:t>identify</w:t>
      </w:r>
      <w:r>
        <w:rPr>
          <w:rFonts w:ascii="Times New Roman" w:cs="Times New Roman" w:eastAsia="Times New Roman" w:hAnsi="Times New Roman"/>
          <w:sz w:val="24"/>
          <w:szCs w:val="24"/>
          <w:lang w:val="en-US"/>
        </w:rPr>
        <w:t xml:space="preserve"> which "anchors" of embeddedness are weakening for specific employee segments.</w:t>
      </w:r>
    </w:p>
    <w:p w14:paraId="00000061">
      <w:pPr>
        <w:spacing w:before="180" w:after="180" w:line="480" w:lineRule="auto"/>
        <w:jc w:val="left"/>
        <w:rPr>
          <w:rFonts w:ascii="Times New Roman" w:cs="Times New Roman" w:eastAsia="Times New Roman" w:hAnsi="Times New Roman"/>
          <w:sz w:val="24"/>
          <w:szCs w:val="24"/>
          <w:lang w:val="en-US"/>
        </w:rPr>
      </w:pPr>
    </w:p>
    <w:p w14:paraId="00000062">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3.3 Predictive Analytics and the CRISP-DM Standard</w:t>
      </w:r>
    </w:p>
    <w:p w14:paraId="00000063">
      <w:pPr>
        <w:spacing w:before="180" w:after="180" w:line="480" w:lineRule="auto"/>
        <w:ind w:firstLine="708"/>
        <w:jc w:val="left"/>
        <w:rPr/>
      </w:pPr>
      <w:r>
        <w:rPr>
          <w:rFonts w:ascii="Times New Roman" w:cs="Times New Roman" w:eastAsia="Times New Roman" w:hAnsi="Times New Roman"/>
          <w:sz w:val="24"/>
          <w:szCs w:val="24"/>
          <w:lang w:val="en-US"/>
        </w:rPr>
        <w:t xml:space="preserve">The shift from descriptive HR reporting (which only explains what has already happened) to predictive modeling is well-documented in the evolving field of HR Informatics. The CRISP-DM (Cross-Industry Standard Process for Data Mining) has </w:t>
      </w:r>
      <w:r>
        <w:rPr>
          <w:rFonts w:ascii="Times New Roman" w:cs="Times New Roman" w:eastAsia="Times New Roman" w:hAnsi="Times New Roman"/>
          <w:sz w:val="24"/>
          <w:szCs w:val="24"/>
          <w:lang w:val="en-US"/>
        </w:rPr>
        <w:t>emerged</w:t>
      </w:r>
      <w:r>
        <w:rPr>
          <w:rFonts w:ascii="Times New Roman" w:cs="Times New Roman" w:eastAsia="Times New Roman" w:hAnsi="Times New Roman"/>
          <w:sz w:val="24"/>
          <w:szCs w:val="24"/>
          <w:lang w:val="en-US"/>
        </w:rPr>
        <w:t xml:space="preserve"> as the gold standard for these projects because of its structured, yet iterative nature (Shearer, 2000). Unlike strictly linear frameworks, CRISP-DM emphasizes a continuous "feedback loop" between data understanding and business objectives, ensuring that the final model is not just mathematically accurate, but managerially </w:t>
      </w:r>
      <w:r>
        <w:rPr>
          <w:rFonts w:ascii="Times New Roman" w:cs="Times New Roman" w:eastAsia="Times New Roman" w:hAnsi="Times New Roman"/>
          <w:sz w:val="24"/>
          <w:szCs w:val="24"/>
          <w:lang w:val="en-US"/>
        </w:rPr>
        <w:t>actionable.</w:t>
      </w:r>
    </w:p>
    <w:p w14:paraId="00000064">
      <w:pPr>
        <w:spacing w:before="180" w:after="180" w:line="480" w:lineRule="auto"/>
        <w:ind w:firstLine="708"/>
        <w:jc w:val="left"/>
        <w:rPr/>
      </w:pPr>
      <w:r>
        <w:rPr>
          <w:rFonts w:ascii="Times New Roman" w:cs="Times New Roman" w:eastAsia="Times New Roman" w:hAnsi="Times New Roman"/>
          <w:sz w:val="24"/>
          <w:szCs w:val="24"/>
          <w:lang w:val="en-US"/>
        </w:rPr>
        <w:t>Literature</w:t>
      </w:r>
      <w:r>
        <w:rPr>
          <w:rFonts w:ascii="Times New Roman" w:cs="Times New Roman" w:eastAsia="Times New Roman" w:hAnsi="Times New Roman"/>
          <w:sz w:val="24"/>
          <w:szCs w:val="24"/>
          <w:lang w:val="en-US"/>
        </w:rPr>
        <w:t xml:space="preserve"> comparing algorithmic approaches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specifically Logistic Regression versus Ensemble Methods like Random Forest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highlights a critical trade-off between "accuracy" and "interpretability" (Pedregosa et al., 2011</w:t>
      </w:r>
      <w:r>
        <w:rPr>
          <w:rFonts w:ascii="Times New Roman" w:cs="Times New Roman" w:eastAsia="Times New Roman" w:hAnsi="Times New Roman"/>
          <w:sz w:val="24"/>
          <w:szCs w:val="24"/>
          <w:lang w:val="en-US"/>
        </w:rPr>
        <w:t>). Logistic</w:t>
      </w:r>
      <w:r>
        <w:rPr>
          <w:rFonts w:ascii="Times New Roman" w:cs="Times New Roman" w:eastAsia="Times New Roman" w:hAnsi="Times New Roman"/>
          <w:sz w:val="24"/>
          <w:szCs w:val="24"/>
          <w:lang w:val="en-US"/>
        </w:rPr>
        <w:t xml:space="preserve"> regression operates by modeling the log-odds of a binary outcome (attrition vs. retention). The probability $p$ that an employee will leave is modeled as:</w:t>
      </w:r>
    </w:p>
    <w:p w14:paraId="00000065">
      <w:pPr>
        <w:spacing w:before="180" w:after="180" w:line="480" w:lineRule="auto"/>
        <w:ind w:firstLine="708"/>
        <w:jc w:val="left"/>
        <w:rPr>
          <w:rFonts w:ascii="Times New Roman" w:cs="Times New Roman" w:eastAsia="Times New Roman" w:hAnsi="Times New Roman"/>
          <w:sz w:val="24"/>
          <w:szCs w:val="24"/>
          <w:lang w:val="en-US"/>
        </w:rPr>
      </w:pPr>
      <w:r>
        <w:rPr/>
        <w:drawing xmlns:mc="http://schemas.openxmlformats.org/markup-compatibility/2006">
          <wp:inline distT="0" distB="0" distL="0" distR="0">
            <wp:extent cx="3805918" cy="677593"/>
            <wp:effectExtent l="0" t="0" r="0" b="0"/>
            <wp:docPr id="1434469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9143" name="drawing"/>
                    <pic:cNvPicPr/>
                  </pic:nvPicPr>
                  <pic:blipFill>
                    <a:blip r:embed="rId2074123229"/>
                    <a:srcRect/>
                    <a:stretch>
                      <a:fillRect/>
                    </a:stretch>
                  </pic:blipFill>
                  <pic:spPr>
                    <a:xfrm>
                      <a:off x="0" y="0"/>
                      <a:ext cx="3805918" cy="677593"/>
                    </a:xfrm>
                    <a:prstGeom prst="rect">
                      <a:avLst/>
                    </a:prstGeom>
                  </pic:spPr>
                </pic:pic>
              </a:graphicData>
            </a:graphic>
          </wp:inline>
        </w:drawing>
      </w:r>
    </w:p>
    <w:p w14:paraId="00000066">
      <w:pPr>
        <w:spacing w:before="180" w:after="180" w:line="480" w:lineRule="auto"/>
        <w:ind w:firstLine="708"/>
        <w:jc w:val="left"/>
        <w:rPr/>
      </w:pPr>
      <w:r>
        <w:rPr>
          <w:rFonts w:ascii="Times New Roman" w:cs="Times New Roman" w:eastAsia="Times New Roman" w:hAnsi="Times New Roman"/>
          <w:sz w:val="24"/>
          <w:szCs w:val="24"/>
          <w:lang w:val="en-US"/>
        </w:rPr>
        <w:t xml:space="preserve">Literature comparing algorithmic approaches—specifically Logistic Regression versus Ensemble Methods (like Random Forest)—highlights a trade-off between "accuracy" and "interpretability" (Pedregosa et al., 2011). </w:t>
      </w:r>
      <w:r>
        <w:rPr>
          <w:rFonts w:ascii="Times New Roman" w:cs="Times New Roman" w:eastAsia="Times New Roman" w:hAnsi="Times New Roman"/>
          <w:sz w:val="24"/>
          <w:szCs w:val="24"/>
          <w:lang w:val="en-US"/>
        </w:rPr>
        <w:t>Although the Random Forest model may produce a more accurate prediction model by considering the interaction effects between variables (for instance, an individual is likely to be at risk of leaving a company not just because he/she earns less money but also because of his/her prolonged commuting time), HR experts tend to choose the Logistic Regression approach. The reason is that coefficients will give clear grounds for explaining the reasons behind the decision.</w:t>
      </w:r>
    </w:p>
    <w:p w14:paraId="00000067">
      <w:pPr>
        <w:spacing w:before="180" w:after="180" w:line="480" w:lineRule="auto"/>
        <w:jc w:val="left"/>
        <w:rPr>
          <w:rFonts w:ascii="Times New Roman" w:cs="Times New Roman" w:eastAsia="Times New Roman" w:hAnsi="Times New Roman"/>
          <w:sz w:val="24"/>
          <w:szCs w:val="24"/>
          <w:lang w:val="en-US"/>
        </w:rPr>
      </w:pPr>
    </w:p>
    <w:p w14:paraId="00000068">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3.4 Summary of Top Attrition Drivers in Tech</w:t>
      </w:r>
    </w:p>
    <w:p w14:paraId="00000069">
      <w:pPr>
        <w:spacing w:before="180" w:after="180" w:line="480" w:lineRule="auto"/>
        <w:ind w:firstLine="708"/>
        <w:jc w:val="left"/>
        <w:rPr/>
      </w:pPr>
      <w:r>
        <w:rPr>
          <w:rFonts w:ascii="Times New Roman" w:cs="Times New Roman" w:eastAsia="Times New Roman" w:hAnsi="Times New Roman"/>
          <w:sz w:val="24"/>
          <w:szCs w:val="24"/>
          <w:lang w:val="en-US"/>
        </w:rPr>
        <w:t xml:space="preserve">Synthesizing recent studies on the technology workforce, three primary drivers consistently </w:t>
      </w:r>
      <w:r>
        <w:rPr>
          <w:rFonts w:ascii="Times New Roman" w:cs="Times New Roman" w:eastAsia="Times New Roman" w:hAnsi="Times New Roman"/>
          <w:sz w:val="24"/>
          <w:szCs w:val="24"/>
          <w:lang w:val="en-US"/>
        </w:rPr>
        <w:t>emerge</w:t>
      </w:r>
      <w:r>
        <w:rPr>
          <w:rFonts w:ascii="Times New Roman" w:cs="Times New Roman" w:eastAsia="Times New Roman" w:hAnsi="Times New Roman"/>
          <w:sz w:val="24"/>
          <w:szCs w:val="24"/>
          <w:lang w:val="en-US"/>
        </w:rPr>
        <w:t>:</w:t>
      </w:r>
    </w:p>
    <w:p w14:paraId="0000006A">
      <w:pPr>
        <w:pStyle w:val="ListParagraph"/>
        <w:numPr>
          <w:ilvl w:val="0"/>
          <w:numId w:val="37"/>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Overtime Work &amp; Exhaustion: In accordance with Maslach (2003), who carried out an investigation about job burnout, working overtime is considered among the leading signs of exhaustion and inefficiency at work. Increased turnover of 15% at TechCorp is an example of this scenario.</w:t>
      </w:r>
    </w:p>
    <w:p w14:paraId="0000006B">
      <w:pPr>
        <w:pStyle w:val="ListParagraph"/>
        <w:spacing w:before="180" w:after="180" w:line="480" w:lineRule="auto"/>
        <w:ind w:left="720"/>
        <w:jc w:val="left"/>
        <w:rPr/>
      </w:pPr>
    </w:p>
    <w:p w14:paraId="0000006C">
      <w:pPr>
        <w:pStyle w:val="ListParagraph"/>
        <w:numPr>
          <w:ilvl w:val="0"/>
          <w:numId w:val="37"/>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Compensation and Career Advancement: Monetary incentives continue to be an important element of the "Sacrifice" category. Monthly income stagnation compared to the market value is a major reason behind searching for other employment opportunities.</w:t>
      </w:r>
    </w:p>
    <w:p w14:paraId="0000006D">
      <w:pPr>
        <w:pStyle w:val="ListParagraph"/>
        <w:spacing w:before="180" w:after="180" w:line="480" w:lineRule="auto"/>
        <w:ind w:left="720"/>
        <w:jc w:val="left"/>
        <w:rPr/>
      </w:pPr>
    </w:p>
    <w:p w14:paraId="0000006E">
      <w:pPr>
        <w:pStyle w:val="ListParagraph"/>
        <w:numPr>
          <w:ilvl w:val="0"/>
          <w:numId w:val="37"/>
        </w:numPr>
        <w:spacing w:before="180" w:after="180" w:line="480" w:lineRule="auto"/>
        <w:jc w:val="left"/>
        <w:rPr/>
      </w:pPr>
      <w:r>
        <w:rPr>
          <w:rFonts w:ascii="Times New Roman" w:cs="Times New Roman" w:eastAsia="Times New Roman" w:hAnsi="Times New Roman"/>
          <w:sz w:val="24"/>
          <w:szCs w:val="24"/>
          <w:lang w:val="en-US"/>
        </w:rPr>
        <w:t xml:space="preserve">Demographic Mobility: Younger cohorts (Gen Z and Millennials) </w:t>
      </w:r>
      <w:r>
        <w:rPr>
          <w:rFonts w:ascii="Times New Roman" w:cs="Times New Roman" w:eastAsia="Times New Roman" w:hAnsi="Times New Roman"/>
          <w:sz w:val="24"/>
          <w:szCs w:val="24"/>
          <w:lang w:val="en-US"/>
        </w:rPr>
        <w:t>exhibit</w:t>
      </w:r>
      <w:r>
        <w:rPr>
          <w:rFonts w:ascii="Times New Roman" w:cs="Times New Roman" w:eastAsia="Times New Roman" w:hAnsi="Times New Roman"/>
          <w:sz w:val="24"/>
          <w:szCs w:val="24"/>
          <w:lang w:val="en-US"/>
        </w:rPr>
        <w:t xml:space="preserve"> higher rates of "job-hopping" as a career advancement strategy compared to </w:t>
      </w:r>
      <w:r>
        <w:rPr>
          <w:rFonts w:ascii="Times New Roman" w:cs="Times New Roman" w:eastAsia="Times New Roman" w:hAnsi="Times New Roman"/>
          <w:sz w:val="24"/>
          <w:szCs w:val="24"/>
          <w:lang w:val="en-US"/>
        </w:rPr>
        <w:t>previous</w:t>
      </w:r>
      <w:r>
        <w:rPr>
          <w:rFonts w:ascii="Times New Roman" w:cs="Times New Roman" w:eastAsia="Times New Roman" w:hAnsi="Times New Roman"/>
          <w:sz w:val="24"/>
          <w:szCs w:val="24"/>
          <w:lang w:val="en-US"/>
        </w:rPr>
        <w:t xml:space="preserve"> generations, making "Age" a consistent demographic predictor in HR models.</w:t>
      </w:r>
    </w:p>
    <w:p w14:paraId="0000006F">
      <w:pPr>
        <w:pStyle w:val="Normal"/>
        <w:spacing w:line="480" w:lineRule="auto"/>
        <w:ind w:firstLine="0"/>
        <w:jc w:val="left"/>
        <w:rPr>
          <w:lang w:val="en-US"/>
        </w:rPr>
      </w:pPr>
    </w:p>
    <w:p w14:paraId="00000070">
      <w:pPr>
        <w:pStyle w:val="Normal"/>
        <w:spacing w:line="480" w:lineRule="auto"/>
        <w:ind w:firstLine="0"/>
        <w:jc w:val="left"/>
        <w:rPr>
          <w:b/>
          <w:bCs/>
          <w:sz w:val="48"/>
          <w:szCs w:val="48"/>
          <w:lang w:val="en-US"/>
        </w:rPr>
      </w:pPr>
      <w:r>
        <w:rPr>
          <w:b/>
          <w:bCs/>
          <w:sz w:val="48"/>
          <w:szCs w:val="48"/>
          <w:lang w:val="en-US"/>
        </w:rPr>
        <w:t>4. Identification of Study Object</w:t>
      </w:r>
    </w:p>
    <w:p w14:paraId="00000071">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4.1 Dataset Origin and Contextual Selection</w:t>
      </w:r>
    </w:p>
    <w:p w14:paraId="00000072">
      <w:pPr>
        <w:spacing w:before="180" w:after="180" w:line="480" w:lineRule="auto"/>
        <w:ind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The primary study object for this analytical project is the IBM HR Analytics Employee Attrition &amp; Performance dataset. Although the ultimate focus of this research relates to the specific business challenges faced by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Solutions, this </w:t>
      </w:r>
      <w:r>
        <w:rPr>
          <w:rFonts w:ascii="Times New Roman" w:cs="Times New Roman" w:eastAsia="Times New Roman" w:hAnsi="Times New Roman"/>
          <w:sz w:val="24"/>
          <w:szCs w:val="24"/>
          <w:lang w:val="en-US"/>
        </w:rPr>
        <w:t>IBM</w:t>
      </w:r>
      <w:r>
        <w:rPr>
          <w:rFonts w:ascii="Times New Roman" w:cs="Times New Roman" w:eastAsia="Times New Roman" w:hAnsi="Times New Roman"/>
          <w:sz w:val="24"/>
          <w:szCs w:val="24"/>
          <w:lang w:val="en-US"/>
        </w:rPr>
        <w:t xml:space="preserve"> dataset has been chosen because of its highly realistic depiction of the factors that affect the career lifespan and behavioral patterns in the modern technology industry.</w:t>
      </w:r>
    </w:p>
    <w:p w14:paraId="00000073">
      <w:pPr>
        <w:spacing w:before="180" w:after="180" w:line="480" w:lineRule="auto"/>
        <w:ind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This dataset includes the granular information of 1,470 distinct employees, mapping 35 different categorical and numerical attributes of their professional profiles. In an academic research environment, the selection of this study object is deeply justified by its widely recognized "Gold Standard" status in HR Informatics literature. It offers a standardized, rigorously formatted environment where predictive hypotheses such as the correlation between continuous "Overtime" and voluntary "Resignation" can be mathematically tested without </w:t>
      </w:r>
      <w:r>
        <w:rPr>
          <w:rFonts w:ascii="Times New Roman" w:cs="Times New Roman" w:eastAsia="Times New Roman" w:hAnsi="Times New Roman"/>
          <w:sz w:val="24"/>
          <w:szCs w:val="24"/>
          <w:lang w:val="en-US"/>
        </w:rPr>
        <w:t>encountering</w:t>
      </w:r>
      <w:r>
        <w:rPr>
          <w:rFonts w:ascii="Times New Roman" w:cs="Times New Roman" w:eastAsia="Times New Roman" w:hAnsi="Times New Roman"/>
          <w:sz w:val="24"/>
          <w:szCs w:val="24"/>
          <w:lang w:val="en-US"/>
        </w:rPr>
        <w:t xml:space="preserve"> the severe data-governance limitations, privacy restrictions, or missing records often found in raw, internal corporate databases. For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this dataset effectively serves as the analytical "laboratory" where the predictive model is tuned and perfected before being deployed on live internal HRIS data.</w:t>
      </w:r>
    </w:p>
    <w:p w14:paraId="00000074">
      <w:pPr>
        <w:spacing w:before="180" w:after="180" w:line="480" w:lineRule="auto"/>
        <w:jc w:val="left"/>
        <w:rPr>
          <w:rFonts w:ascii="Times New Roman" w:cs="Times New Roman" w:eastAsia="Times New Roman" w:hAnsi="Times New Roman"/>
          <w:sz w:val="24"/>
          <w:szCs w:val="24"/>
          <w:lang w:val="en-US"/>
        </w:rPr>
      </w:pPr>
    </w:p>
    <w:p w14:paraId="00000075">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4.2 Structural Overview and Variable Matrix</w:t>
      </w:r>
    </w:p>
    <w:p w14:paraId="00000076">
      <w:pPr>
        <w:spacing w:before="180" w:after="180" w:line="480" w:lineRule="auto"/>
        <w:ind w:firstLine="708"/>
        <w:jc w:val="left"/>
        <w:rPr/>
      </w:pPr>
      <w:r>
        <w:rPr>
          <w:rFonts w:ascii="Times New Roman" w:cs="Times New Roman" w:eastAsia="Times New Roman" w:hAnsi="Times New Roman"/>
          <w:sz w:val="24"/>
          <w:szCs w:val="24"/>
          <w:lang w:val="en-US"/>
        </w:rPr>
        <w:t>The dataset is structured as a two-dimensional flat-file CSV, containing a blend of categorical, ordinal, and continuous numerical data points. To facilitate a comprehensive analysis, these 35 variables must be categorized into distinct "dimensions" that map directly to the business factors identified in the Introduction:</w:t>
      </w:r>
    </w:p>
    <w:p w14:paraId="00000077">
      <w:pPr>
        <w:spacing w:before="180" w:after="180" w:line="480" w:lineRule="auto"/>
        <w:ind w:firstLine="0"/>
        <w:jc w:val="left"/>
        <w:rPr>
          <w:rFonts w:ascii="Times New Roman" w:cs="Times New Roman" w:eastAsia="Times New Roman" w:hAnsi="Times New Roman"/>
          <w:sz w:val="24"/>
          <w:szCs w:val="24"/>
          <w:lang w:val="en-US"/>
        </w:rPr>
      </w:pPr>
    </w:p>
    <w:p w14:paraId="00000078">
      <w:pPr>
        <w:spacing w:before="180" w:after="180" w:line="480" w:lineRule="auto"/>
        <w:ind w:firstLine="0"/>
        <w:jc w:val="left"/>
        <w:rPr>
          <w:rFonts w:ascii="Times New Roman" w:cs="Times New Roman" w:eastAsia="Times New Roman" w:hAnsi="Times New Roman"/>
          <w:sz w:val="24"/>
          <w:szCs w:val="24"/>
          <w:u w:val="none"/>
          <w:lang w:val="en-US"/>
        </w:rPr>
      </w:pPr>
      <w:r>
        <w:rPr>
          <w:rFonts w:ascii="Times New Roman" w:cs="Times New Roman" w:eastAsia="Times New Roman" w:hAnsi="Times New Roman"/>
          <w:i/>
          <w:iCs/>
          <w:sz w:val="24"/>
          <w:szCs w:val="24"/>
          <w:u w:val="none"/>
          <w:lang w:val="en-US"/>
        </w:rPr>
        <w:t>Dimension 1: Behavioral &amp; Environmental Sentiment</w:t>
      </w:r>
      <w:r>
        <w:rPr>
          <w:rFonts w:ascii="Times New Roman" w:cs="Times New Roman" w:eastAsia="Times New Roman" w:hAnsi="Times New Roman"/>
          <w:sz w:val="24"/>
          <w:szCs w:val="24"/>
          <w:u w:val="none"/>
          <w:lang w:val="en-US"/>
        </w:rPr>
        <w:t xml:space="preserve"> </w:t>
      </w:r>
    </w:p>
    <w:p w14:paraId="00000079">
      <w:pPr>
        <w:spacing w:before="180" w:after="180" w:line="480" w:lineRule="auto"/>
        <w:ind w:firstLine="708"/>
        <w:jc w:val="left"/>
        <w:rPr/>
      </w:pPr>
      <w:r>
        <w:rPr>
          <w:rFonts w:ascii="Times New Roman" w:cs="Times New Roman" w:eastAsia="Times New Roman" w:hAnsi="Times New Roman"/>
          <w:sz w:val="24"/>
          <w:szCs w:val="24"/>
          <w:lang w:val="en-US"/>
        </w:rPr>
        <w:t>These variables act as proxies for the "Job Embeddedness" discussed in the Literature Review:</w:t>
      </w:r>
    </w:p>
    <w:p w14:paraId="0000007A">
      <w:pPr>
        <w:pStyle w:val="ListParagraph"/>
        <w:numPr>
          <w:ilvl w:val="0"/>
          <w:numId w:val="36"/>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EnvironmentSatisfaction</w:t>
      </w:r>
      <w:r>
        <w:rPr>
          <w:rFonts w:ascii="Times New Roman" w:cs="Times New Roman" w:eastAsia="Times New Roman" w:hAnsi="Times New Roman"/>
          <w:sz w:val="24"/>
          <w:szCs w:val="24"/>
          <w:lang w:val="en-US"/>
        </w:rPr>
        <w:t xml:space="preserve">: An </w:t>
      </w:r>
      <w:r>
        <w:rPr>
          <w:rFonts w:ascii="Times New Roman" w:cs="Times New Roman" w:eastAsia="Times New Roman" w:hAnsi="Times New Roman"/>
          <w:sz w:val="24"/>
          <w:szCs w:val="24"/>
          <w:lang w:val="en-US"/>
        </w:rPr>
        <w:t>ordinary</w:t>
      </w:r>
      <w:r>
        <w:rPr>
          <w:rFonts w:ascii="Times New Roman" w:cs="Times New Roman" w:eastAsia="Times New Roman" w:hAnsi="Times New Roman"/>
          <w:sz w:val="24"/>
          <w:szCs w:val="24"/>
          <w:lang w:val="en-US"/>
        </w:rPr>
        <w:t xml:space="preserve"> scale (1</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 xml:space="preserve">4) </w:t>
      </w:r>
      <w:r>
        <w:rPr>
          <w:rFonts w:ascii="Times New Roman" w:cs="Times New Roman" w:eastAsia="Times New Roman" w:hAnsi="Times New Roman"/>
          <w:sz w:val="24"/>
          <w:szCs w:val="24"/>
          <w:lang w:val="en-US"/>
        </w:rPr>
        <w:t>representing</w:t>
      </w:r>
      <w:r>
        <w:rPr>
          <w:rFonts w:ascii="Times New Roman" w:cs="Times New Roman" w:eastAsia="Times New Roman" w:hAnsi="Times New Roman"/>
          <w:sz w:val="24"/>
          <w:szCs w:val="24"/>
          <w:lang w:val="en-US"/>
        </w:rPr>
        <w:t xml:space="preserve"> the employee's </w:t>
      </w:r>
      <w:r>
        <w:rPr>
          <w:rFonts w:ascii="Times New Roman" w:cs="Times New Roman" w:eastAsia="Times New Roman" w:hAnsi="Times New Roman"/>
          <w:sz w:val="24"/>
          <w:szCs w:val="24"/>
          <w:lang w:val="en-US"/>
        </w:rPr>
        <w:t>perception</w:t>
      </w:r>
      <w:r>
        <w:rPr>
          <w:rFonts w:ascii="Times New Roman" w:cs="Times New Roman" w:eastAsia="Times New Roman" w:hAnsi="Times New Roman"/>
          <w:sz w:val="24"/>
          <w:szCs w:val="24"/>
          <w:lang w:val="en-US"/>
        </w:rPr>
        <w:t xml:space="preserve"> of the physical and cultural workspace.</w:t>
      </w:r>
    </w:p>
    <w:p w14:paraId="0000007B">
      <w:pPr>
        <w:pStyle w:val="ListParagraph"/>
        <w:spacing w:before="180" w:after="180" w:line="480" w:lineRule="auto"/>
        <w:ind w:left="720"/>
        <w:jc w:val="left"/>
        <w:rPr/>
      </w:pPr>
    </w:p>
    <w:p w14:paraId="0000007C">
      <w:pPr>
        <w:pStyle w:val="ListParagraph"/>
        <w:numPr>
          <w:ilvl w:val="0"/>
          <w:numId w:val="36"/>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JobInvolvement</w:t>
      </w:r>
      <w:r>
        <w:rPr>
          <w:rFonts w:ascii="Times New Roman" w:cs="Times New Roman" w:eastAsia="Times New Roman" w:hAnsi="Times New Roman"/>
          <w:sz w:val="24"/>
          <w:szCs w:val="24"/>
          <w:lang w:val="en-US"/>
        </w:rPr>
        <w:t xml:space="preserve">: Measures the degree to which an employee </w:t>
      </w:r>
      <w:r>
        <w:rPr>
          <w:rFonts w:ascii="Times New Roman" w:cs="Times New Roman" w:eastAsia="Times New Roman" w:hAnsi="Times New Roman"/>
          <w:sz w:val="24"/>
          <w:szCs w:val="24"/>
          <w:lang w:val="en-US"/>
        </w:rPr>
        <w:t>identifies</w:t>
      </w:r>
      <w:r>
        <w:rPr>
          <w:rFonts w:ascii="Times New Roman" w:cs="Times New Roman" w:eastAsia="Times New Roman" w:hAnsi="Times New Roman"/>
          <w:sz w:val="24"/>
          <w:szCs w:val="24"/>
          <w:lang w:val="en-US"/>
        </w:rPr>
        <w:t xml:space="preserve"> psychologically with their work.</w:t>
      </w:r>
    </w:p>
    <w:p w14:paraId="0000007D">
      <w:pPr>
        <w:pStyle w:val="ListParagraph"/>
        <w:spacing w:before="180" w:after="180" w:line="480" w:lineRule="auto"/>
        <w:ind w:left="720"/>
        <w:jc w:val="left"/>
        <w:rPr/>
      </w:pPr>
    </w:p>
    <w:p w14:paraId="0000007E">
      <w:pPr>
        <w:pStyle w:val="ListParagraph"/>
        <w:numPr>
          <w:ilvl w:val="0"/>
          <w:numId w:val="36"/>
        </w:numPr>
        <w:spacing w:before="180" w:after="180" w:line="480" w:lineRule="auto"/>
        <w:jc w:val="left"/>
        <w:rPr/>
      </w:pPr>
      <w:r>
        <w:rPr>
          <w:rFonts w:ascii="Times New Roman" w:cs="Times New Roman" w:eastAsia="Times New Roman" w:hAnsi="Times New Roman"/>
          <w:sz w:val="24"/>
          <w:szCs w:val="24"/>
          <w:lang w:val="en-US"/>
        </w:rPr>
        <w:t>RelationshipSatisfaction</w:t>
      </w:r>
      <w:r>
        <w:rPr>
          <w:rFonts w:ascii="Times New Roman" w:cs="Times New Roman" w:eastAsia="Times New Roman" w:hAnsi="Times New Roman"/>
          <w:sz w:val="24"/>
          <w:szCs w:val="24"/>
          <w:lang w:val="en-US"/>
        </w:rPr>
        <w:t>: Quantifies the health of links between the employee and their immediate colleagues.</w:t>
      </w:r>
    </w:p>
    <w:p w14:paraId="0000007F">
      <w:pPr>
        <w:spacing w:before="180" w:after="180" w:line="480" w:lineRule="auto"/>
        <w:jc w:val="left"/>
        <w:rPr>
          <w:rFonts w:ascii="Times New Roman" w:cs="Times New Roman" w:eastAsia="Times New Roman" w:hAnsi="Times New Roman"/>
          <w:sz w:val="24"/>
          <w:szCs w:val="24"/>
          <w:lang w:val="en-US"/>
        </w:rPr>
      </w:pPr>
    </w:p>
    <w:p w14:paraId="00000080">
      <w:pPr>
        <w:spacing w:before="180" w:after="180" w:line="480" w:lineRule="auto"/>
        <w:jc w:val="left"/>
        <w:rPr>
          <w:rFonts w:ascii="Times New Roman" w:cs="Times New Roman" w:eastAsia="Times New Roman" w:hAnsi="Times New Roman"/>
          <w:i/>
          <w:iCs/>
          <w:sz w:val="24"/>
          <w:szCs w:val="24"/>
          <w:lang w:val="en-US"/>
        </w:rPr>
      </w:pPr>
      <w:r>
        <w:rPr>
          <w:rFonts w:ascii="Times New Roman" w:cs="Times New Roman" w:eastAsia="Times New Roman" w:hAnsi="Times New Roman"/>
          <w:i/>
          <w:iCs/>
          <w:sz w:val="24"/>
          <w:szCs w:val="24"/>
          <w:lang w:val="en-US"/>
        </w:rPr>
        <w:t xml:space="preserve">Dimension 2: Financial and Professional Progression </w:t>
      </w:r>
    </w:p>
    <w:p w14:paraId="00000081">
      <w:pPr>
        <w:spacing w:before="180" w:after="180" w:line="480" w:lineRule="auto"/>
        <w:ind w:firstLine="708"/>
        <w:jc w:val="left"/>
        <w:rPr/>
      </w:pPr>
      <w:r>
        <w:rPr>
          <w:rFonts w:ascii="Times New Roman" w:cs="Times New Roman" w:eastAsia="Times New Roman" w:hAnsi="Times New Roman"/>
          <w:sz w:val="24"/>
          <w:szCs w:val="24"/>
          <w:lang w:val="en-US"/>
        </w:rPr>
        <w:t xml:space="preserve">These variables quantify the "Sacrifice" </w:t>
      </w:r>
      <w:r>
        <w:rPr>
          <w:rFonts w:ascii="Times New Roman" w:cs="Times New Roman" w:eastAsia="Times New Roman" w:hAnsi="Times New Roman"/>
          <w:sz w:val="24"/>
          <w:szCs w:val="24"/>
          <w:lang w:val="en-US"/>
        </w:rPr>
        <w:t>component</w:t>
      </w:r>
      <w:r>
        <w:rPr>
          <w:rFonts w:ascii="Times New Roman" w:cs="Times New Roman" w:eastAsia="Times New Roman" w:hAnsi="Times New Roman"/>
          <w:sz w:val="24"/>
          <w:szCs w:val="24"/>
          <w:lang w:val="en-US"/>
        </w:rPr>
        <w:t xml:space="preserve"> of turnover:</w:t>
      </w:r>
    </w:p>
    <w:p w14:paraId="00000082">
      <w:pPr>
        <w:pStyle w:val="ListParagraph"/>
        <w:numPr>
          <w:ilvl w:val="0"/>
          <w:numId w:val="35"/>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MonthlyIncome: The primary financial anchor. In the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context, this is a critical driver for senior developers.</w:t>
      </w:r>
    </w:p>
    <w:p w14:paraId="00000083">
      <w:pPr>
        <w:pStyle w:val="ListParagraph"/>
        <w:spacing w:before="180" w:after="180" w:line="480" w:lineRule="auto"/>
        <w:ind w:left="720"/>
        <w:jc w:val="left"/>
        <w:rPr/>
      </w:pPr>
    </w:p>
    <w:p w14:paraId="00000084">
      <w:pPr>
        <w:pStyle w:val="ListParagraph"/>
        <w:numPr>
          <w:ilvl w:val="0"/>
          <w:numId w:val="35"/>
        </w:numPr>
        <w:spacing w:before="180" w:after="180" w:line="480" w:lineRule="auto"/>
        <w:jc w:val="left"/>
        <w:rPr/>
      </w:pPr>
      <w:r>
        <w:rPr>
          <w:rFonts w:ascii="Times New Roman" w:cs="Times New Roman" w:eastAsia="Times New Roman" w:hAnsi="Times New Roman"/>
          <w:sz w:val="24"/>
          <w:szCs w:val="24"/>
          <w:lang w:val="en-US"/>
        </w:rPr>
        <w:t>JobLevel</w:t>
      </w:r>
      <w:r>
        <w:rPr>
          <w:rFonts w:ascii="Times New Roman" w:cs="Times New Roman" w:eastAsia="Times New Roman" w:hAnsi="Times New Roman"/>
          <w:sz w:val="24"/>
          <w:szCs w:val="24"/>
          <w:lang w:val="en-US"/>
        </w:rPr>
        <w:t xml:space="preserve"> &amp; </w:t>
      </w:r>
      <w:r>
        <w:rPr>
          <w:rFonts w:ascii="Times New Roman" w:cs="Times New Roman" w:eastAsia="Times New Roman" w:hAnsi="Times New Roman"/>
          <w:sz w:val="24"/>
          <w:szCs w:val="24"/>
          <w:lang w:val="en-US"/>
        </w:rPr>
        <w:t>StockOptionLevel</w:t>
      </w:r>
      <w:r>
        <w:rPr>
          <w:rFonts w:ascii="Times New Roman" w:cs="Times New Roman" w:eastAsia="Times New Roman" w:hAnsi="Times New Roman"/>
          <w:sz w:val="24"/>
          <w:szCs w:val="24"/>
          <w:lang w:val="en-US"/>
        </w:rPr>
        <w:t>: Represent the professional seniority and long-term financial "hooks" that tie an employee to the organization.</w:t>
      </w:r>
    </w:p>
    <w:p w14:paraId="00000085">
      <w:pPr>
        <w:spacing w:before="180" w:after="180" w:line="480" w:lineRule="auto"/>
        <w:jc w:val="left"/>
        <w:rPr>
          <w:rFonts w:ascii="Times New Roman" w:cs="Times New Roman" w:eastAsia="Times New Roman" w:hAnsi="Times New Roman"/>
          <w:sz w:val="24"/>
          <w:szCs w:val="24"/>
          <w:lang w:val="en-US"/>
        </w:rPr>
      </w:pPr>
    </w:p>
    <w:p w14:paraId="00000086">
      <w:pPr>
        <w:spacing w:before="180" w:after="180" w:line="480" w:lineRule="auto"/>
        <w:jc w:val="left"/>
        <w:rPr>
          <w:rFonts w:ascii="Times New Roman" w:cs="Times New Roman" w:eastAsia="Times New Roman" w:hAnsi="Times New Roman"/>
          <w:i/>
          <w:iCs/>
          <w:sz w:val="24"/>
          <w:szCs w:val="24"/>
          <w:lang w:val="en-US"/>
        </w:rPr>
      </w:pPr>
      <w:r>
        <w:rPr>
          <w:rFonts w:ascii="Times New Roman" w:cs="Times New Roman" w:eastAsia="Times New Roman" w:hAnsi="Times New Roman"/>
          <w:i/>
          <w:iCs/>
          <w:sz w:val="24"/>
          <w:szCs w:val="24"/>
          <w:lang w:val="en-US"/>
        </w:rPr>
        <w:t>Dimension 3: Work-Life Balance and Strain</w:t>
      </w:r>
    </w:p>
    <w:p w14:paraId="00000087">
      <w:pPr>
        <w:spacing w:before="180" w:after="180" w:line="480" w:lineRule="auto"/>
        <w:ind w:firstLine="708"/>
        <w:jc w:val="left"/>
        <w:rPr>
          <w:rFonts w:ascii="Times New Roman" w:cs="Times New Roman" w:eastAsia="Times New Roman" w:hAnsi="Times New Roman"/>
          <w:i w:val="off"/>
          <w:iCs w:val="off"/>
          <w:sz w:val="24"/>
          <w:szCs w:val="24"/>
          <w:lang w:val="en-US"/>
        </w:rPr>
      </w:pPr>
      <w:r>
        <w:rPr>
          <w:rFonts w:ascii="Times New Roman" w:cs="Times New Roman" w:eastAsia="Times New Roman" w:hAnsi="Times New Roman"/>
          <w:i w:val="off"/>
          <w:iCs w:val="off"/>
          <w:sz w:val="24"/>
          <w:szCs w:val="24"/>
          <w:lang w:val="en-US"/>
        </w:rPr>
        <w:t>These are the primary "Push" factors:</w:t>
      </w:r>
    </w:p>
    <w:p w14:paraId="00000088">
      <w:pPr>
        <w:pStyle w:val="ListParagraph"/>
        <w:numPr>
          <w:ilvl w:val="0"/>
          <w:numId w:val="34"/>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OverTime: A binary indicator (Yes/No). As </w:t>
      </w:r>
      <w:r>
        <w:rPr>
          <w:rFonts w:ascii="Times New Roman" w:cs="Times New Roman" w:eastAsia="Times New Roman" w:hAnsi="Times New Roman"/>
          <w:sz w:val="24"/>
          <w:szCs w:val="24"/>
          <w:lang w:val="en-US"/>
        </w:rPr>
        <w:t>identified</w:t>
      </w:r>
      <w:r>
        <w:rPr>
          <w:rFonts w:ascii="Times New Roman" w:cs="Times New Roman" w:eastAsia="Times New Roman" w:hAnsi="Times New Roman"/>
          <w:sz w:val="24"/>
          <w:szCs w:val="24"/>
          <w:lang w:val="en-US"/>
        </w:rPr>
        <w:t xml:space="preserve"> in Week 2, this is the strongest predictor of attrition in the dataset.</w:t>
      </w:r>
    </w:p>
    <w:p w14:paraId="00000089">
      <w:pPr>
        <w:pStyle w:val="ListParagraph"/>
        <w:spacing w:before="180" w:after="180" w:line="480" w:lineRule="auto"/>
        <w:ind w:left="720"/>
        <w:jc w:val="left"/>
        <w:rPr/>
      </w:pPr>
    </w:p>
    <w:p w14:paraId="0000008A">
      <w:pPr>
        <w:pStyle w:val="ListParagraph"/>
        <w:numPr>
          <w:ilvl w:val="0"/>
          <w:numId w:val="34"/>
        </w:numPr>
        <w:spacing w:before="180" w:after="180" w:line="480" w:lineRule="auto"/>
        <w:jc w:val="left"/>
        <w:rPr/>
      </w:pPr>
      <w:r>
        <w:rPr>
          <w:rFonts w:ascii="Times New Roman" w:cs="Times New Roman" w:eastAsia="Times New Roman" w:hAnsi="Times New Roman"/>
          <w:sz w:val="24"/>
          <w:szCs w:val="24"/>
          <w:lang w:val="en-US"/>
        </w:rPr>
        <w:t>BusinessTravel</w:t>
      </w:r>
      <w:r>
        <w:rPr>
          <w:rFonts w:ascii="Times New Roman" w:cs="Times New Roman" w:eastAsia="Times New Roman" w:hAnsi="Times New Roman"/>
          <w:sz w:val="24"/>
          <w:szCs w:val="24"/>
          <w:lang w:val="en-US"/>
        </w:rPr>
        <w:t xml:space="preserve">: Categorical (Non-Travel, </w:t>
      </w:r>
      <w:r>
        <w:rPr>
          <w:rFonts w:ascii="Times New Roman" w:cs="Times New Roman" w:eastAsia="Times New Roman" w:hAnsi="Times New Roman"/>
          <w:sz w:val="24"/>
          <w:szCs w:val="24"/>
          <w:lang w:val="en-US"/>
        </w:rPr>
        <w:t>Travel_Rarely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Travel_Frequently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representing</w:t>
      </w:r>
      <w:r>
        <w:rPr>
          <w:rFonts w:ascii="Times New Roman" w:cs="Times New Roman" w:eastAsia="Times New Roman" w:hAnsi="Times New Roman"/>
          <w:sz w:val="24"/>
          <w:szCs w:val="24"/>
          <w:lang w:val="en-US"/>
        </w:rPr>
        <w:t xml:space="preserve"> the physical toll of the role.</w:t>
      </w:r>
    </w:p>
    <w:tbl>
      <w:tblPr>
        <w:tblStyle w:val="NormalTable"/>
        <w:bidiVisual w:val="off"/>
        <w:tblW w:w="0" w:type="auto"/>
        <w:tblLook w:val="06A0"/>
      </w:tblPr>
      <w:tblGrid>
        <w:gridCol w:w="1500"/>
        <w:gridCol w:w="708"/>
        <w:gridCol w:w="1670"/>
        <w:gridCol w:w="1861"/>
      </w:tblGrid>
      <w:tr>
        <w:trPr>
          <w:trHeight w:val="300"/>
        </w:trPr>
        <w:tc>
          <w:tcPr>
            <w:cnfStyle w:val="101000000000"/>
            <w:tcW w:w="150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08B">
            <w:pPr>
              <w:spacing w:before="0" w:after="0"/>
              <w:rPr/>
            </w:pPr>
            <w:r>
              <w:rPr>
                <w:b/>
                <w:bCs/>
                <w:color w:val="1f1f1f"/>
              </w:rPr>
              <w:t>Statistic</w:t>
            </w:r>
          </w:p>
        </w:tc>
        <w:tc>
          <w:tcPr>
            <w:cnfStyle w:val="100000000000"/>
            <w:tcW w:w="65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08C">
            <w:pPr>
              <w:spacing w:before="0" w:after="0"/>
              <w:rPr/>
            </w:pPr>
            <w:r>
              <w:rPr>
                <w:b/>
                <w:bCs/>
                <w:color w:val="1f1f1f"/>
              </w:rPr>
              <w:t>Age</w:t>
            </w:r>
          </w:p>
        </w:tc>
        <w:tc>
          <w:tcPr>
            <w:cnfStyle w:val="100000000000"/>
            <w:tcW w:w="167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08D">
            <w:pPr>
              <w:spacing w:before="0" w:after="0"/>
              <w:rPr/>
            </w:pPr>
            <w:r>
              <w:rPr>
                <w:b/>
                <w:bCs/>
                <w:color w:val="1f1f1f"/>
              </w:rPr>
              <w:t>Monthly Income</w:t>
            </w:r>
          </w:p>
        </w:tc>
        <w:tc>
          <w:tcPr>
            <w:cnfStyle w:val="100000000000"/>
            <w:tcW w:w="1861" w:type="dxa"/>
            <w:tcBorders>
              <w:top w:val="single" w:sz="6" w:space="0"/>
              <w:left w:val="single" w:sz="6" w:space="0"/>
              <w:bottom w:val="single" w:sz="6" w:space="0"/>
              <w:right w:val="single" w:sz="6" w:space="0"/>
            </w:tcBorders>
            <w:shd w:val="clear" w:color="auto" w:fill="efefef"/>
            <w:tcMar>
              <w:top w:w="240" w:type="dxa"/>
              <w:bottom w:w="240" w:type="dxa"/>
            </w:tcMar>
            <w:vAlign w:val="center"/>
          </w:tcPr>
          <w:p w14:paraId="0000008E">
            <w:pPr>
              <w:spacing w:before="0" w:after="0"/>
              <w:rPr/>
            </w:pPr>
            <w:r>
              <w:rPr>
                <w:b/>
                <w:bCs/>
                <w:color w:val="1f1f1f"/>
              </w:rPr>
              <w:t>Years at Company</w:t>
            </w:r>
          </w:p>
        </w:tc>
      </w:tr>
      <w:tr>
        <w:trPr>
          <w:trHeight w:val="300"/>
        </w:trPr>
        <w:tc>
          <w:tcPr>
            <w:cnfStyle w:val="001000000000"/>
            <w:tcW w:w="1500" w:type="dxa"/>
            <w:tcBorders>
              <w:top w:val="single" w:sz="6" w:space="0"/>
              <w:left w:val="single" w:sz="6" w:space="0"/>
              <w:bottom w:val="single" w:sz="6" w:space="0"/>
              <w:right w:val="single" w:sz="6" w:space="0"/>
            </w:tcBorders>
            <w:tcMar>
              <w:top w:w="240" w:type="dxa"/>
              <w:bottom w:w="240" w:type="dxa"/>
              <w:right w:w="180" w:type="dxa"/>
            </w:tcMar>
            <w:vAlign w:val="center"/>
          </w:tcPr>
          <w:p w14:paraId="0000008F">
            <w:pPr>
              <w:spacing w:before="0" w:after="0"/>
              <w:rPr/>
            </w:pPr>
            <w:r>
              <w:rPr>
                <w:b/>
                <w:bCs/>
                <w:color w:val="1f1f1f"/>
              </w:rPr>
              <w:t>Mean</w:t>
            </w:r>
          </w:p>
        </w:tc>
        <w:tc>
          <w:tcPr>
            <w:cnfStyle w:val="000000000000"/>
            <w:tcW w:w="650" w:type="dxa"/>
            <w:tcBorders>
              <w:top w:val="single" w:sz="6" w:space="0"/>
              <w:left w:val="single" w:sz="6" w:space="0"/>
              <w:bottom w:val="single" w:sz="6" w:space="0"/>
              <w:right w:val="single" w:sz="6" w:space="0"/>
            </w:tcBorders>
            <w:tcMar>
              <w:top w:w="240" w:type="dxa"/>
              <w:bottom w:w="240" w:type="dxa"/>
              <w:right w:w="180" w:type="dxa"/>
            </w:tcMar>
            <w:vAlign w:val="center"/>
          </w:tcPr>
          <w:p w14:paraId="00000090">
            <w:pPr>
              <w:spacing w:before="0" w:after="0"/>
              <w:rPr/>
            </w:pPr>
            <w:r>
              <w:rPr>
                <w:color w:val="1f1f1f"/>
              </w:rPr>
              <w:t>36.9</w:t>
            </w:r>
          </w:p>
        </w:tc>
        <w:tc>
          <w:tcPr>
            <w:cnfStyle w:val="000000000000"/>
            <w:tcW w:w="1670" w:type="dxa"/>
            <w:tcBorders>
              <w:top w:val="single" w:sz="6" w:space="0"/>
              <w:left w:val="single" w:sz="6" w:space="0"/>
              <w:bottom w:val="single" w:sz="6" w:space="0"/>
              <w:right w:val="single" w:sz="6" w:space="0"/>
            </w:tcBorders>
            <w:tcMar>
              <w:top w:w="240" w:type="dxa"/>
              <w:bottom w:w="240" w:type="dxa"/>
              <w:right w:w="180" w:type="dxa"/>
            </w:tcMar>
            <w:vAlign w:val="center"/>
          </w:tcPr>
          <w:p w14:paraId="00000091">
            <w:pPr>
              <w:spacing w:before="0" w:after="0"/>
              <w:rPr/>
            </w:pPr>
            <w:r>
              <w:rPr>
                <w:color w:val="1f1f1f"/>
              </w:rPr>
              <w:t>$6,502</w:t>
            </w:r>
          </w:p>
        </w:tc>
        <w:tc>
          <w:tcPr>
            <w:cnfStyle w:val="000000000000"/>
            <w:tcW w:w="1861" w:type="dxa"/>
            <w:tcBorders>
              <w:top w:val="single" w:sz="6" w:space="0"/>
              <w:left w:val="single" w:sz="6" w:space="0"/>
              <w:bottom w:val="single" w:sz="6" w:space="0"/>
              <w:right w:val="single" w:sz="6" w:space="0"/>
            </w:tcBorders>
            <w:tcMar>
              <w:top w:w="240" w:type="dxa"/>
              <w:bottom w:w="240" w:type="dxa"/>
            </w:tcMar>
            <w:vAlign w:val="center"/>
          </w:tcPr>
          <w:p w14:paraId="00000092">
            <w:pPr>
              <w:spacing w:before="0" w:after="0"/>
              <w:rPr/>
            </w:pPr>
            <w:r>
              <w:rPr>
                <w:color w:val="1f1f1f"/>
              </w:rPr>
              <w:t>7.0</w:t>
            </w:r>
          </w:p>
        </w:tc>
      </w:tr>
      <w:tr>
        <w:trPr>
          <w:trHeight w:val="300"/>
        </w:trPr>
        <w:tc>
          <w:tcPr>
            <w:cnfStyle w:val="001000000000"/>
            <w:tcW w:w="1500" w:type="dxa"/>
            <w:tcBorders>
              <w:top w:val="single" w:sz="6" w:space="0"/>
              <w:left w:val="single" w:sz="6" w:space="0"/>
              <w:bottom w:val="single" w:sz="6" w:space="0"/>
              <w:right w:val="single" w:sz="6" w:space="0"/>
            </w:tcBorders>
            <w:tcMar>
              <w:top w:w="240" w:type="dxa"/>
              <w:bottom w:w="240" w:type="dxa"/>
              <w:right w:w="180" w:type="dxa"/>
            </w:tcMar>
            <w:vAlign w:val="center"/>
          </w:tcPr>
          <w:p w14:paraId="00000093">
            <w:pPr>
              <w:spacing w:before="0" w:after="0"/>
              <w:rPr/>
            </w:pPr>
            <w:r>
              <w:rPr>
                <w:b/>
                <w:bCs/>
                <w:color w:val="1f1f1f"/>
              </w:rPr>
              <w:t>Median</w:t>
            </w:r>
          </w:p>
        </w:tc>
        <w:tc>
          <w:tcPr>
            <w:cnfStyle w:val="000000000000"/>
            <w:tcW w:w="650" w:type="dxa"/>
            <w:tcBorders>
              <w:top w:val="single" w:sz="6" w:space="0"/>
              <w:left w:val="single" w:sz="6" w:space="0"/>
              <w:bottom w:val="single" w:sz="6" w:space="0"/>
              <w:right w:val="single" w:sz="6" w:space="0"/>
            </w:tcBorders>
            <w:tcMar>
              <w:top w:w="240" w:type="dxa"/>
              <w:bottom w:w="240" w:type="dxa"/>
              <w:right w:w="180" w:type="dxa"/>
            </w:tcMar>
            <w:vAlign w:val="center"/>
          </w:tcPr>
          <w:p w14:paraId="00000094">
            <w:pPr>
              <w:spacing w:before="0" w:after="0"/>
              <w:rPr/>
            </w:pPr>
            <w:r>
              <w:rPr>
                <w:color w:val="1f1f1f"/>
              </w:rPr>
              <w:t>36.0</w:t>
            </w:r>
          </w:p>
        </w:tc>
        <w:tc>
          <w:tcPr>
            <w:cnfStyle w:val="000000000000"/>
            <w:tcW w:w="1670" w:type="dxa"/>
            <w:tcBorders>
              <w:top w:val="single" w:sz="6" w:space="0"/>
              <w:left w:val="single" w:sz="6" w:space="0"/>
              <w:bottom w:val="single" w:sz="6" w:space="0"/>
              <w:right w:val="single" w:sz="6" w:space="0"/>
            </w:tcBorders>
            <w:tcMar>
              <w:top w:w="240" w:type="dxa"/>
              <w:bottom w:w="240" w:type="dxa"/>
              <w:right w:w="180" w:type="dxa"/>
            </w:tcMar>
            <w:vAlign w:val="center"/>
          </w:tcPr>
          <w:p w14:paraId="00000095">
            <w:pPr>
              <w:spacing w:before="0" w:after="0"/>
              <w:rPr/>
            </w:pPr>
            <w:r>
              <w:rPr>
                <w:color w:val="1f1f1f"/>
              </w:rPr>
              <w:t>$4,919</w:t>
            </w:r>
          </w:p>
        </w:tc>
        <w:tc>
          <w:tcPr>
            <w:cnfStyle w:val="000000000000"/>
            <w:tcW w:w="1861" w:type="dxa"/>
            <w:tcBorders>
              <w:top w:val="single" w:sz="6" w:space="0"/>
              <w:left w:val="single" w:sz="6" w:space="0"/>
              <w:bottom w:val="single" w:sz="6" w:space="0"/>
              <w:right w:val="single" w:sz="6" w:space="0"/>
            </w:tcBorders>
            <w:tcMar>
              <w:top w:w="240" w:type="dxa"/>
              <w:bottom w:w="240" w:type="dxa"/>
            </w:tcMar>
            <w:vAlign w:val="center"/>
          </w:tcPr>
          <w:p w14:paraId="00000096">
            <w:pPr>
              <w:spacing w:before="0" w:after="0"/>
              <w:rPr/>
            </w:pPr>
            <w:r>
              <w:rPr>
                <w:color w:val="1f1f1f"/>
              </w:rPr>
              <w:t>5.0</w:t>
            </w:r>
          </w:p>
        </w:tc>
      </w:tr>
      <w:tr>
        <w:trPr>
          <w:trHeight w:val="300"/>
        </w:trPr>
        <w:tc>
          <w:tcPr>
            <w:cnfStyle w:val="001000000000"/>
            <w:tcW w:w="1500" w:type="dxa"/>
            <w:tcBorders>
              <w:top w:val="single" w:sz="6" w:space="0"/>
              <w:left w:val="single" w:sz="6" w:space="0"/>
              <w:bottom w:val="single" w:sz="6" w:space="0"/>
              <w:right w:val="single" w:sz="6" w:space="0"/>
            </w:tcBorders>
            <w:tcMar>
              <w:top w:w="240" w:type="dxa"/>
              <w:bottom w:w="240" w:type="dxa"/>
              <w:right w:w="180" w:type="dxa"/>
            </w:tcMar>
            <w:vAlign w:val="center"/>
          </w:tcPr>
          <w:p w14:paraId="00000097">
            <w:pPr>
              <w:spacing w:before="0" w:after="0"/>
              <w:rPr/>
            </w:pPr>
            <w:r>
              <w:rPr>
                <w:b/>
                <w:bCs/>
                <w:color w:val="1f1f1f"/>
              </w:rPr>
              <w:t>Std. Deviation</w:t>
            </w:r>
          </w:p>
        </w:tc>
        <w:tc>
          <w:tcPr>
            <w:cnfStyle w:val="000000000000"/>
            <w:tcW w:w="650" w:type="dxa"/>
            <w:tcBorders>
              <w:top w:val="single" w:sz="6" w:space="0"/>
              <w:left w:val="single" w:sz="6" w:space="0"/>
              <w:bottom w:val="single" w:sz="6" w:space="0"/>
              <w:right w:val="single" w:sz="6" w:space="0"/>
            </w:tcBorders>
            <w:tcMar>
              <w:top w:w="240" w:type="dxa"/>
              <w:bottom w:w="240" w:type="dxa"/>
              <w:right w:w="180" w:type="dxa"/>
            </w:tcMar>
            <w:vAlign w:val="center"/>
          </w:tcPr>
          <w:p w14:paraId="00000098">
            <w:pPr>
              <w:spacing w:before="0" w:after="0"/>
              <w:rPr/>
            </w:pPr>
            <w:r>
              <w:rPr>
                <w:color w:val="1f1f1f"/>
              </w:rPr>
              <w:t>9.1</w:t>
            </w:r>
          </w:p>
        </w:tc>
        <w:tc>
          <w:tcPr>
            <w:cnfStyle w:val="000000000000"/>
            <w:tcW w:w="1670" w:type="dxa"/>
            <w:tcBorders>
              <w:top w:val="single" w:sz="6" w:space="0"/>
              <w:left w:val="single" w:sz="6" w:space="0"/>
              <w:bottom w:val="single" w:sz="6" w:space="0"/>
              <w:right w:val="single" w:sz="6" w:space="0"/>
            </w:tcBorders>
            <w:tcMar>
              <w:top w:w="240" w:type="dxa"/>
              <w:bottom w:w="240" w:type="dxa"/>
              <w:right w:w="180" w:type="dxa"/>
            </w:tcMar>
            <w:vAlign w:val="center"/>
          </w:tcPr>
          <w:p w14:paraId="00000099">
            <w:pPr>
              <w:spacing w:before="0" w:after="0"/>
              <w:rPr/>
            </w:pPr>
            <w:r>
              <w:rPr>
                <w:color w:val="1f1f1f"/>
              </w:rPr>
              <w:t>$4,707</w:t>
            </w:r>
          </w:p>
        </w:tc>
        <w:tc>
          <w:tcPr>
            <w:cnfStyle w:val="000000000000"/>
            <w:tcW w:w="1861" w:type="dxa"/>
            <w:tcBorders>
              <w:top w:val="single" w:sz="6" w:space="0"/>
              <w:left w:val="single" w:sz="6" w:space="0"/>
              <w:bottom w:val="single" w:sz="6" w:space="0"/>
              <w:right w:val="single" w:sz="6" w:space="0"/>
            </w:tcBorders>
            <w:tcMar>
              <w:top w:w="240" w:type="dxa"/>
              <w:bottom w:w="240" w:type="dxa"/>
            </w:tcMar>
            <w:vAlign w:val="center"/>
          </w:tcPr>
          <w:p w14:paraId="0000009A">
            <w:pPr>
              <w:spacing w:before="0" w:after="0"/>
              <w:rPr/>
            </w:pPr>
            <w:r>
              <w:rPr>
                <w:color w:val="1f1f1f"/>
              </w:rPr>
              <w:t>6.1</w:t>
            </w:r>
          </w:p>
        </w:tc>
      </w:tr>
      <w:tr>
        <w:trPr>
          <w:trHeight w:val="300"/>
        </w:trPr>
        <w:tc>
          <w:tcPr>
            <w:cnfStyle w:val="001000000000"/>
            <w:tcW w:w="1500" w:type="dxa"/>
            <w:tcBorders>
              <w:top w:val="single" w:sz="6" w:space="0"/>
              <w:left w:val="single" w:sz="6" w:space="0"/>
              <w:bottom w:val="single" w:sz="6" w:space="0"/>
              <w:right w:val="single" w:sz="6" w:space="0"/>
            </w:tcBorders>
            <w:tcMar>
              <w:top w:w="240" w:type="dxa"/>
              <w:bottom w:w="240" w:type="dxa"/>
              <w:right w:w="180" w:type="dxa"/>
            </w:tcMar>
            <w:vAlign w:val="center"/>
          </w:tcPr>
          <w:p w14:paraId="0000009B">
            <w:pPr>
              <w:spacing w:before="0" w:after="0"/>
              <w:rPr/>
            </w:pPr>
            <w:r>
              <w:rPr>
                <w:b/>
                <w:bCs/>
                <w:color w:val="1f1f1f"/>
              </w:rPr>
              <w:t>Minimum</w:t>
            </w:r>
          </w:p>
        </w:tc>
        <w:tc>
          <w:tcPr>
            <w:cnfStyle w:val="000000000000"/>
            <w:tcW w:w="650" w:type="dxa"/>
            <w:tcBorders>
              <w:top w:val="single" w:sz="6" w:space="0"/>
              <w:left w:val="single" w:sz="6" w:space="0"/>
              <w:bottom w:val="single" w:sz="6" w:space="0"/>
              <w:right w:val="single" w:sz="6" w:space="0"/>
            </w:tcBorders>
            <w:tcMar>
              <w:top w:w="240" w:type="dxa"/>
              <w:bottom w:w="240" w:type="dxa"/>
              <w:right w:w="180" w:type="dxa"/>
            </w:tcMar>
            <w:vAlign w:val="center"/>
          </w:tcPr>
          <w:p w14:paraId="0000009C">
            <w:pPr>
              <w:spacing w:before="0" w:after="0"/>
              <w:rPr/>
            </w:pPr>
            <w:r>
              <w:rPr>
                <w:color w:val="1f1f1f"/>
              </w:rPr>
              <w:t>18</w:t>
            </w:r>
          </w:p>
        </w:tc>
        <w:tc>
          <w:tcPr>
            <w:cnfStyle w:val="000000000000"/>
            <w:tcW w:w="1670" w:type="dxa"/>
            <w:tcBorders>
              <w:top w:val="single" w:sz="6" w:space="0"/>
              <w:left w:val="single" w:sz="6" w:space="0"/>
              <w:bottom w:val="single" w:sz="6" w:space="0"/>
              <w:right w:val="single" w:sz="6" w:space="0"/>
            </w:tcBorders>
            <w:tcMar>
              <w:top w:w="240" w:type="dxa"/>
              <w:bottom w:w="240" w:type="dxa"/>
              <w:right w:w="180" w:type="dxa"/>
            </w:tcMar>
            <w:vAlign w:val="center"/>
          </w:tcPr>
          <w:p w14:paraId="0000009D">
            <w:pPr>
              <w:spacing w:before="0" w:after="0"/>
              <w:rPr/>
            </w:pPr>
            <w:r>
              <w:rPr>
                <w:color w:val="1f1f1f"/>
              </w:rPr>
              <w:t>$1,009</w:t>
            </w:r>
          </w:p>
        </w:tc>
        <w:tc>
          <w:tcPr>
            <w:cnfStyle w:val="000000000000"/>
            <w:tcW w:w="1861" w:type="dxa"/>
            <w:tcBorders>
              <w:top w:val="single" w:sz="6" w:space="0"/>
              <w:left w:val="single" w:sz="6" w:space="0"/>
              <w:bottom w:val="single" w:sz="6" w:space="0"/>
              <w:right w:val="single" w:sz="6" w:space="0"/>
            </w:tcBorders>
            <w:tcMar>
              <w:top w:w="240" w:type="dxa"/>
              <w:bottom w:w="240" w:type="dxa"/>
            </w:tcMar>
            <w:vAlign w:val="center"/>
          </w:tcPr>
          <w:p w14:paraId="0000009E">
            <w:pPr>
              <w:spacing w:before="0" w:after="0"/>
              <w:rPr/>
            </w:pPr>
            <w:r>
              <w:rPr>
                <w:color w:val="1f1f1f"/>
              </w:rPr>
              <w:t>0</w:t>
            </w:r>
          </w:p>
        </w:tc>
      </w:tr>
      <w:tr>
        <w:trPr>
          <w:trHeight w:val="300"/>
        </w:trPr>
        <w:tc>
          <w:tcPr>
            <w:cnfStyle w:val="001000000000"/>
            <w:tcW w:w="1500" w:type="dxa"/>
            <w:tcBorders>
              <w:top w:val="single" w:sz="6" w:space="0"/>
              <w:left w:val="single" w:sz="6" w:space="0"/>
              <w:bottom w:val="single" w:sz="6" w:space="0"/>
              <w:right w:val="single" w:sz="6" w:space="0"/>
            </w:tcBorders>
            <w:tcMar>
              <w:top w:w="240" w:type="dxa"/>
              <w:bottom w:w="240" w:type="dxa"/>
              <w:right w:w="180" w:type="dxa"/>
            </w:tcMar>
            <w:vAlign w:val="center"/>
          </w:tcPr>
          <w:p w14:paraId="0000009F">
            <w:pPr>
              <w:spacing w:before="0" w:after="0"/>
              <w:rPr/>
            </w:pPr>
            <w:r>
              <w:rPr>
                <w:b/>
                <w:bCs/>
                <w:color w:val="1f1f1f"/>
              </w:rPr>
              <w:t>Maximum</w:t>
            </w:r>
          </w:p>
        </w:tc>
        <w:tc>
          <w:tcPr>
            <w:cnfStyle w:val="000000000000"/>
            <w:tcW w:w="650" w:type="dxa"/>
            <w:tcBorders>
              <w:top w:val="single" w:sz="6" w:space="0"/>
              <w:left w:val="single" w:sz="6" w:space="0"/>
              <w:bottom w:val="single" w:sz="6" w:space="0"/>
              <w:right w:val="single" w:sz="6" w:space="0"/>
            </w:tcBorders>
            <w:tcMar>
              <w:top w:w="240" w:type="dxa"/>
              <w:bottom w:w="240" w:type="dxa"/>
              <w:right w:w="180" w:type="dxa"/>
            </w:tcMar>
            <w:vAlign w:val="center"/>
          </w:tcPr>
          <w:p w14:paraId="000000A0">
            <w:pPr>
              <w:spacing w:before="0" w:after="0"/>
              <w:rPr/>
            </w:pPr>
            <w:r>
              <w:rPr>
                <w:color w:val="1f1f1f"/>
              </w:rPr>
              <w:t>60</w:t>
            </w:r>
          </w:p>
        </w:tc>
        <w:tc>
          <w:tcPr>
            <w:cnfStyle w:val="000000000000"/>
            <w:tcW w:w="1670" w:type="dxa"/>
            <w:tcBorders>
              <w:top w:val="single" w:sz="6" w:space="0"/>
              <w:left w:val="single" w:sz="6" w:space="0"/>
              <w:bottom w:val="single" w:sz="6" w:space="0"/>
              <w:right w:val="single" w:sz="6" w:space="0"/>
            </w:tcBorders>
            <w:tcMar>
              <w:top w:w="240" w:type="dxa"/>
              <w:bottom w:w="240" w:type="dxa"/>
              <w:right w:w="180" w:type="dxa"/>
            </w:tcMar>
            <w:vAlign w:val="center"/>
          </w:tcPr>
          <w:p w14:paraId="000000A1">
            <w:pPr>
              <w:spacing w:before="0" w:after="0"/>
              <w:rPr/>
            </w:pPr>
            <w:r>
              <w:rPr>
                <w:color w:val="1f1f1f"/>
              </w:rPr>
              <w:t>$19,999</w:t>
            </w:r>
          </w:p>
        </w:tc>
        <w:tc>
          <w:tcPr>
            <w:cnfStyle w:val="000000000000"/>
            <w:tcW w:w="1861" w:type="dxa"/>
            <w:tcBorders>
              <w:top w:val="single" w:sz="6" w:space="0"/>
              <w:left w:val="single" w:sz="6" w:space="0"/>
              <w:bottom w:val="single" w:sz="6" w:space="0"/>
              <w:right w:val="single" w:sz="6" w:space="0"/>
            </w:tcBorders>
            <w:tcMar>
              <w:top w:w="240" w:type="dxa"/>
              <w:bottom w:w="240" w:type="dxa"/>
            </w:tcMar>
            <w:vAlign w:val="center"/>
          </w:tcPr>
          <w:p w14:paraId="000000A2">
            <w:pPr>
              <w:spacing w:before="0" w:after="0"/>
              <w:rPr/>
            </w:pPr>
            <w:r>
              <w:rPr>
                <w:color w:val="1f1f1f"/>
              </w:rPr>
              <w:t>40</w:t>
            </w:r>
          </w:p>
        </w:tc>
      </w:tr>
    </w:tbl>
    <w:p w14:paraId="000000A3">
      <w:pPr>
        <w:pStyle w:val="Normal"/>
        <w:spacing w:before="180" w:after="180" w:line="480" w:lineRule="auto"/>
        <w:ind w:left="0"/>
        <w:jc w:val="left"/>
        <w:rPr>
          <w:rFonts w:ascii="Times New Roman" w:cs="Times New Roman" w:eastAsia="Times New Roman" w:hAnsi="Times New Roman"/>
          <w:sz w:val="24"/>
          <w:szCs w:val="24"/>
          <w:lang w:val="en-US"/>
        </w:rPr>
      </w:pPr>
    </w:p>
    <w:p w14:paraId="000000A4">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4.3 Data Quality and Metadata Analysis</w:t>
      </w:r>
    </w:p>
    <w:p w14:paraId="000000A5">
      <w:pPr>
        <w:pStyle w:val="Normal"/>
        <w:spacing w:before="180" w:after="180" w:line="480" w:lineRule="auto"/>
        <w:ind w:left="0"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An essential, foundational component of the "Identification of Study Object" phase is the rigorous assessment of data integrity. Any predictive model is intrinsically bound by the quality of its input data (often summarized as "garbage in, garbage out"). Upon initial ingestion into the Python programming environment, the dataset was systematically audited for missing values and constant variables.</w:t>
      </w:r>
    </w:p>
    <w:p w14:paraId="000000A6">
      <w:pPr>
        <w:pStyle w:val="ListParagraph"/>
        <w:numPr>
          <w:ilvl w:val="0"/>
          <w:numId w:val="8"/>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Missing Values: The dataset was found to be exceptionally clean, containing exactly 0% null values across all 1,470 records. This is a crucial advantage, as it ensures that the predictive power of the final model is not artificially diluted by imputation bias (the statistical error introduced when researchers must "guess" and fill in missing data points).</w:t>
      </w:r>
    </w:p>
    <w:p w14:paraId="000000A7">
      <w:pPr>
        <w:pStyle w:val="ListParagraph"/>
        <w:spacing w:before="180" w:after="180" w:line="480" w:lineRule="auto"/>
        <w:ind w:left="720"/>
        <w:jc w:val="left"/>
        <w:rPr>
          <w:rFonts w:ascii="Times New Roman" w:cs="Times New Roman" w:eastAsia="Times New Roman" w:hAnsi="Times New Roman"/>
          <w:sz w:val="24"/>
          <w:szCs w:val="24"/>
          <w:lang w:val="en-US"/>
        </w:rPr>
      </w:pPr>
    </w:p>
    <w:p w14:paraId="000000A8">
      <w:pPr>
        <w:pStyle w:val="ListParagraph"/>
        <w:numPr>
          <w:ilvl w:val="0"/>
          <w:numId w:val="8"/>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Constant Variables: Through variance thresholding, three variables like </w:t>
      </w:r>
      <w:r>
        <w:rPr>
          <w:rFonts w:ascii="Times New Roman" w:cs="Times New Roman" w:eastAsia="Times New Roman" w:hAnsi="Times New Roman"/>
          <w:sz w:val="24"/>
          <w:szCs w:val="24"/>
          <w:lang w:val="en-US"/>
        </w:rPr>
        <w:t>EmployeeCount</w:t>
      </w:r>
      <w:r>
        <w:rPr>
          <w:rFonts w:ascii="Times New Roman" w:cs="Times New Roman" w:eastAsia="Times New Roman" w:hAnsi="Times New Roman"/>
          <w:sz w:val="24"/>
          <w:szCs w:val="24"/>
          <w:lang w:val="en-US"/>
        </w:rPr>
        <w:t xml:space="preserve">, Over18, and </w:t>
      </w:r>
      <w:r>
        <w:rPr>
          <w:rFonts w:ascii="Times New Roman" w:cs="Times New Roman" w:eastAsia="Times New Roman" w:hAnsi="Times New Roman"/>
          <w:sz w:val="24"/>
          <w:szCs w:val="24"/>
          <w:lang w:val="en-US"/>
        </w:rPr>
        <w:t>StandardHours</w:t>
      </w:r>
      <w:r>
        <w:rPr>
          <w:rFonts w:ascii="Times New Roman" w:cs="Times New Roman" w:eastAsia="Times New Roman" w:hAnsi="Times New Roman"/>
          <w:sz w:val="24"/>
          <w:szCs w:val="24"/>
          <w:lang w:val="en-US"/>
        </w:rPr>
        <w:t xml:space="preserve"> were identified as "Zero Variance" features. Every single record </w:t>
      </w:r>
      <w:r>
        <w:rPr>
          <w:rFonts w:ascii="Times New Roman" w:cs="Times New Roman" w:eastAsia="Times New Roman" w:hAnsi="Times New Roman"/>
          <w:sz w:val="24"/>
          <w:szCs w:val="24"/>
          <w:lang w:val="en-US"/>
        </w:rPr>
        <w:t>contains</w:t>
      </w:r>
      <w:r>
        <w:rPr>
          <w:rFonts w:ascii="Times New Roman" w:cs="Times New Roman" w:eastAsia="Times New Roman" w:hAnsi="Times New Roman"/>
          <w:sz w:val="24"/>
          <w:szCs w:val="24"/>
          <w:lang w:val="en-US"/>
        </w:rPr>
        <w:t xml:space="preserve"> the exact same value for these columns. In the context of data mining, these </w:t>
      </w:r>
      <w:r>
        <w:rPr>
          <w:rFonts w:ascii="Times New Roman" w:cs="Times New Roman" w:eastAsia="Times New Roman" w:hAnsi="Times New Roman"/>
          <w:sz w:val="24"/>
          <w:szCs w:val="24"/>
          <w:lang w:val="en-US"/>
        </w:rPr>
        <w:t>represent</w:t>
      </w:r>
      <w:r>
        <w:rPr>
          <w:rFonts w:ascii="Times New Roman" w:cs="Times New Roman" w:eastAsia="Times New Roman" w:hAnsi="Times New Roman"/>
          <w:sz w:val="24"/>
          <w:szCs w:val="24"/>
          <w:lang w:val="en-US"/>
        </w:rPr>
        <w:t xml:space="preserve"> computational "noise" rather than actionable "signal" and were flagged for immediate removal to streamline the model’s mathematical focus and prevent overfitting.</w:t>
      </w:r>
    </w:p>
    <w:p w14:paraId="000000A9">
      <w:pPr>
        <w:pStyle w:val="Normal"/>
        <w:spacing w:before="180" w:after="180" w:line="480" w:lineRule="auto"/>
        <w:ind w:left="0"/>
        <w:jc w:val="left"/>
        <w:rPr>
          <w:rFonts w:ascii="Times New Roman" w:cs="Times New Roman" w:eastAsia="Times New Roman" w:hAnsi="Times New Roman"/>
          <w:sz w:val="24"/>
          <w:szCs w:val="24"/>
          <w:lang w:val="en-US"/>
        </w:rPr>
      </w:pPr>
    </w:p>
    <w:p w14:paraId="000000AA">
      <w:pPr>
        <w:pStyle w:val="Normal"/>
        <w:spacing w:before="180" w:after="180" w:line="480" w:lineRule="auto"/>
        <w:ind w:left="0"/>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4.4 Appropriateness for the </w:t>
      </w:r>
      <w:r>
        <w:rPr>
          <w:rFonts w:ascii="Times New Roman" w:cs="Times New Roman" w:eastAsia="Times New Roman" w:hAnsi="Times New Roman"/>
          <w:i/>
          <w:iCs/>
          <w:sz w:val="36"/>
          <w:szCs w:val="36"/>
          <w:u w:val="single"/>
          <w:lang w:val="en-US"/>
        </w:rPr>
        <w:t>TechCorp</w:t>
      </w:r>
      <w:r>
        <w:rPr>
          <w:rFonts w:ascii="Times New Roman" w:cs="Times New Roman" w:eastAsia="Times New Roman" w:hAnsi="Times New Roman"/>
          <w:i/>
          <w:iCs/>
          <w:sz w:val="36"/>
          <w:szCs w:val="36"/>
          <w:u w:val="single"/>
          <w:lang w:val="en-US"/>
        </w:rPr>
        <w:t xml:space="preserve"> Case Study</w:t>
      </w:r>
    </w:p>
    <w:p w14:paraId="000000AB">
      <w:pPr>
        <w:pStyle w:val="Normal"/>
        <w:spacing w:before="180" w:after="180" w:line="480" w:lineRule="auto"/>
        <w:ind w:left="0"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The structural composition of this study object is uniquely suited to address the specific "15% increase in senior developer attrition" currently facing TechCorp. By </w:t>
      </w:r>
      <w:r>
        <w:rPr>
          <w:rFonts w:ascii="Times New Roman" w:cs="Times New Roman" w:eastAsia="Times New Roman" w:hAnsi="Times New Roman"/>
          <w:sz w:val="24"/>
          <w:szCs w:val="24"/>
          <w:lang w:val="en-US"/>
        </w:rPr>
        <w:t>utilizing</w:t>
      </w:r>
      <w:r>
        <w:rPr>
          <w:rFonts w:ascii="Times New Roman" w:cs="Times New Roman" w:eastAsia="Times New Roman" w:hAnsi="Times New Roman"/>
          <w:sz w:val="24"/>
          <w:szCs w:val="24"/>
          <w:lang w:val="en-US"/>
        </w:rPr>
        <w:t xml:space="preserve"> continuous features like </w:t>
      </w:r>
      <w:r>
        <w:rPr>
          <w:rFonts w:ascii="Times New Roman" w:cs="Times New Roman" w:eastAsia="Times New Roman" w:hAnsi="Times New Roman"/>
          <w:sz w:val="24"/>
          <w:szCs w:val="24"/>
          <w:lang w:val="en-US"/>
        </w:rPr>
        <w:t>TotalWorkingYears</w:t>
      </w:r>
      <w:r>
        <w:rPr>
          <w:rFonts w:ascii="Times New Roman" w:cs="Times New Roman" w:eastAsia="Times New Roman" w:hAnsi="Times New Roman"/>
          <w:sz w:val="24"/>
          <w:szCs w:val="24"/>
          <w:lang w:val="en-US"/>
        </w:rPr>
        <w:t xml:space="preserve"> and </w:t>
      </w:r>
      <w:r>
        <w:rPr>
          <w:rFonts w:ascii="Times New Roman" w:cs="Times New Roman" w:eastAsia="Times New Roman" w:hAnsi="Times New Roman"/>
          <w:sz w:val="24"/>
          <w:szCs w:val="24"/>
          <w:lang w:val="en-US"/>
        </w:rPr>
        <w:t>YearsInCurrentRole</w:t>
      </w:r>
      <w:r>
        <w:rPr>
          <w:rFonts w:ascii="Times New Roman" w:cs="Times New Roman" w:eastAsia="Times New Roman" w:hAnsi="Times New Roman"/>
          <w:sz w:val="24"/>
          <w:szCs w:val="24"/>
          <w:lang w:val="en-US"/>
        </w:rPr>
        <w:t xml:space="preserve">, the predictive model can dynamically segment the "Senior" population away from the general employee pool. </w:t>
      </w:r>
      <w:r>
        <w:rPr>
          <w:rFonts w:ascii="Times New Roman" w:cs="Times New Roman" w:eastAsia="Times New Roman" w:hAnsi="Times New Roman"/>
          <w:sz w:val="24"/>
          <w:szCs w:val="24"/>
          <w:lang w:val="en-US"/>
        </w:rPr>
        <w:t xml:space="preserve">Specifically, the IBM dataset's attributes regarding high Job Levels (levels 4 and 5) and Overtime serve as direct, high-fidelity proxies for the senior developer roles currently experiencing burnout and attrition at TechCorp. </w:t>
      </w:r>
      <w:r>
        <w:rPr>
          <w:rFonts w:ascii="Times New Roman" w:cs="Times New Roman" w:eastAsia="Times New Roman" w:hAnsi="Times New Roman"/>
          <w:sz w:val="24"/>
          <w:szCs w:val="24"/>
          <w:lang w:val="en-US"/>
        </w:rPr>
        <w:t xml:space="preserve">This targeted segmentation allows the final analytical draft to move far beyond generalized turnover predictions, </w:t>
      </w:r>
      <w:r>
        <w:rPr>
          <w:rFonts w:ascii="Times New Roman" w:cs="Times New Roman" w:eastAsia="Times New Roman" w:hAnsi="Times New Roman"/>
          <w:sz w:val="24"/>
          <w:szCs w:val="24"/>
          <w:lang w:val="en-US"/>
        </w:rPr>
        <w:t>ultimately providing</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TechCorp’s</w:t>
      </w:r>
      <w:r>
        <w:rPr>
          <w:rFonts w:ascii="Times New Roman" w:cs="Times New Roman" w:eastAsia="Times New Roman" w:hAnsi="Times New Roman"/>
          <w:sz w:val="24"/>
          <w:szCs w:val="24"/>
          <w:lang w:val="en-US"/>
        </w:rPr>
        <w:t xml:space="preserve"> executive leadership with a surgical, high-fidelity analysis of their most critical and expensive talent segments.</w:t>
      </w:r>
    </w:p>
    <w:p w14:paraId="000000AC">
      <w:pPr>
        <w:pStyle w:val="Normal"/>
        <w:spacing w:line="480" w:lineRule="auto"/>
        <w:ind w:firstLine="0"/>
        <w:jc w:val="left"/>
        <w:rPr>
          <w:lang w:val="en-US"/>
        </w:rPr>
      </w:pPr>
    </w:p>
    <w:p w14:paraId="000000AD">
      <w:pPr>
        <w:pStyle w:val="Normal"/>
        <w:spacing w:line="480" w:lineRule="auto"/>
        <w:ind w:firstLine="0"/>
        <w:jc w:val="left"/>
        <w:rPr>
          <w:b/>
          <w:bCs/>
          <w:sz w:val="48"/>
          <w:szCs w:val="48"/>
          <w:lang w:val="en-US"/>
        </w:rPr>
      </w:pPr>
      <w:r>
        <w:rPr>
          <w:b/>
          <w:bCs/>
          <w:sz w:val="48"/>
          <w:szCs w:val="48"/>
          <w:lang w:val="en-US"/>
        </w:rPr>
        <w:t>5. Problem Statement and Objectives</w:t>
      </w:r>
    </w:p>
    <w:p w14:paraId="000000AE">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5.1 Detailed Problem </w:t>
      </w:r>
      <w:r>
        <w:rPr>
          <w:rFonts w:ascii="Times New Roman" w:cs="Times New Roman" w:eastAsia="Times New Roman" w:hAnsi="Times New Roman"/>
          <w:i/>
          <w:iCs/>
          <w:sz w:val="36"/>
          <w:szCs w:val="36"/>
          <w:u w:val="single"/>
          <w:lang w:val="en-US"/>
        </w:rPr>
        <w:t>Statement</w:t>
      </w:r>
    </w:p>
    <w:p w14:paraId="000000AF">
      <w:pPr>
        <w:spacing w:before="180" w:after="180" w:line="480" w:lineRule="auto"/>
        <w:ind w:firstLine="708"/>
        <w:jc w:val="left"/>
        <w:rPr/>
      </w:pPr>
      <w:r>
        <w:rPr>
          <w:rFonts w:ascii="Times New Roman" w:cs="Times New Roman" w:eastAsia="Times New Roman" w:hAnsi="Times New Roman"/>
          <w:sz w:val="24"/>
          <w:szCs w:val="24"/>
          <w:lang w:val="en-US"/>
        </w:rPr>
        <w:t>At the moment, there is an urgent issue with human capital at TechCorp Solutions involving a year-over-year jump of 15% in the number of voluntary resignations specifically from the senior developers' team. Although there is a stable overall growth of the company, this selective outflow of key personnel poses serious challenges in creating a healthy work environment. Moreover, what makes the situation especially dangerous is the lack of a proactive approach to dealing with the problem.</w:t>
      </w:r>
    </w:p>
    <w:p w14:paraId="000000B0">
      <w:pPr>
        <w:spacing w:before="180" w:after="180" w:line="480" w:lineRule="auto"/>
        <w:ind w:firstLine="708"/>
        <w:jc w:val="left"/>
        <w:rPr/>
      </w:pPr>
      <w:r>
        <w:rPr>
          <w:rFonts w:ascii="Times New Roman" w:cs="Times New Roman" w:eastAsia="Times New Roman" w:hAnsi="Times New Roman"/>
          <w:sz w:val="24"/>
          <w:szCs w:val="24"/>
          <w:lang w:val="en-US"/>
        </w:rPr>
        <w:t>Currently, exit interviews are used within the company to discover the reasons for resigning employees, however, this method can be considered ineffective because of the following:</w:t>
      </w:r>
    </w:p>
    <w:p w14:paraId="000000B1">
      <w:pPr>
        <w:pStyle w:val="ListParagraph"/>
        <w:numPr>
          <w:ilvl w:val="0"/>
          <w:numId w:val="32"/>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The Financial Risks Involving Over $30 Million: The expenses associated with hiring new people, signing bonuses and salaries, along with recruiter services, will total up to a substantial loss for the company considering the industry average costs of $1.5-$2 times per annum.</w:t>
      </w:r>
    </w:p>
    <w:p w14:paraId="000000B2">
      <w:pPr>
        <w:pStyle w:val="ListParagraph"/>
        <w:spacing w:before="180" w:after="180" w:line="480" w:lineRule="auto"/>
        <w:ind w:left="720"/>
        <w:jc w:val="left"/>
        <w:rPr>
          <w:rFonts w:ascii="Times New Roman" w:cs="Times New Roman" w:eastAsia="Times New Roman" w:hAnsi="Times New Roman"/>
          <w:sz w:val="24"/>
          <w:szCs w:val="24"/>
          <w:lang w:val="en-US"/>
        </w:rPr>
      </w:pPr>
    </w:p>
    <w:p w14:paraId="000000B3">
      <w:pPr>
        <w:pStyle w:val="ListParagraph"/>
        <w:numPr>
          <w:ilvl w:val="0"/>
          <w:numId w:val="32"/>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Technical Debt: Since senior developers are referred to as code owners, the lack of knowledge and skills of their successors will inevitably lead to project delays and lower quality of product releases.</w:t>
      </w:r>
    </w:p>
    <w:p w14:paraId="000000B4">
      <w:pPr>
        <w:pStyle w:val="ListParagraph"/>
        <w:spacing w:before="180" w:after="180" w:line="480" w:lineRule="auto"/>
        <w:ind w:left="720"/>
        <w:jc w:val="left"/>
        <w:rPr>
          <w:rFonts w:ascii="Times New Roman" w:cs="Times New Roman" w:eastAsia="Times New Roman" w:hAnsi="Times New Roman"/>
          <w:sz w:val="24"/>
          <w:szCs w:val="24"/>
          <w:lang w:val="en-US"/>
        </w:rPr>
      </w:pPr>
    </w:p>
    <w:p w14:paraId="000000B5">
      <w:pPr>
        <w:pStyle w:val="ListParagraph"/>
        <w:numPr>
          <w:ilvl w:val="0"/>
          <w:numId w:val="32"/>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Contagion Effect: Resignation of senior managers and specialists leads to low motivation among junior specialists who might leave the company as well.</w:t>
      </w:r>
    </w:p>
    <w:p w14:paraId="000000B6">
      <w:pPr>
        <w:pStyle w:val="Normal"/>
        <w:spacing w:before="180" w:after="180" w:line="480" w:lineRule="auto"/>
        <w:ind w:left="0"/>
        <w:jc w:val="left"/>
        <w:rPr>
          <w:rFonts w:ascii="Times New Roman" w:cs="Times New Roman" w:eastAsia="Times New Roman" w:hAnsi="Times New Roman"/>
          <w:sz w:val="24"/>
          <w:szCs w:val="24"/>
          <w:lang w:val="en-US"/>
        </w:rPr>
      </w:pPr>
    </w:p>
    <w:p w14:paraId="000000B7">
      <w:pPr>
        <w:pStyle w:val="Normal"/>
        <w:spacing w:before="180" w:after="180" w:line="480" w:lineRule="auto"/>
        <w:ind w:left="0"/>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5.2 General </w:t>
      </w:r>
      <w:r>
        <w:rPr>
          <w:rFonts w:ascii="Times New Roman" w:cs="Times New Roman" w:eastAsia="Times New Roman" w:hAnsi="Times New Roman"/>
          <w:i/>
          <w:iCs/>
          <w:sz w:val="36"/>
          <w:szCs w:val="36"/>
          <w:u w:val="single"/>
          <w:lang w:val="en-US"/>
        </w:rPr>
        <w:t>Objective</w:t>
      </w:r>
    </w:p>
    <w:p w14:paraId="000000B8">
      <w:pPr>
        <w:pStyle w:val="Normal"/>
        <w:spacing w:before="180" w:after="180" w:line="480" w:lineRule="auto"/>
        <w:ind w:left="0"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primary goal of this research is to develop, </w:t>
      </w:r>
      <w:r>
        <w:rPr>
          <w:rFonts w:ascii="Times New Roman" w:cs="Times New Roman" w:eastAsia="Times New Roman" w:hAnsi="Times New Roman"/>
          <w:sz w:val="24"/>
          <w:szCs w:val="24"/>
          <w:lang w:val="en-US"/>
        </w:rPr>
        <w:t>validate</w:t>
      </w:r>
      <w:r>
        <w:rPr>
          <w:rFonts w:ascii="Times New Roman" w:cs="Times New Roman" w:eastAsia="Times New Roman" w:hAnsi="Times New Roman"/>
          <w:sz w:val="24"/>
          <w:szCs w:val="24"/>
          <w:lang w:val="en-US"/>
        </w:rPr>
        <w:t xml:space="preserve">, and propose a deployment strategy for a Predictive Attrition Model using the CRISP-DM framework. This model will transition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from a reactive "exit-driven" culture to a proactive "intervention-driven" strategy, </w:t>
      </w:r>
      <w:r>
        <w:rPr>
          <w:rFonts w:ascii="Times New Roman" w:cs="Times New Roman" w:eastAsia="Times New Roman" w:hAnsi="Times New Roman"/>
          <w:sz w:val="24"/>
          <w:szCs w:val="24"/>
          <w:lang w:val="en-US"/>
        </w:rPr>
        <w:t>identifying</w:t>
      </w:r>
      <w:r>
        <w:rPr>
          <w:rFonts w:ascii="Times New Roman" w:cs="Times New Roman" w:eastAsia="Times New Roman" w:hAnsi="Times New Roman"/>
          <w:sz w:val="24"/>
          <w:szCs w:val="24"/>
          <w:lang w:val="en-US"/>
        </w:rPr>
        <w:t xml:space="preserve"> at-risk senior developers with sufficient lead time to allow for effective managerial intervention.</w:t>
      </w:r>
    </w:p>
    <w:p w14:paraId="000000B9">
      <w:pPr>
        <w:pStyle w:val="Normal"/>
        <w:spacing w:before="180" w:after="180" w:line="480" w:lineRule="auto"/>
        <w:ind w:left="0"/>
        <w:jc w:val="left"/>
        <w:rPr>
          <w:rFonts w:ascii="Times New Roman" w:cs="Times New Roman" w:eastAsia="Times New Roman" w:hAnsi="Times New Roman"/>
          <w:sz w:val="24"/>
          <w:szCs w:val="24"/>
          <w:lang w:val="en-US"/>
        </w:rPr>
      </w:pPr>
    </w:p>
    <w:p w14:paraId="000000BA">
      <w:pPr>
        <w:pStyle w:val="Normal"/>
        <w:spacing w:before="180" w:after="180" w:line="480" w:lineRule="auto"/>
        <w:ind w:left="0"/>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5.3 Specific </w:t>
      </w:r>
      <w:r>
        <w:rPr>
          <w:rFonts w:ascii="Times New Roman" w:cs="Times New Roman" w:eastAsia="Times New Roman" w:hAnsi="Times New Roman"/>
          <w:i/>
          <w:iCs/>
          <w:sz w:val="36"/>
          <w:szCs w:val="36"/>
          <w:u w:val="single"/>
          <w:lang w:val="en-US"/>
        </w:rPr>
        <w:t>Objectives</w:t>
      </w:r>
    </w:p>
    <w:p w14:paraId="000000BB">
      <w:pPr>
        <w:pStyle w:val="Normal"/>
        <w:ind w:left="0" w:firstLine="708"/>
        <w:rPr>
          <w:lang w:val="en-US"/>
        </w:rPr>
      </w:pPr>
      <w:r>
        <w:rPr>
          <w:lang w:val="en-US"/>
        </w:rPr>
        <w:t>To achieve these objectives, the following needs to be done:</w:t>
      </w:r>
    </w:p>
    <w:p w14:paraId="000000BC">
      <w:pPr>
        <w:pStyle w:val="Normal"/>
        <w:ind w:left="0" w:firstLine="708"/>
        <w:rPr>
          <w:lang w:val="en-US"/>
        </w:rPr>
      </w:pPr>
      <w:r>
        <w:rPr>
          <w:lang w:val="en-US"/>
        </w:rPr>
        <w:t xml:space="preserve"> </w:t>
      </w:r>
    </w:p>
    <w:p w14:paraId="000000BD">
      <w:pPr>
        <w:pStyle w:val="ListParagraph"/>
        <w:numPr>
          <w:ilvl w:val="0"/>
          <w:numId w:val="7"/>
        </w:numPr>
        <w:spacing w:before="180" w:after="180"/>
        <w:rPr>
          <w:lang w:val="en-US"/>
        </w:rPr>
      </w:pPr>
      <w:r>
        <w:rPr>
          <w:lang w:val="en-US"/>
        </w:rPr>
        <w:t xml:space="preserve">Objective 1: Pre-processing of IBM HR Analytics Data set, followed by handling class imbalance using the technique of </w:t>
      </w:r>
      <w:r>
        <w:rPr>
          <w:lang w:val="en-US"/>
        </w:rPr>
        <w:t>Random Oversampling</w:t>
      </w:r>
      <w:r>
        <w:rPr>
          <w:lang w:val="en-US"/>
        </w:rPr>
        <w:t xml:space="preserve">. </w:t>
      </w:r>
    </w:p>
    <w:p w14:paraId="000000BE">
      <w:pPr>
        <w:pStyle w:val="ListParagraph"/>
        <w:spacing w:before="180" w:after="180"/>
        <w:ind w:left="720"/>
        <w:rPr>
          <w:lang w:val="en-US"/>
        </w:rPr>
      </w:pPr>
    </w:p>
    <w:p w14:paraId="000000BF">
      <w:pPr>
        <w:pStyle w:val="ListParagraph"/>
        <w:numPr>
          <w:ilvl w:val="0"/>
          <w:numId w:val="7"/>
        </w:numPr>
        <w:spacing w:before="180" w:after="180"/>
        <w:rPr>
          <w:lang w:val="en-US"/>
        </w:rPr>
      </w:pPr>
      <w:r>
        <w:rPr>
          <w:lang w:val="en-US"/>
        </w:rPr>
        <w:t>Objective 2: Analysis and quantification of important variables that are correlated strongly with voluntarily leaving the job, such as Overtime, Monthly Income, and Job Involvement.</w:t>
      </w:r>
    </w:p>
    <w:p w14:paraId="000000C0">
      <w:pPr>
        <w:pStyle w:val="ListParagraph"/>
        <w:spacing w:before="180" w:after="180"/>
        <w:ind w:left="720"/>
        <w:rPr/>
      </w:pPr>
    </w:p>
    <w:p w14:paraId="000000C1">
      <w:pPr>
        <w:pStyle w:val="ListParagraph"/>
        <w:numPr>
          <w:ilvl w:val="0"/>
          <w:numId w:val="7"/>
        </w:numPr>
        <w:spacing w:before="180" w:after="180"/>
        <w:rPr/>
      </w:pPr>
      <w:r>
        <w:rPr>
          <w:rFonts w:ascii="Times New Roman" w:cs="Times New Roman" w:eastAsia="Times New Roman" w:hAnsi="Times New Roman"/>
          <w:sz w:val="24"/>
          <w:szCs w:val="24"/>
          <w:lang w:val="en-US"/>
        </w:rPr>
        <w:t xml:space="preserve">Objective 3: Comparative Algorithmic Benchmarking. To execute a "Champion-Challenger" analysis comparing a baseline Logistic Regression model against a candidate Random Forest model. This </w:t>
      </w:r>
      <w:r>
        <w:rPr>
          <w:rFonts w:ascii="Times New Roman" w:cs="Times New Roman" w:eastAsia="Times New Roman" w:hAnsi="Times New Roman"/>
          <w:sz w:val="24"/>
          <w:szCs w:val="24"/>
          <w:lang w:val="en-US"/>
        </w:rPr>
        <w:t>objective</w:t>
      </w:r>
      <w:r>
        <w:rPr>
          <w:rFonts w:ascii="Times New Roman" w:cs="Times New Roman" w:eastAsia="Times New Roman" w:hAnsi="Times New Roman"/>
          <w:sz w:val="24"/>
          <w:szCs w:val="24"/>
          <w:lang w:val="en-US"/>
        </w:rPr>
        <w:t xml:space="preserve"> focuses on </w:t>
      </w:r>
      <w:r>
        <w:rPr>
          <w:rFonts w:ascii="Times New Roman" w:cs="Times New Roman" w:eastAsia="Times New Roman" w:hAnsi="Times New Roman"/>
          <w:sz w:val="24"/>
          <w:szCs w:val="24"/>
          <w:lang w:val="en-US"/>
        </w:rPr>
        <w:t>identifying</w:t>
      </w:r>
      <w:r>
        <w:rPr>
          <w:rFonts w:ascii="Times New Roman" w:cs="Times New Roman" w:eastAsia="Times New Roman" w:hAnsi="Times New Roman"/>
          <w:sz w:val="24"/>
          <w:szCs w:val="24"/>
          <w:lang w:val="en-US"/>
        </w:rPr>
        <w:t xml:space="preserve"> the algorithm that offers the </w:t>
      </w:r>
      <w:r>
        <w:rPr>
          <w:rFonts w:ascii="Times New Roman" w:cs="Times New Roman" w:eastAsia="Times New Roman" w:hAnsi="Times New Roman"/>
          <w:sz w:val="24"/>
          <w:szCs w:val="24"/>
          <w:lang w:val="en-US"/>
        </w:rPr>
        <w:t>optimal</w:t>
      </w:r>
      <w:r>
        <w:rPr>
          <w:rFonts w:ascii="Times New Roman" w:cs="Times New Roman" w:eastAsia="Times New Roman" w:hAnsi="Times New Roman"/>
          <w:sz w:val="24"/>
          <w:szCs w:val="24"/>
          <w:lang w:val="en-US"/>
        </w:rPr>
        <w:t xml:space="preserve"> balance between high Recall (sensitivity) and managerial </w:t>
      </w:r>
      <w:r>
        <w:rPr>
          <w:rFonts w:ascii="Times New Roman" w:cs="Times New Roman" w:eastAsia="Times New Roman" w:hAnsi="Times New Roman"/>
          <w:sz w:val="24"/>
          <w:szCs w:val="24"/>
          <w:lang w:val="en-US"/>
        </w:rPr>
        <w:t>interpretability.</w:t>
      </w:r>
    </w:p>
    <w:p w14:paraId="000000C2">
      <w:pPr>
        <w:pStyle w:val="ListParagraph"/>
        <w:spacing w:before="180" w:after="180"/>
        <w:ind w:left="720"/>
        <w:rPr/>
      </w:pPr>
    </w:p>
    <w:p w14:paraId="000000C3">
      <w:pPr>
        <w:pStyle w:val="ListParagraph"/>
        <w:numPr>
          <w:ilvl w:val="0"/>
          <w:numId w:val="7"/>
        </w:numPr>
        <w:spacing w:before="180" w:after="180"/>
        <w:rPr/>
      </w:pPr>
      <w:r>
        <w:rPr>
          <w:rFonts w:ascii="Times New Roman" w:cs="Times New Roman" w:eastAsia="Times New Roman" w:hAnsi="Times New Roman"/>
          <w:sz w:val="24"/>
          <w:szCs w:val="24"/>
          <w:lang w:val="en-US"/>
        </w:rPr>
        <w:t>Objective 4: Operationalizing the Early Warning Dashboard (EWD). To design the architecture for a predictive dashboard that translates model outputs into "Attrition Probability Scores" (0.0 to 1.0) for every senior developer. This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objectiv</w:t>
      </w:r>
      <w:r>
        <w:rPr>
          <w:rFonts w:ascii="Times New Roman" w:cs="Times New Roman" w:eastAsia="Times New Roman" w:hAnsi="Times New Roman"/>
          <w:sz w:val="24"/>
          <w:szCs w:val="24"/>
          <w:lang w:val="en-US"/>
        </w:rPr>
        <w:t>e</w:t>
      </w:r>
      <w:r>
        <w:rPr>
          <w:rFonts w:ascii="Times New Roman" w:cs="Times New Roman" w:eastAsia="Times New Roman" w:hAnsi="Times New Roman"/>
          <w:sz w:val="24"/>
          <w:szCs w:val="24"/>
          <w:lang w:val="en-US"/>
        </w:rPr>
        <w:t xml:space="preserve"> includes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establishin</w:t>
      </w:r>
      <w:r>
        <w:rPr>
          <w:rFonts w:ascii="Times New Roman" w:cs="Times New Roman" w:eastAsia="Times New Roman" w:hAnsi="Times New Roman"/>
          <w:sz w:val="24"/>
          <w:szCs w:val="24"/>
          <w:lang w:val="en-US"/>
        </w:rPr>
        <w:t>g</w:t>
      </w:r>
      <w:r>
        <w:rPr>
          <w:rFonts w:ascii="Times New Roman" w:cs="Times New Roman" w:eastAsia="Times New Roman" w:hAnsi="Times New Roman"/>
          <w:sz w:val="24"/>
          <w:szCs w:val="24"/>
          <w:lang w:val="en-US"/>
        </w:rPr>
        <w:t xml:space="preserve"> action thresholds and "Reason Codes" to guide HR Business Partners in their</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interventions.</w:t>
      </w:r>
    </w:p>
    <w:p w14:paraId="000000C4">
      <w:pPr>
        <w:pStyle w:val="ListParagraph"/>
        <w:spacing w:before="180" w:after="180"/>
        <w:ind w:left="720"/>
        <w:rPr/>
      </w:pPr>
    </w:p>
    <w:p w14:paraId="000000C5">
      <w:pPr>
        <w:pStyle w:val="ListParagraph"/>
        <w:numPr>
          <w:ilvl w:val="0"/>
          <w:numId w:val="7"/>
        </w:numPr>
        <w:spacing w:before="180" w:after="180"/>
        <w:rPr/>
      </w:pPr>
      <w:r>
        <w:rPr>
          <w:rFonts w:ascii="Times New Roman" w:cs="Times New Roman" w:eastAsia="Times New Roman" w:hAnsi="Times New Roman"/>
          <w:sz w:val="24"/>
          <w:szCs w:val="24"/>
          <w:lang w:val="en-US"/>
        </w:rPr>
        <w:t>Objectiv</w:t>
      </w:r>
      <w:r>
        <w:rPr>
          <w:rFonts w:ascii="Times New Roman" w:cs="Times New Roman" w:eastAsia="Times New Roman" w:hAnsi="Times New Roman"/>
          <w:sz w:val="24"/>
          <w:szCs w:val="24"/>
          <w:lang w:val="en-US"/>
        </w:rPr>
        <w:t>e</w:t>
      </w:r>
      <w:r>
        <w:rPr>
          <w:rFonts w:ascii="Times New Roman" w:cs="Times New Roman" w:eastAsia="Times New Roman" w:hAnsi="Times New Roman"/>
          <w:sz w:val="24"/>
          <w:szCs w:val="24"/>
          <w:lang w:val="en-US"/>
        </w:rPr>
        <w:t xml:space="preserve"> 5: Strategic Intervention and ROI Validation. To develop a 90-day pilot program centered on "Stay Interviews," </w:t>
      </w:r>
      <w:r>
        <w:rPr>
          <w:rFonts w:ascii="Times New Roman" w:cs="Times New Roman" w:eastAsia="Times New Roman" w:hAnsi="Times New Roman"/>
          <w:sz w:val="24"/>
          <w:szCs w:val="24"/>
          <w:lang w:val="en-US"/>
        </w:rPr>
        <w:t>utilizing</w:t>
      </w:r>
      <w:r>
        <w:rPr>
          <w:rFonts w:ascii="Times New Roman" w:cs="Times New Roman" w:eastAsia="Times New Roman" w:hAnsi="Times New Roman"/>
          <w:sz w:val="24"/>
          <w:szCs w:val="24"/>
          <w:lang w:val="en-US"/>
        </w:rPr>
        <w:t xml:space="preserve"> the model's predictions to </w:t>
      </w:r>
      <w:r>
        <w:rPr>
          <w:rFonts w:ascii="Times New Roman" w:cs="Times New Roman" w:eastAsia="Times New Roman" w:hAnsi="Times New Roman"/>
          <w:sz w:val="24"/>
          <w:szCs w:val="24"/>
          <w:lang w:val="en-US"/>
        </w:rPr>
        <w:t>initiate</w:t>
      </w:r>
      <w:r>
        <w:rPr>
          <w:rFonts w:ascii="Times New Roman" w:cs="Times New Roman" w:eastAsia="Times New Roman" w:hAnsi="Times New Roman"/>
          <w:sz w:val="24"/>
          <w:szCs w:val="24"/>
          <w:lang w:val="en-US"/>
        </w:rPr>
        <w:t xml:space="preserve"> proactive dialogues with high-risk talent. Success will be measured by the model's ability to provide a "predictive window" that enables the retention of institutional knowledge.</w:t>
      </w:r>
    </w:p>
    <w:p w14:paraId="000000C6">
      <w:pPr>
        <w:pStyle w:val="Normal"/>
        <w:spacing w:before="180" w:after="180" w:line="480" w:lineRule="auto"/>
        <w:ind w:left="0"/>
        <w:jc w:val="left"/>
        <w:rPr>
          <w:rFonts w:ascii="Times New Roman" w:cs="Times New Roman" w:eastAsia="Times New Roman" w:hAnsi="Times New Roman"/>
          <w:sz w:val="24"/>
          <w:szCs w:val="24"/>
          <w:lang w:val="en-US"/>
        </w:rPr>
      </w:pPr>
    </w:p>
    <w:p w14:paraId="000000C7">
      <w:pPr>
        <w:pStyle w:val="Normal"/>
        <w:spacing w:before="180" w:after="180" w:line="480" w:lineRule="auto"/>
        <w:ind w:left="0"/>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5.4 Success </w:t>
      </w:r>
      <w:r>
        <w:rPr>
          <w:rFonts w:ascii="Times New Roman" w:cs="Times New Roman" w:eastAsia="Times New Roman" w:hAnsi="Times New Roman"/>
          <w:i/>
          <w:iCs/>
          <w:sz w:val="36"/>
          <w:szCs w:val="36"/>
          <w:u w:val="single"/>
          <w:lang w:val="en-US"/>
        </w:rPr>
        <w:t>Criteria</w:t>
      </w:r>
    </w:p>
    <w:p w14:paraId="000000C8">
      <w:pPr>
        <w:pStyle w:val="Normal"/>
        <w:spacing w:before="180" w:after="180" w:line="480" w:lineRule="auto"/>
        <w:ind w:left="0" w:firstLine="708"/>
        <w:jc w:val="left"/>
        <w:rPr>
          <w:lang w:val="en-US"/>
        </w:rPr>
      </w:pPr>
      <w:r>
        <w:rPr>
          <w:lang w:val="en-US"/>
        </w:rPr>
        <w:t>To ensure the project delivers a measurable return on investment (ROI) and meets academic standards, it must satisfy two distinct tiers of success.</w:t>
      </w:r>
    </w:p>
    <w:p w14:paraId="000000C9">
      <w:pPr>
        <w:pStyle w:val="Normal"/>
        <w:spacing w:before="180" w:after="180" w:line="480" w:lineRule="auto"/>
        <w:ind w:left="0"/>
        <w:jc w:val="left"/>
        <w:rPr>
          <w:lang w:val="en-US"/>
        </w:rPr>
      </w:pPr>
    </w:p>
    <w:p w14:paraId="000000CA">
      <w:pPr>
        <w:pStyle w:val="Normal"/>
        <w:spacing w:before="180" w:after="180" w:line="480" w:lineRule="auto"/>
        <w:ind w:left="0"/>
        <w:jc w:val="left"/>
        <w:rPr>
          <w:i/>
          <w:iCs/>
          <w:lang w:val="en-US"/>
        </w:rPr>
      </w:pPr>
      <w:r>
        <w:rPr>
          <w:i/>
          <w:iCs/>
          <w:lang w:val="en-US"/>
        </w:rPr>
        <w:t>5.4.1 Data Mining Success Criteria</w:t>
      </w:r>
    </w:p>
    <w:p w14:paraId="000000CB">
      <w:pPr>
        <w:pStyle w:val="Normal"/>
        <w:spacing w:before="180" w:after="180" w:line="480" w:lineRule="auto"/>
        <w:ind w:left="0" w:firstLine="708"/>
        <w:jc w:val="left"/>
        <w:rPr>
          <w:lang w:val="en-US"/>
        </w:rPr>
      </w:pPr>
      <w:r>
        <w:rPr>
          <w:lang w:val="en-US"/>
        </w:rPr>
        <w:t>The technical viability of the project will be judged on the model’s ability to discriminate between leavers and stayers without succumbing to the bias of a balanced dataset:</w:t>
      </w:r>
    </w:p>
    <w:p w14:paraId="000000CC">
      <w:pPr>
        <w:pStyle w:val="ListParagraph"/>
        <w:numPr>
          <w:ilvl w:val="0"/>
          <w:numId w:val="6"/>
        </w:numPr>
        <w:spacing w:before="180" w:after="180" w:line="480" w:lineRule="auto"/>
        <w:jc w:val="left"/>
        <w:rPr>
          <w:lang w:val="en-US"/>
        </w:rPr>
      </w:pPr>
      <w:r>
        <w:rPr>
          <w:lang w:val="en-US"/>
        </w:rPr>
        <w:t xml:space="preserve">Recall (Sensitivity) ≥ 0.60: The primary metric for success is catching at least 60% of actual leavers. In the context of </w:t>
      </w:r>
      <w:r>
        <w:rPr>
          <w:lang w:val="en-US"/>
        </w:rPr>
        <w:t>TechCorp</w:t>
      </w:r>
      <w:r>
        <w:rPr>
          <w:lang w:val="en-US"/>
        </w:rPr>
        <w:t>, a "False Negative" (missing a developer who then leaves) is far more costly than a "False Positive" (querying an employee who was planning to stay).</w:t>
      </w:r>
    </w:p>
    <w:p w14:paraId="000000CD">
      <w:pPr>
        <w:pStyle w:val="ListParagraph"/>
        <w:spacing w:before="180" w:after="180" w:line="480" w:lineRule="auto"/>
        <w:ind w:left="720"/>
        <w:jc w:val="left"/>
        <w:rPr>
          <w:lang w:val="en-US"/>
        </w:rPr>
      </w:pPr>
    </w:p>
    <w:p w14:paraId="000000CE">
      <w:pPr>
        <w:pStyle w:val="ListParagraph"/>
        <w:numPr>
          <w:ilvl w:val="0"/>
          <w:numId w:val="30"/>
        </w:numPr>
        <w:spacing w:before="180" w:after="180" w:line="480" w:lineRule="auto"/>
        <w:jc w:val="left"/>
        <w:rPr>
          <w:lang w:val="en-US"/>
        </w:rPr>
      </w:pPr>
      <w:r>
        <w:rPr>
          <w:lang w:val="en-US"/>
        </w:rPr>
        <w:t xml:space="preserve">Area Under the Curve (AUROC): The area under the ROC curve must be above 0.75, </w:t>
      </w:r>
      <w:r>
        <w:rPr>
          <w:lang w:val="en-US"/>
        </w:rPr>
        <w:t>indicating</w:t>
      </w:r>
      <w:r>
        <w:rPr>
          <w:lang w:val="en-US"/>
        </w:rPr>
        <w:t xml:space="preserve"> that the model discriminates well between leavers and stayers.</w:t>
      </w:r>
    </w:p>
    <w:p w14:paraId="000000CF">
      <w:pPr>
        <w:pStyle w:val="Normal"/>
        <w:spacing w:before="180" w:after="180" w:line="480" w:lineRule="auto"/>
        <w:ind w:left="0"/>
        <w:jc w:val="left"/>
        <w:rPr>
          <w:rFonts w:ascii="Times New Roman" w:cs="Times New Roman" w:eastAsia="Times New Roman" w:hAnsi="Times New Roman"/>
          <w:sz w:val="24"/>
          <w:szCs w:val="24"/>
          <w:lang w:val="en-US"/>
        </w:rPr>
      </w:pPr>
    </w:p>
    <w:p w14:paraId="000000D0">
      <w:pPr>
        <w:pStyle w:val="Normal"/>
        <w:spacing w:before="180" w:after="180" w:line="480" w:lineRule="auto"/>
        <w:ind w:left="0"/>
        <w:jc w:val="left"/>
        <w:rPr>
          <w:rFonts w:ascii="Times New Roman" w:cs="Times New Roman" w:eastAsia="Times New Roman" w:hAnsi="Times New Roman"/>
          <w:i/>
          <w:iCs/>
          <w:sz w:val="24"/>
          <w:szCs w:val="24"/>
          <w:lang w:val="en-US"/>
        </w:rPr>
      </w:pPr>
      <w:r>
        <w:rPr>
          <w:rFonts w:ascii="Times New Roman" w:cs="Times New Roman" w:eastAsia="Times New Roman" w:hAnsi="Times New Roman"/>
          <w:i/>
          <w:iCs/>
          <w:sz w:val="24"/>
          <w:szCs w:val="24"/>
          <w:lang w:val="en-US"/>
        </w:rPr>
        <w:t xml:space="preserve">5.4.2 Business Success </w:t>
      </w:r>
      <w:r>
        <w:rPr>
          <w:rFonts w:ascii="Times New Roman" w:cs="Times New Roman" w:eastAsia="Times New Roman" w:hAnsi="Times New Roman"/>
          <w:i/>
          <w:iCs/>
          <w:sz w:val="24"/>
          <w:szCs w:val="24"/>
          <w:lang w:val="en-US"/>
        </w:rPr>
        <w:t>Criteria</w:t>
      </w:r>
    </w:p>
    <w:p w14:paraId="000000D1">
      <w:pPr>
        <w:pStyle w:val="Normal"/>
        <w:spacing w:before="180" w:after="180" w:line="480" w:lineRule="auto"/>
        <w:ind w:left="0" w:firstLine="708"/>
        <w:jc w:val="left"/>
        <w:rPr>
          <w:rFonts w:ascii="Times New Roman" w:cs="Times New Roman" w:eastAsia="Times New Roman" w:hAnsi="Times New Roman"/>
          <w:i w:val="off"/>
          <w:iCs w:val="off"/>
          <w:sz w:val="24"/>
          <w:szCs w:val="24"/>
          <w:lang w:val="en-US"/>
        </w:rPr>
      </w:pPr>
      <w:r>
        <w:rPr>
          <w:rFonts w:ascii="Times New Roman" w:cs="Times New Roman" w:eastAsia="Times New Roman" w:hAnsi="Times New Roman"/>
          <w:i w:val="off"/>
          <w:iCs w:val="off"/>
          <w:sz w:val="24"/>
          <w:szCs w:val="24"/>
          <w:lang w:val="en-US"/>
        </w:rPr>
        <w:t>The ultimate criterion for success of the analysis can be measured by its contribution to the stability and profitability of TechCorp operations:</w:t>
      </w:r>
    </w:p>
    <w:p w14:paraId="000000D2">
      <w:pPr>
        <w:pStyle w:val="ListParagraph"/>
        <w:numPr>
          <w:ilvl w:val="0"/>
          <w:numId w:val="5"/>
        </w:numPr>
        <w:spacing w:before="180" w:after="180" w:line="480" w:lineRule="auto"/>
        <w:jc w:val="left"/>
        <w:rPr>
          <w:lang w:val="en-US"/>
        </w:rPr>
      </w:pPr>
      <w:r>
        <w:rPr>
          <w:lang w:val="en-US"/>
        </w:rPr>
        <w:t xml:space="preserve">Attrition Rate Reduction: The implementation of the model and </w:t>
      </w:r>
      <w:r>
        <w:rPr>
          <w:lang w:val="en-US"/>
        </w:rPr>
        <w:t>subsequent</w:t>
      </w:r>
      <w:r>
        <w:rPr>
          <w:lang w:val="en-US"/>
        </w:rPr>
        <w:t xml:space="preserve"> stay interviews aims to reduce voluntary attrition among senior developers by 5% within the first fiscal year.</w:t>
      </w:r>
    </w:p>
    <w:p w14:paraId="000000D3">
      <w:pPr>
        <w:pStyle w:val="ListParagraph"/>
        <w:spacing w:before="180" w:after="180" w:line="480" w:lineRule="auto"/>
        <w:ind w:left="720"/>
        <w:jc w:val="left"/>
        <w:rPr/>
      </w:pPr>
    </w:p>
    <w:p w14:paraId="000000D4">
      <w:pPr>
        <w:pStyle w:val="ListParagraph"/>
        <w:numPr>
          <w:ilvl w:val="0"/>
          <w:numId w:val="5"/>
        </w:numPr>
        <w:spacing w:before="180" w:after="180" w:line="480" w:lineRule="auto"/>
        <w:jc w:val="left"/>
        <w:rPr>
          <w:lang w:val="en-US"/>
        </w:rPr>
      </w:pPr>
      <w:r>
        <w:rPr>
          <w:lang w:val="en-US"/>
        </w:rPr>
        <w:t xml:space="preserve">Intervention Efficiency: The tool should allow HR to </w:t>
      </w:r>
      <w:r>
        <w:rPr>
          <w:lang w:val="en-US"/>
        </w:rPr>
        <w:t>focus</w:t>
      </w:r>
      <w:r>
        <w:rPr>
          <w:lang w:val="en-US"/>
        </w:rPr>
        <w:t xml:space="preserve"> their limited retention budget and time on only the top 10% of employees identified as "at-risk," maximizing the utility of HR Business Partners.</w:t>
      </w:r>
    </w:p>
    <w:p w14:paraId="000000D5">
      <w:pPr>
        <w:pStyle w:val="ListParagraph"/>
        <w:spacing w:before="180" w:after="180" w:line="480" w:lineRule="auto"/>
        <w:ind w:left="720"/>
        <w:jc w:val="left"/>
        <w:rPr>
          <w:lang w:val="en-US"/>
        </w:rPr>
      </w:pPr>
    </w:p>
    <w:p w14:paraId="000000D6">
      <w:pPr>
        <w:pStyle w:val="ListParagraph"/>
        <w:numPr>
          <w:ilvl w:val="0"/>
          <w:numId w:val="5"/>
        </w:numPr>
        <w:spacing w:before="180" w:after="180" w:line="480" w:lineRule="auto"/>
        <w:jc w:val="left"/>
        <w:rPr>
          <w:lang w:val="en-US"/>
        </w:rPr>
      </w:pPr>
      <w:r>
        <w:rPr>
          <w:lang w:val="en-US"/>
        </w:rPr>
        <w:t xml:space="preserve">Financial Risk Mitigation: Successful deployment should aim to preserve approximately $19.8 million of the $30 million annual risk by </w:t>
      </w:r>
      <w:r>
        <w:rPr>
          <w:lang w:val="en-US"/>
        </w:rPr>
        <w:t>identifying</w:t>
      </w:r>
      <w:r>
        <w:rPr>
          <w:lang w:val="en-US"/>
        </w:rPr>
        <w:t xml:space="preserve"> leavers early enough for effective managerial intervention</w:t>
      </w:r>
    </w:p>
    <w:p w14:paraId="000000D7">
      <w:pPr>
        <w:pStyle w:val="Normal"/>
        <w:spacing w:line="480" w:lineRule="auto"/>
        <w:ind w:firstLine="0"/>
        <w:jc w:val="left"/>
        <w:rPr>
          <w:lang w:val="en-US"/>
        </w:rPr>
      </w:pPr>
    </w:p>
    <w:p w14:paraId="000000D8">
      <w:pPr>
        <w:pStyle w:val="Normal"/>
        <w:spacing w:line="480" w:lineRule="auto"/>
        <w:jc w:val="left"/>
        <w:rPr>
          <w:b/>
          <w:bCs/>
          <w:sz w:val="48"/>
          <w:szCs w:val="48"/>
          <w:lang w:val="en-US"/>
        </w:rPr>
      </w:pPr>
      <w:r>
        <w:rPr>
          <w:b/>
          <w:bCs/>
          <w:sz w:val="48"/>
          <w:szCs w:val="48"/>
          <w:lang w:val="en-US"/>
        </w:rPr>
        <w:t xml:space="preserve">6. </w:t>
      </w:r>
      <w:r>
        <w:rPr>
          <w:b/>
          <w:bCs/>
          <w:sz w:val="48"/>
          <w:szCs w:val="48"/>
          <w:lang w:val="en-US"/>
        </w:rPr>
        <w:t>Methodology</w:t>
      </w:r>
    </w:p>
    <w:p w14:paraId="000000D9">
      <w:pPr>
        <w:spacing w:before="180" w:after="180" w:line="480" w:lineRule="auto"/>
        <w:ind w:firstLine="708"/>
        <w:jc w:val="left"/>
        <w:rPr>
          <w:rFonts w:ascii="Times New Roman" w:cs="Times New Roman" w:eastAsia="Times New Roman" w:hAnsi="Times New Roman"/>
          <w:i w:val="off"/>
          <w:iCs w:val="off"/>
          <w:sz w:val="24"/>
          <w:szCs w:val="24"/>
          <w:u w:val="none"/>
          <w:lang w:val="en-US"/>
        </w:rPr>
      </w:pPr>
      <w:r>
        <w:rPr>
          <w:rFonts w:ascii="Times New Roman" w:cs="Times New Roman" w:eastAsia="Times New Roman" w:hAnsi="Times New Roman"/>
          <w:i w:val="off"/>
          <w:iCs w:val="off"/>
          <w:sz w:val="24"/>
          <w:szCs w:val="24"/>
          <w:u w:val="none"/>
          <w:lang w:val="en-US"/>
        </w:rPr>
        <w:t>The transition from recognizing a human capital crisis to implementing a mathematical solution requires a rigorous, structured approach. This methodology section outlines the technical pipeline used to process, analyze, and model the IBM HR Analytics dataset, ultimately producing a deployable predictive tool for TechCorp Solutions.</w:t>
      </w:r>
    </w:p>
    <w:p w14:paraId="000000DA">
      <w:pPr>
        <w:spacing w:before="180" w:after="180" w:line="480" w:lineRule="auto"/>
        <w:ind w:firstLine="708"/>
        <w:jc w:val="left"/>
        <w:rPr>
          <w:rFonts w:ascii="Times New Roman" w:cs="Times New Roman" w:eastAsia="Times New Roman" w:hAnsi="Times New Roman"/>
          <w:i w:val="off"/>
          <w:iCs w:val="off"/>
          <w:sz w:val="24"/>
          <w:szCs w:val="24"/>
          <w:u w:val="none"/>
          <w:lang w:val="en-US"/>
        </w:rPr>
      </w:pPr>
    </w:p>
    <w:p w14:paraId="000000DB">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6.1 The CRISP-DM Framework</w:t>
      </w:r>
    </w:p>
    <w:p w14:paraId="000000DC">
      <w:pPr>
        <w:spacing w:before="180" w:after="180" w:line="480" w:lineRule="auto"/>
        <w:ind w:firstLine="708"/>
        <w:jc w:val="left"/>
        <w:rPr/>
      </w:pPr>
      <w:r>
        <w:rPr>
          <w:rFonts w:ascii="Times New Roman" w:cs="Times New Roman" w:eastAsia="Times New Roman" w:hAnsi="Times New Roman"/>
          <w:sz w:val="24"/>
          <w:szCs w:val="24"/>
          <w:lang w:val="en-US"/>
        </w:rPr>
        <w:t>In the current study, the research uses the cross-industry standard process for data mining (CRISP-DM). CRISP-DM refers to a non-linear and an iterative data mining process that includes six processes that ensure that the data mining goals and requirements of the business are integrated. Other processes such as SEMMA (Sample, Explore, Modify, Model, Assess), which emphasizes more of the statistics involved in backend operations, may not be considered as the most suitable option since it requires that processes should be aligned to organizational requirements. Unlike other methodologies that involve linear process flow, CRISP-DM provides a process flow that involves feedback from modeling to data understanding.</w:t>
      </w:r>
    </w:p>
    <w:p w14:paraId="000000DD">
      <w:pPr>
        <w:pStyle w:val="Normal"/>
        <w:spacing w:before="180" w:after="180" w:line="480" w:lineRule="auto"/>
        <w:jc w:val="left"/>
        <w:rPr>
          <w:rFonts w:ascii="Times New Roman" w:cs="Times New Roman" w:eastAsia="Times New Roman" w:hAnsi="Times New Roman"/>
          <w:sz w:val="24"/>
          <w:szCs w:val="24"/>
          <w:lang w:val="en-US"/>
        </w:rPr>
      </w:pPr>
    </w:p>
    <w:p w14:paraId="000000DE">
      <w:pPr>
        <w:pStyle w:val="Normal"/>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6.2 Phase 1: Business Understanding</w:t>
      </w:r>
    </w:p>
    <w:p w14:paraId="000000DF">
      <w:pPr>
        <w:spacing w:before="180" w:after="180" w:line="480" w:lineRule="auto"/>
        <w:ind w:firstLine="708"/>
        <w:jc w:val="left"/>
        <w:rPr/>
      </w:pPr>
      <w:r>
        <w:rPr>
          <w:rFonts w:ascii="Times New Roman" w:cs="Times New Roman" w:eastAsia="Times New Roman" w:hAnsi="Times New Roman"/>
          <w:sz w:val="24"/>
          <w:szCs w:val="24"/>
          <w:lang w:val="en-US"/>
        </w:rPr>
        <w:t>Before any code was written, the business parameters were strictly defined. The present project started by specifying the "Attrition" target variable in terms of the $30 million potential annual loss for the company. Attrition is not merely a classification label; it is a financial hemorrhage. The main need of the organization was specified as determining "at risk" senior developers, which would provide sufficient time for the HR department to intervene. Consequently, the mathematical goal of success was determined as achieving high Recall, meaning minimizing false negatives—those highly skilled engineers who leave without alerting the company.</w:t>
      </w:r>
    </w:p>
    <w:p w14:paraId="000000E0">
      <w:pPr>
        <w:spacing w:before="180" w:after="180" w:line="480" w:lineRule="auto"/>
        <w:jc w:val="left"/>
        <w:rPr>
          <w:rFonts w:ascii="Times New Roman" w:cs="Times New Roman" w:eastAsia="Times New Roman" w:hAnsi="Times New Roman"/>
          <w:i/>
          <w:iCs/>
          <w:sz w:val="36"/>
          <w:szCs w:val="36"/>
          <w:u w:val="single"/>
          <w:lang w:val="en-US"/>
        </w:rPr>
      </w:pPr>
    </w:p>
    <w:p w14:paraId="000000E1">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6.3 Phase 2: Data Understanding</w:t>
      </w:r>
    </w:p>
    <w:p w14:paraId="000000E2">
      <w:pPr>
        <w:pStyle w:val="Normal"/>
        <w:spacing w:before="180" w:after="180" w:line="480" w:lineRule="auto"/>
        <w:ind w:left="0" w:firstLine="708"/>
        <w:jc w:val="left"/>
        <w:rPr>
          <w:lang w:val="en-US"/>
        </w:rPr>
      </w:pPr>
      <w:r>
        <w:rPr>
          <w:rFonts w:ascii="Times New Roman" w:cs="Times New Roman" w:eastAsia="Times New Roman" w:hAnsi="Times New Roman"/>
          <w:sz w:val="24"/>
          <w:szCs w:val="24"/>
          <w:lang w:val="en-US"/>
        </w:rPr>
        <w:t>The data understanding stage involved a thorough investigation of the IBM HR Analytics dataset.</w:t>
      </w:r>
    </w:p>
    <w:p w14:paraId="000000E3">
      <w:pPr>
        <w:pStyle w:val="ListParagraph"/>
        <w:numPr>
          <w:ilvl w:val="0"/>
          <w:numId w:val="28"/>
        </w:numPr>
        <w:spacing w:before="180" w:after="180" w:line="480" w:lineRule="auto"/>
        <w:jc w:val="left"/>
        <w:rPr>
          <w:lang w:val="en-US"/>
        </w:rPr>
      </w:pPr>
      <w:r>
        <w:rPr>
          <w:lang w:val="en-US"/>
        </w:rPr>
        <w:t>Data Inventory: 1,470 observations from 35 variables.</w:t>
      </w:r>
    </w:p>
    <w:p w14:paraId="000000E4">
      <w:pPr>
        <w:pStyle w:val="ListParagraph"/>
        <w:spacing w:before="180" w:after="180" w:line="480" w:lineRule="auto"/>
        <w:ind w:left="720"/>
        <w:jc w:val="left"/>
        <w:rPr/>
      </w:pPr>
    </w:p>
    <w:p w14:paraId="000000E5">
      <w:pPr>
        <w:pStyle w:val="ListParagraph"/>
        <w:numPr>
          <w:ilvl w:val="0"/>
          <w:numId w:val="28"/>
        </w:numPr>
        <w:spacing w:before="180" w:after="180" w:line="480" w:lineRule="auto"/>
        <w:jc w:val="left"/>
        <w:rPr>
          <w:lang w:val="en-US"/>
        </w:rPr>
      </w:pPr>
      <w:r>
        <w:rPr>
          <w:rFonts w:ascii="Times New Roman" w:cs="Times New Roman" w:eastAsia="Times New Roman" w:hAnsi="Times New Roman"/>
          <w:sz w:val="24"/>
          <w:szCs w:val="24"/>
          <w:lang w:val="en-US"/>
        </w:rPr>
        <w:t xml:space="preserve">Exploratory Data Analysis (EDA): </w:t>
      </w:r>
      <w:r>
        <w:rPr>
          <w:lang w:val="en-US"/>
        </w:rPr>
        <w:t xml:space="preserve">From </w:t>
      </w:r>
      <w:r>
        <w:rPr>
          <w:lang w:val="en-US"/>
        </w:rPr>
        <w:t>initial</w:t>
      </w:r>
      <w:r>
        <w:rPr>
          <w:lang w:val="en-US"/>
        </w:rPr>
        <w:t xml:space="preserve"> visualizations, we </w:t>
      </w:r>
      <w:r>
        <w:rPr>
          <w:lang w:val="en-US"/>
        </w:rPr>
        <w:t>observed</w:t>
      </w:r>
      <w:r>
        <w:rPr>
          <w:lang w:val="en-US"/>
        </w:rPr>
        <w:t xml:space="preserve"> that there was a skew in the two categories, where about 84% were those who remained in the company while 16% were those who left the company.</w:t>
      </w:r>
    </w:p>
    <w:p w14:paraId="000000E6">
      <w:pPr>
        <w:pStyle w:val="ListParagraph"/>
        <w:spacing w:before="180" w:after="180" w:line="480" w:lineRule="auto"/>
        <w:ind w:left="720"/>
        <w:jc w:val="left"/>
        <w:rPr/>
      </w:pPr>
    </w:p>
    <w:p w14:paraId="000000E7">
      <w:pPr>
        <w:pStyle w:val="ListParagraph"/>
        <w:numPr>
          <w:ilvl w:val="0"/>
          <w:numId w:val="28"/>
        </w:numPr>
        <w:spacing w:before="180" w:after="180" w:line="480" w:lineRule="auto"/>
        <w:jc w:val="left"/>
        <w:rPr/>
      </w:pPr>
      <w:r>
        <w:rPr>
          <w:lang w:val="en-US"/>
        </w:rPr>
        <w:t xml:space="preserve">Correlation Results: Early correlation heat maps revealed that Overtime is the best positive predictor for attrition, </w:t>
      </w:r>
      <w:r>
        <w:rPr>
          <w:lang w:val="en-US"/>
        </w:rPr>
        <w:t>whereas</w:t>
      </w:r>
      <w:r>
        <w:rPr>
          <w:lang w:val="en-US"/>
        </w:rPr>
        <w:t xml:space="preserve"> Monthly Income and Working Years </w:t>
      </w:r>
      <w:r>
        <w:rPr>
          <w:lang w:val="en-US"/>
        </w:rPr>
        <w:t>exhibit</w:t>
      </w:r>
      <w:r>
        <w:rPr>
          <w:lang w:val="en-US"/>
        </w:rPr>
        <w:t xml:space="preserve"> high negative correlations (the higher the income and working years, the lower the attrition).</w:t>
      </w:r>
    </w:p>
    <w:p w14:paraId="000000E8">
      <w:pPr>
        <w:spacing w:before="180" w:after="180" w:line="480" w:lineRule="auto"/>
        <w:jc w:val="left"/>
        <w:rPr>
          <w:rFonts w:ascii="Times New Roman" w:cs="Times New Roman" w:eastAsia="Times New Roman" w:hAnsi="Times New Roman"/>
          <w:sz w:val="24"/>
          <w:szCs w:val="24"/>
          <w:lang w:val="en-US"/>
        </w:rPr>
      </w:pPr>
    </w:p>
    <w:p w14:paraId="000000E9">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6.4 Phase 3: Data Preparation (The Engineering Phase)</w:t>
      </w:r>
    </w:p>
    <w:p w14:paraId="000000EA">
      <w:pPr>
        <w:spacing w:before="180" w:after="180" w:line="480" w:lineRule="auto"/>
        <w:ind w:firstLine="708"/>
        <w:jc w:val="left"/>
        <w:rPr/>
      </w:pPr>
      <w:r>
        <w:rPr>
          <w:rFonts w:ascii="Times New Roman" w:cs="Times New Roman" w:eastAsia="Times New Roman" w:hAnsi="Times New Roman"/>
          <w:sz w:val="24"/>
          <w:szCs w:val="24"/>
          <w:lang w:val="en-US"/>
        </w:rPr>
        <w:t>To transform raw data into a machine-learning-ready format, several critical preprocessing steps were undertaken:</w:t>
      </w:r>
    </w:p>
    <w:p w14:paraId="000000EB">
      <w:pPr>
        <w:spacing w:before="180" w:after="180" w:line="480" w:lineRule="auto"/>
        <w:jc w:val="left"/>
        <w:rPr>
          <w:rFonts w:ascii="Times New Roman" w:cs="Times New Roman" w:eastAsia="Times New Roman" w:hAnsi="Times New Roman"/>
          <w:sz w:val="24"/>
          <w:szCs w:val="24"/>
          <w:lang w:val="en-US"/>
        </w:rPr>
      </w:pPr>
    </w:p>
    <w:p w14:paraId="000000EC">
      <w:pPr>
        <w:spacing w:before="180" w:after="180" w:line="480" w:lineRule="auto"/>
        <w:jc w:val="left"/>
        <w:rPr>
          <w:rFonts w:ascii="Times New Roman" w:cs="Times New Roman" w:eastAsia="Times New Roman" w:hAnsi="Times New Roman"/>
          <w:i/>
          <w:iCs/>
          <w:sz w:val="24"/>
          <w:szCs w:val="24"/>
          <w:lang w:val="en-US"/>
        </w:rPr>
      </w:pPr>
      <w:r>
        <w:rPr>
          <w:rFonts w:ascii="Times New Roman" w:cs="Times New Roman" w:eastAsia="Times New Roman" w:hAnsi="Times New Roman"/>
          <w:i/>
          <w:iCs/>
          <w:sz w:val="24"/>
          <w:szCs w:val="24"/>
          <w:lang w:val="en-US"/>
        </w:rPr>
        <w:t>6.4.1 Feature Selection and Noise Reduction</w:t>
      </w:r>
    </w:p>
    <w:p w14:paraId="000000ED">
      <w:pPr>
        <w:spacing w:before="180" w:after="180" w:line="480" w:lineRule="auto"/>
        <w:ind w:firstLine="708"/>
        <w:jc w:val="left"/>
        <w:rPr/>
      </w:pPr>
      <w:r>
        <w:rPr>
          <w:rFonts w:ascii="Times New Roman" w:cs="Times New Roman" w:eastAsia="Times New Roman" w:hAnsi="Times New Roman"/>
          <w:sz w:val="24"/>
          <w:szCs w:val="24"/>
          <w:lang w:val="en-US"/>
        </w:rPr>
        <w:t xml:space="preserve">Algorithms are highly susceptible to "noise" generated by useless variables. Through variance thresholding, the variables with zero variance: </w:t>
      </w:r>
      <w:r>
        <w:rPr>
          <w:rFonts w:ascii="Times New Roman" w:cs="Times New Roman" w:eastAsia="Times New Roman" w:hAnsi="Times New Roman"/>
          <w:sz w:val="24"/>
          <w:szCs w:val="24"/>
          <w:lang w:val="en-US"/>
        </w:rPr>
        <w:t>EmployeeCount</w:t>
      </w:r>
      <w:r>
        <w:rPr>
          <w:rFonts w:ascii="Times New Roman" w:cs="Times New Roman" w:eastAsia="Times New Roman" w:hAnsi="Times New Roman"/>
          <w:sz w:val="24"/>
          <w:szCs w:val="24"/>
          <w:lang w:val="en-US"/>
        </w:rPr>
        <w:t xml:space="preserve">, Over18, and StandardHours, were mathematically </w:t>
      </w:r>
      <w:r>
        <w:rPr>
          <w:rFonts w:ascii="Times New Roman" w:cs="Times New Roman" w:eastAsia="Times New Roman" w:hAnsi="Times New Roman"/>
          <w:sz w:val="24"/>
          <w:szCs w:val="24"/>
          <w:lang w:val="en-US"/>
        </w:rPr>
        <w:t>identified</w:t>
      </w:r>
      <w:r>
        <w:rPr>
          <w:rFonts w:ascii="Times New Roman" w:cs="Times New Roman" w:eastAsia="Times New Roman" w:hAnsi="Times New Roman"/>
          <w:sz w:val="24"/>
          <w:szCs w:val="24"/>
          <w:lang w:val="en-US"/>
        </w:rPr>
        <w:t xml:space="preserve"> and dropped. These columns </w:t>
      </w:r>
      <w:r>
        <w:rPr>
          <w:rFonts w:ascii="Times New Roman" w:cs="Times New Roman" w:eastAsia="Times New Roman" w:hAnsi="Times New Roman"/>
          <w:sz w:val="24"/>
          <w:szCs w:val="24"/>
          <w:lang w:val="en-US"/>
        </w:rPr>
        <w:t>contained</w:t>
      </w:r>
      <w:r>
        <w:rPr>
          <w:rFonts w:ascii="Times New Roman" w:cs="Times New Roman" w:eastAsia="Times New Roman" w:hAnsi="Times New Roman"/>
          <w:sz w:val="24"/>
          <w:szCs w:val="24"/>
          <w:lang w:val="en-US"/>
        </w:rPr>
        <w:t xml:space="preserve"> identical values for every record, offering zero predictive power and potentially introducing computational "noise" and multicollinearity into the matrix. Additionally, </w:t>
      </w:r>
      <w:r>
        <w:rPr>
          <w:rFonts w:ascii="Times New Roman" w:cs="Times New Roman" w:eastAsia="Times New Roman" w:hAnsi="Times New Roman"/>
          <w:sz w:val="24"/>
          <w:szCs w:val="24"/>
          <w:lang w:val="en-US"/>
        </w:rPr>
        <w:t>EmployeeNumber</w:t>
      </w:r>
      <w:r>
        <w:rPr>
          <w:rFonts w:ascii="Times New Roman" w:cs="Times New Roman" w:eastAsia="Times New Roman" w:hAnsi="Times New Roman"/>
          <w:sz w:val="24"/>
          <w:szCs w:val="24"/>
          <w:lang w:val="en-US"/>
        </w:rPr>
        <w:t xml:space="preserve"> was removed to ensure the model learned generalizable behavioral patterns rather than assigning weights to unique identifiers</w:t>
      </w:r>
    </w:p>
    <w:p w14:paraId="000000EE">
      <w:pPr>
        <w:spacing w:before="180" w:after="180" w:line="480" w:lineRule="auto"/>
        <w:jc w:val="left"/>
        <w:rPr>
          <w:rFonts w:ascii="Times New Roman" w:cs="Times New Roman" w:eastAsia="Times New Roman" w:hAnsi="Times New Roman"/>
          <w:sz w:val="24"/>
          <w:szCs w:val="24"/>
          <w:lang w:val="en-US"/>
        </w:rPr>
      </w:pPr>
    </w:p>
    <w:p w14:paraId="000000EF">
      <w:pPr>
        <w:spacing w:before="180" w:after="180" w:line="480" w:lineRule="auto"/>
        <w:jc w:val="left"/>
        <w:rPr>
          <w:rFonts w:ascii="Times New Roman" w:cs="Times New Roman" w:eastAsia="Times New Roman" w:hAnsi="Times New Roman"/>
          <w:i/>
          <w:iCs/>
          <w:sz w:val="24"/>
          <w:szCs w:val="24"/>
          <w:lang w:val="en-US"/>
        </w:rPr>
      </w:pPr>
      <w:r>
        <w:rPr>
          <w:rFonts w:ascii="Times New Roman" w:cs="Times New Roman" w:eastAsia="Times New Roman" w:hAnsi="Times New Roman"/>
          <w:i/>
          <w:iCs/>
          <w:sz w:val="24"/>
          <w:szCs w:val="24"/>
          <w:lang w:val="en-US"/>
        </w:rPr>
        <w:t>6.4.2 Categorical Encoding</w:t>
      </w:r>
    </w:p>
    <w:p w14:paraId="000000F0">
      <w:pPr>
        <w:spacing w:before="180" w:after="180" w:line="480" w:lineRule="auto"/>
        <w:ind w:firstLine="708"/>
        <w:jc w:val="left"/>
        <w:rPr/>
      </w:pPr>
      <w:r>
        <w:rPr>
          <w:rFonts w:ascii="Times New Roman" w:cs="Times New Roman" w:eastAsia="Times New Roman" w:hAnsi="Times New Roman"/>
          <w:sz w:val="24"/>
          <w:szCs w:val="24"/>
          <w:lang w:val="en-US"/>
        </w:rPr>
        <w:t>The machine learning models need numeric matrices as inputs for performing matrix multiplication to calculate probability weights. Since many HR datasets were stored in string formats, two types of encodings were adopted:</w:t>
      </w:r>
    </w:p>
    <w:p w14:paraId="000000F1">
      <w:pPr>
        <w:pStyle w:val="ListParagraph"/>
        <w:numPr>
          <w:ilvl w:val="0"/>
          <w:numId w:val="27"/>
        </w:numPr>
        <w:spacing w:before="180" w:after="180" w:line="480" w:lineRule="auto"/>
        <w:jc w:val="left"/>
        <w:rPr>
          <w:lang w:val="es-ES"/>
        </w:rPr>
      </w:pPr>
      <w:r>
        <w:rPr>
          <w:lang w:val="es-ES"/>
        </w:rPr>
        <w:t>Label encoding: used to encode the dependent variable “Attrition” and binary independent variables such as “Over Time.” The label encoding converts the variables to numeric integers (0 and 1).</w:t>
      </w:r>
    </w:p>
    <w:p w14:paraId="000000F2">
      <w:pPr>
        <w:pStyle w:val="ListParagraph"/>
        <w:spacing w:before="180" w:after="180" w:line="480" w:lineRule="auto"/>
        <w:ind w:left="720"/>
        <w:jc w:val="left"/>
        <w:rPr>
          <w:lang w:val="es-ES"/>
        </w:rPr>
      </w:pPr>
    </w:p>
    <w:p w14:paraId="000000F3">
      <w:pPr>
        <w:pStyle w:val="ListParagraph"/>
        <w:numPr>
          <w:ilvl w:val="0"/>
          <w:numId w:val="27"/>
        </w:numPr>
        <w:spacing w:before="180" w:after="180" w:line="480" w:lineRule="auto"/>
        <w:jc w:val="left"/>
        <w:rPr>
          <w:lang w:val="es-ES"/>
        </w:rPr>
      </w:pPr>
      <w:r>
        <w:rPr>
          <w:lang w:val="es-ES"/>
        </w:rPr>
        <w:t>One</w:t>
      </w:r>
      <w:r>
        <w:rPr>
          <w:lang w:val="es-ES"/>
        </w:rPr>
        <w:t xml:space="preserve"> Hot Encoding: Hot encoding is needed when the categorical variables consist of three or more values such as Department, Field of Education, and Job Role. If, say, we have assumed Sales=1, R&amp;D=2, and HR=3, this would indicate that there is some sort of order involved among these categories. To solve this problem, hot encoding is adopted, whereby binary variables are created for each value within a categorical variable. This resulted in the increase </w:t>
      </w:r>
      <w:r>
        <w:rPr>
          <w:lang w:val="es-ES"/>
        </w:rPr>
        <w:t>in</w:t>
      </w:r>
      <w:r>
        <w:rPr>
          <w:lang w:val="es-ES"/>
        </w:rPr>
        <w:t xml:space="preserve"> the number of variables from 35 to 45.</w:t>
      </w:r>
    </w:p>
    <w:p w14:paraId="000000F4">
      <w:pPr>
        <w:spacing w:before="180" w:after="180" w:line="480" w:lineRule="auto"/>
        <w:jc w:val="left"/>
        <w:rPr>
          <w:rFonts w:ascii="Times New Roman" w:cs="Times New Roman" w:eastAsia="Times New Roman" w:hAnsi="Times New Roman"/>
          <w:sz w:val="24"/>
          <w:szCs w:val="24"/>
          <w:lang w:val="en-US"/>
        </w:rPr>
      </w:pPr>
    </w:p>
    <w:p w14:paraId="000000F5">
      <w:pPr>
        <w:spacing w:before="180" w:after="180" w:line="480" w:lineRule="auto"/>
        <w:ind w:firstLine="0"/>
        <w:jc w:val="left"/>
        <w:rPr>
          <w:rFonts w:ascii="Times New Roman" w:cs="Times New Roman" w:eastAsia="Times New Roman" w:hAnsi="Times New Roman"/>
          <w:b w:val="off"/>
          <w:bCs w:val="off"/>
          <w:i/>
          <w:iCs/>
          <w:sz w:val="24"/>
          <w:szCs w:val="24"/>
          <w:u w:val="none"/>
          <w:lang w:val="en-US"/>
        </w:rPr>
      </w:pPr>
      <w:r>
        <w:rPr>
          <w:rFonts w:ascii="Times New Roman" w:cs="Times New Roman" w:eastAsia="Times New Roman" w:hAnsi="Times New Roman"/>
          <w:b w:val="off"/>
          <w:bCs w:val="off"/>
          <w:i/>
          <w:iCs/>
          <w:sz w:val="24"/>
          <w:szCs w:val="24"/>
          <w:u w:val="none"/>
          <w:lang w:val="en-US"/>
        </w:rPr>
        <w:t>6.4.3 Addressing Class Imbalance (</w:t>
      </w:r>
      <w:r>
        <w:rPr>
          <w:rFonts w:ascii="Times New Roman" w:cs="Times New Roman" w:eastAsia="Times New Roman" w:hAnsi="Times New Roman"/>
          <w:b w:val="off"/>
          <w:bCs w:val="off"/>
          <w:i/>
          <w:iCs/>
          <w:sz w:val="24"/>
          <w:szCs w:val="24"/>
          <w:u w:val="none"/>
          <w:lang w:val="en-US"/>
        </w:rPr>
        <w:t>Random Oversampling</w:t>
      </w:r>
      <w:r>
        <w:rPr>
          <w:rFonts w:ascii="Times New Roman" w:cs="Times New Roman" w:eastAsia="Times New Roman" w:hAnsi="Times New Roman"/>
          <w:b w:val="off"/>
          <w:bCs w:val="off"/>
          <w:i/>
          <w:iCs/>
          <w:sz w:val="24"/>
          <w:szCs w:val="24"/>
          <w:u w:val="none"/>
          <w:lang w:val="en-US"/>
        </w:rPr>
        <w:t>)</w:t>
      </w:r>
    </w:p>
    <w:p w14:paraId="000000F6">
      <w:pPr>
        <w:spacing w:before="180" w:after="180" w:line="480" w:lineRule="auto"/>
        <w:ind w:firstLine="708"/>
        <w:jc w:val="left"/>
        <w:rPr/>
      </w:pPr>
      <w:r>
        <w:rPr>
          <w:rFonts w:ascii="Times New Roman" w:cs="Times New Roman" w:eastAsia="Times New Roman" w:hAnsi="Times New Roman"/>
          <w:sz w:val="24"/>
          <w:szCs w:val="24"/>
          <w:lang w:val="en-US"/>
        </w:rPr>
        <w:t xml:space="preserve">The 84/16 distribution of stayers versus leavers presented the most significant technical hurdle. Because only 16% of the dataset represented leavers, a standard model would </w:t>
      </w:r>
      <w:r>
        <w:rPr>
          <w:rFonts w:ascii="Times New Roman" w:cs="Times New Roman" w:eastAsia="Times New Roman" w:hAnsi="Times New Roman"/>
          <w:sz w:val="24"/>
          <w:szCs w:val="24"/>
          <w:lang w:val="en-US"/>
        </w:rPr>
        <w:t>likely "default"</w:t>
      </w:r>
      <w:r>
        <w:rPr>
          <w:rFonts w:ascii="Times New Roman" w:cs="Times New Roman" w:eastAsia="Times New Roman" w:hAnsi="Times New Roman"/>
          <w:sz w:val="24"/>
          <w:szCs w:val="24"/>
          <w:lang w:val="en-US"/>
        </w:rPr>
        <w:t xml:space="preserve"> to </w:t>
      </w:r>
      <w:r>
        <w:rPr>
          <w:rFonts w:ascii="Times New Roman" w:cs="Times New Roman" w:eastAsia="Times New Roman" w:hAnsi="Times New Roman"/>
          <w:sz w:val="24"/>
          <w:szCs w:val="24"/>
          <w:lang w:val="en-US"/>
        </w:rPr>
        <w:t>predict</w:t>
      </w:r>
      <w:r>
        <w:rPr>
          <w:rFonts w:ascii="Times New Roman" w:cs="Times New Roman" w:eastAsia="Times New Roman" w:hAnsi="Times New Roman"/>
          <w:sz w:val="24"/>
          <w:szCs w:val="24"/>
          <w:lang w:val="en-US"/>
        </w:rPr>
        <w:t xml:space="preserve"> that everyone stays to achieve a deceptive 84% baseline accuracy.</w:t>
      </w:r>
    </w:p>
    <w:p w14:paraId="000000F7">
      <w:pPr>
        <w:spacing w:before="180" w:after="180" w:line="480" w:lineRule="auto"/>
        <w:ind w:firstLine="708"/>
        <w:jc w:val="left"/>
        <w:rPr/>
      </w:pPr>
      <w:r>
        <w:rPr>
          <w:rFonts w:ascii="Times New Roman" w:cs="Times New Roman" w:eastAsia="Times New Roman" w:hAnsi="Times New Roman"/>
          <w:sz w:val="24"/>
          <w:szCs w:val="24"/>
          <w:lang w:val="en-US"/>
        </w:rPr>
        <w:t xml:space="preserve">To solve this, we </w:t>
      </w:r>
      <w:r>
        <w:rPr>
          <w:rFonts w:ascii="Times New Roman" w:cs="Times New Roman" w:eastAsia="Times New Roman" w:hAnsi="Times New Roman"/>
          <w:sz w:val="24"/>
          <w:szCs w:val="24"/>
          <w:lang w:val="en-US"/>
        </w:rPr>
        <w:t>utilized</w:t>
      </w:r>
      <w:r>
        <w:rPr>
          <w:rFonts w:ascii="Times New Roman" w:cs="Times New Roman" w:eastAsia="Times New Roman" w:hAnsi="Times New Roman"/>
          <w:sz w:val="24"/>
          <w:szCs w:val="24"/>
          <w:lang w:val="en-US"/>
        </w:rPr>
        <w:t xml:space="preserve"> Random Oversampling to duplicate records from the minority 'Attrition = Yes' class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By duplicating these existing records, we successfull</w:t>
      </w:r>
      <w:r>
        <w:rPr>
          <w:rFonts w:ascii="Times New Roman" w:cs="Times New Roman" w:eastAsia="Times New Roman" w:hAnsi="Times New Roman"/>
          <w:sz w:val="24"/>
          <w:szCs w:val="24"/>
          <w:lang w:val="en-US"/>
        </w:rPr>
        <w:t>y balanced the training set, forcing the algorithm to learn the specific characteristics of employees who leave</w:t>
      </w:r>
      <w:r>
        <w:rPr>
          <w:rFonts w:ascii="Times New Roman" w:cs="Times New Roman" w:eastAsia="Times New Roman" w:hAnsi="Times New Roman"/>
          <w:sz w:val="24"/>
          <w:szCs w:val="24"/>
          <w:lang w:val="en-US"/>
        </w:rPr>
        <w:t>. This balanced the training set perfectly</w:t>
      </w:r>
      <w:r>
        <w:rPr>
          <w:rFonts w:ascii="Times New Roman" w:cs="Times New Roman" w:eastAsia="Times New Roman" w:hAnsi="Times New Roman"/>
          <w:sz w:val="24"/>
          <w:szCs w:val="24"/>
          <w:lang w:val="en-US"/>
        </w:rPr>
        <w:t>.</w:t>
      </w:r>
    </w:p>
    <w:p w14:paraId="000000F8">
      <w:pPr>
        <w:spacing w:before="180" w:after="180" w:line="480" w:lineRule="auto"/>
        <w:ind w:firstLine="708"/>
        <w:jc w:val="left"/>
        <w:rPr>
          <w:rFonts w:ascii="Times New Roman" w:cs="Times New Roman" w:eastAsia="Times New Roman" w:hAnsi="Times New Roman"/>
          <w:sz w:val="24"/>
          <w:szCs w:val="24"/>
          <w:lang w:val="en-US"/>
        </w:rPr>
      </w:pPr>
    </w:p>
    <w:tbl>
      <w:tblPr>
        <w:tblStyle w:val="NormalTable"/>
        <w:bidiVisual w:val="off"/>
        <w:tblW w:w="8381" w:type="dxa"/>
        <w:tblLook w:val="06A0"/>
      </w:tblPr>
      <w:tblGrid>
        <w:gridCol w:w="1143"/>
        <w:gridCol w:w="1856"/>
        <w:gridCol w:w="1977"/>
        <w:gridCol w:w="2051"/>
        <w:gridCol w:w="1985"/>
      </w:tblGrid>
      <w:tr>
        <w:trPr>
          <w:trHeight w:val="300"/>
        </w:trPr>
        <w:tc>
          <w:tcPr>
            <w:cnfStyle w:val="101000000000"/>
            <w:tcW w:w="1461"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0F9">
            <w:pPr>
              <w:spacing w:before="0" w:after="0"/>
              <w:rPr/>
            </w:pPr>
            <w:r>
              <w:rPr>
                <w:b/>
                <w:bCs/>
                <w:color w:val="1f1f1f"/>
              </w:rPr>
              <w:t>Class</w:t>
            </w:r>
          </w:p>
        </w:tc>
        <w:tc>
          <w:tcPr>
            <w:cnfStyle w:val="100000000000"/>
            <w:tcW w:w="207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0FA">
            <w:pPr>
              <w:pStyle w:val="Normal"/>
              <w:spacing w:before="0" w:after="0"/>
              <w:rPr/>
            </w:pPr>
            <w:r>
              <w:rPr>
                <w:rFonts w:ascii="Times New Roman" w:cs="Times New Roman" w:eastAsia="Times New Roman" w:hAnsi="Times New Roman"/>
                <w:sz w:val="24"/>
                <w:szCs w:val="24"/>
                <w:lang w:val="es-ES"/>
              </w:rPr>
              <w:t>Pre-Oversampling Count</w:t>
            </w:r>
          </w:p>
        </w:tc>
        <w:tc>
          <w:tcPr>
            <w:cnfStyle w:val="100000000000"/>
            <w:tcW w:w="1521"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0FB">
            <w:pPr>
              <w:spacing w:before="0" w:after="0"/>
              <w:rPr>
                <w:b/>
                <w:bCs/>
                <w:color w:val="1f1f1f"/>
              </w:rPr>
            </w:pPr>
            <w:r>
              <w:rPr>
                <w:b/>
                <w:bCs/>
                <w:color w:val="1f1f1f"/>
              </w:rPr>
              <w:t>Pre-</w:t>
            </w:r>
            <w:r>
              <w:rPr>
                <w:b/>
                <w:bCs/>
                <w:color w:val="1f1f1f"/>
              </w:rPr>
              <w:t>Oversampling</w:t>
            </w:r>
            <w:r>
              <w:rPr>
                <w:b/>
                <w:bCs/>
                <w:color w:val="1f1f1f"/>
              </w:rPr>
              <w:t xml:space="preserve"> </w:t>
            </w:r>
            <w:r>
              <w:rPr>
                <w:b/>
                <w:bCs/>
                <w:color w:val="1f1f1f"/>
              </w:rPr>
              <w:t>%</w:t>
            </w:r>
          </w:p>
        </w:tc>
        <w:tc>
          <w:tcPr>
            <w:cnfStyle w:val="100000000000"/>
            <w:tcW w:w="180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0FC">
            <w:pPr>
              <w:pStyle w:val="Normal"/>
              <w:spacing w:before="0" w:after="0"/>
              <w:rPr/>
            </w:pPr>
            <w:r>
              <w:rPr>
                <w:rFonts w:ascii="Times New Roman" w:cs="Times New Roman" w:eastAsia="Times New Roman" w:hAnsi="Times New Roman"/>
                <w:b/>
                <w:bCs/>
                <w:sz w:val="24"/>
                <w:szCs w:val="24"/>
                <w:lang w:val="es-ES"/>
              </w:rPr>
              <w:t>Post-Oversampling Count</w:t>
            </w:r>
            <w:r>
              <w:rPr>
                <w:rFonts w:ascii="Times New Roman" w:cs="Times New Roman" w:eastAsia="Times New Roman" w:hAnsi="Times New Roman"/>
                <w:sz w:val="24"/>
                <w:szCs w:val="24"/>
                <w:lang w:val="es-ES"/>
              </w:rPr>
              <w:t>.</w:t>
            </w:r>
          </w:p>
        </w:tc>
        <w:tc>
          <w:tcPr>
            <w:cnfStyle w:val="100000000000"/>
            <w:tcW w:w="1529" w:type="dxa"/>
            <w:tcBorders>
              <w:top w:val="single" w:sz="6" w:space="0"/>
              <w:left w:val="single" w:sz="6" w:space="0"/>
              <w:bottom w:val="single" w:sz="6" w:space="0"/>
              <w:right w:val="single" w:sz="6" w:space="0"/>
            </w:tcBorders>
            <w:shd w:val="clear" w:color="auto" w:fill="efefef"/>
            <w:tcMar>
              <w:top w:w="240" w:type="dxa"/>
              <w:bottom w:w="240" w:type="dxa"/>
            </w:tcMar>
            <w:vAlign w:val="center"/>
          </w:tcPr>
          <w:p w14:paraId="000000FD">
            <w:pPr>
              <w:spacing w:before="0" w:after="0"/>
              <w:rPr>
                <w:b/>
                <w:bCs/>
                <w:color w:val="1f1f1f"/>
              </w:rPr>
            </w:pPr>
            <w:r>
              <w:rPr>
                <w:b/>
                <w:bCs/>
                <w:color w:val="1f1f1f"/>
              </w:rPr>
              <w:t>Post-</w:t>
            </w:r>
            <w:r>
              <w:rPr>
                <w:b/>
                <w:bCs/>
                <w:color w:val="1f1f1f"/>
              </w:rPr>
              <w:t>Oversampling</w:t>
            </w:r>
            <w:r>
              <w:rPr>
                <w:b/>
                <w:bCs/>
                <w:color w:val="1f1f1f"/>
              </w:rPr>
              <w:t xml:space="preserve"> %</w:t>
            </w:r>
          </w:p>
        </w:tc>
      </w:tr>
      <w:tr>
        <w:trPr>
          <w:trHeight w:val="300"/>
        </w:trPr>
        <w:tc>
          <w:tcPr>
            <w:cnfStyle w:val="001000000000"/>
            <w:tcW w:w="1461" w:type="dxa"/>
            <w:tcBorders>
              <w:top w:val="single" w:sz="6" w:space="0"/>
              <w:left w:val="single" w:sz="6" w:space="0"/>
              <w:bottom w:val="single" w:sz="6" w:space="0"/>
              <w:right w:val="single" w:sz="6" w:space="0"/>
            </w:tcBorders>
            <w:tcMar>
              <w:top w:w="240" w:type="dxa"/>
              <w:bottom w:w="240" w:type="dxa"/>
              <w:right w:w="180" w:type="dxa"/>
            </w:tcMar>
            <w:vAlign w:val="center"/>
          </w:tcPr>
          <w:p w14:paraId="000000FE">
            <w:pPr>
              <w:spacing w:before="0" w:after="0"/>
              <w:rPr/>
            </w:pPr>
            <w:r>
              <w:rPr>
                <w:b/>
                <w:bCs/>
                <w:color w:val="1f1f1f"/>
              </w:rPr>
              <w:t>No (Stayers)</w:t>
            </w:r>
          </w:p>
        </w:tc>
        <w:tc>
          <w:tcPr>
            <w:cnfStyle w:val="000000000000"/>
            <w:tcW w:w="2070" w:type="dxa"/>
            <w:tcBorders>
              <w:top w:val="single" w:sz="6" w:space="0"/>
              <w:left w:val="single" w:sz="6" w:space="0"/>
              <w:bottom w:val="single" w:sz="6" w:space="0"/>
              <w:right w:val="single" w:sz="6" w:space="0"/>
            </w:tcBorders>
            <w:tcMar>
              <w:top w:w="240" w:type="dxa"/>
              <w:bottom w:w="240" w:type="dxa"/>
              <w:right w:w="180" w:type="dxa"/>
            </w:tcMar>
            <w:vAlign w:val="center"/>
          </w:tcPr>
          <w:p w14:paraId="000000FF">
            <w:pPr>
              <w:spacing w:before="0" w:after="0"/>
              <w:rPr/>
            </w:pPr>
            <w:r>
              <w:rPr>
                <w:color w:val="1f1f1f"/>
              </w:rPr>
              <w:t>1,233</w:t>
            </w:r>
          </w:p>
        </w:tc>
        <w:tc>
          <w:tcPr>
            <w:cnfStyle w:val="000000000000"/>
            <w:tcW w:w="1521" w:type="dxa"/>
            <w:tcBorders>
              <w:top w:val="single" w:sz="6" w:space="0"/>
              <w:left w:val="single" w:sz="6" w:space="0"/>
              <w:bottom w:val="single" w:sz="6" w:space="0"/>
              <w:right w:val="single" w:sz="6" w:space="0"/>
            </w:tcBorders>
            <w:tcMar>
              <w:top w:w="240" w:type="dxa"/>
              <w:bottom w:w="240" w:type="dxa"/>
              <w:right w:w="180" w:type="dxa"/>
            </w:tcMar>
            <w:vAlign w:val="center"/>
          </w:tcPr>
          <w:p w14:paraId="00000100">
            <w:pPr>
              <w:spacing w:before="0" w:after="0"/>
              <w:rPr/>
            </w:pPr>
            <w:r>
              <w:rPr>
                <w:color w:val="1f1f1f"/>
              </w:rPr>
              <w:t>83.9%</w:t>
            </w:r>
          </w:p>
        </w:tc>
        <w:tc>
          <w:tcPr>
            <w:cnfStyle w:val="000000000000"/>
            <w:tcW w:w="1800" w:type="dxa"/>
            <w:tcBorders>
              <w:top w:val="single" w:sz="6" w:space="0"/>
              <w:left w:val="single" w:sz="6" w:space="0"/>
              <w:bottom w:val="single" w:sz="6" w:space="0"/>
              <w:right w:val="single" w:sz="6" w:space="0"/>
            </w:tcBorders>
            <w:tcMar>
              <w:top w:w="240" w:type="dxa"/>
              <w:bottom w:w="240" w:type="dxa"/>
              <w:right w:w="180" w:type="dxa"/>
            </w:tcMar>
            <w:vAlign w:val="center"/>
          </w:tcPr>
          <w:p w14:paraId="00000101">
            <w:pPr>
              <w:spacing w:before="0" w:after="0"/>
              <w:rPr/>
            </w:pPr>
            <w:r>
              <w:rPr>
                <w:color w:val="1f1f1f"/>
              </w:rPr>
              <w:t>1,233</w:t>
            </w:r>
          </w:p>
        </w:tc>
        <w:tc>
          <w:tcPr>
            <w:cnfStyle w:val="000000000000"/>
            <w:tcW w:w="1529" w:type="dxa"/>
            <w:tcBorders>
              <w:top w:val="single" w:sz="6" w:space="0"/>
              <w:left w:val="single" w:sz="6" w:space="0"/>
              <w:bottom w:val="single" w:sz="6" w:space="0"/>
              <w:right w:val="single" w:sz="6" w:space="0"/>
            </w:tcBorders>
            <w:tcMar>
              <w:top w:w="240" w:type="dxa"/>
              <w:bottom w:w="240" w:type="dxa"/>
            </w:tcMar>
            <w:vAlign w:val="center"/>
          </w:tcPr>
          <w:p w14:paraId="00000102">
            <w:pPr>
              <w:spacing w:before="0" w:after="0"/>
              <w:rPr/>
            </w:pPr>
            <w:r>
              <w:rPr>
                <w:color w:val="1f1f1f"/>
              </w:rPr>
              <w:t>50.0%</w:t>
            </w:r>
          </w:p>
        </w:tc>
      </w:tr>
      <w:tr>
        <w:trPr>
          <w:trHeight w:val="300"/>
        </w:trPr>
        <w:tc>
          <w:tcPr>
            <w:cnfStyle w:val="001000000000"/>
            <w:tcW w:w="1461" w:type="dxa"/>
            <w:tcBorders>
              <w:top w:val="single" w:sz="6" w:space="0"/>
              <w:left w:val="single" w:sz="6" w:space="0"/>
              <w:bottom w:val="single" w:sz="6" w:space="0"/>
              <w:right w:val="single" w:sz="6" w:space="0"/>
            </w:tcBorders>
            <w:tcMar>
              <w:top w:w="240" w:type="dxa"/>
              <w:bottom w:w="240" w:type="dxa"/>
              <w:right w:w="180" w:type="dxa"/>
            </w:tcMar>
            <w:vAlign w:val="center"/>
          </w:tcPr>
          <w:p w14:paraId="00000103">
            <w:pPr>
              <w:spacing w:before="0" w:after="0"/>
              <w:rPr/>
            </w:pPr>
            <w:r>
              <w:rPr>
                <w:b/>
                <w:bCs/>
                <w:color w:val="1f1f1f"/>
              </w:rPr>
              <w:t>Yes (Leavers)</w:t>
            </w:r>
          </w:p>
        </w:tc>
        <w:tc>
          <w:tcPr>
            <w:cnfStyle w:val="000000000000"/>
            <w:tcW w:w="2070" w:type="dxa"/>
            <w:tcBorders>
              <w:top w:val="single" w:sz="6" w:space="0"/>
              <w:left w:val="single" w:sz="6" w:space="0"/>
              <w:bottom w:val="single" w:sz="6" w:space="0"/>
              <w:right w:val="single" w:sz="6" w:space="0"/>
            </w:tcBorders>
            <w:tcMar>
              <w:top w:w="240" w:type="dxa"/>
              <w:bottom w:w="240" w:type="dxa"/>
              <w:right w:w="180" w:type="dxa"/>
            </w:tcMar>
            <w:vAlign w:val="center"/>
          </w:tcPr>
          <w:p w14:paraId="00000104">
            <w:pPr>
              <w:spacing w:before="0" w:after="0"/>
              <w:rPr/>
            </w:pPr>
            <w:r>
              <w:rPr>
                <w:color w:val="1f1f1f"/>
              </w:rPr>
              <w:t>237</w:t>
            </w:r>
          </w:p>
        </w:tc>
        <w:tc>
          <w:tcPr>
            <w:cnfStyle w:val="000000000000"/>
            <w:tcW w:w="1521" w:type="dxa"/>
            <w:tcBorders>
              <w:top w:val="single" w:sz="6" w:space="0"/>
              <w:left w:val="single" w:sz="6" w:space="0"/>
              <w:bottom w:val="single" w:sz="6" w:space="0"/>
              <w:right w:val="single" w:sz="6" w:space="0"/>
            </w:tcBorders>
            <w:tcMar>
              <w:top w:w="240" w:type="dxa"/>
              <w:bottom w:w="240" w:type="dxa"/>
              <w:right w:w="180" w:type="dxa"/>
            </w:tcMar>
            <w:vAlign w:val="center"/>
          </w:tcPr>
          <w:p w14:paraId="00000105">
            <w:pPr>
              <w:spacing w:before="0" w:after="0"/>
              <w:rPr/>
            </w:pPr>
            <w:r>
              <w:rPr>
                <w:color w:val="1f1f1f"/>
              </w:rPr>
              <w:t>16.1%</w:t>
            </w:r>
          </w:p>
        </w:tc>
        <w:tc>
          <w:tcPr>
            <w:cnfStyle w:val="000000000000"/>
            <w:tcW w:w="1800" w:type="dxa"/>
            <w:tcBorders>
              <w:top w:val="single" w:sz="6" w:space="0"/>
              <w:left w:val="single" w:sz="6" w:space="0"/>
              <w:bottom w:val="single" w:sz="6" w:space="0"/>
              <w:right w:val="single" w:sz="6" w:space="0"/>
            </w:tcBorders>
            <w:tcMar>
              <w:top w:w="240" w:type="dxa"/>
              <w:bottom w:w="240" w:type="dxa"/>
              <w:right w:w="180" w:type="dxa"/>
            </w:tcMar>
            <w:vAlign w:val="center"/>
          </w:tcPr>
          <w:p w14:paraId="00000106">
            <w:pPr>
              <w:spacing w:before="0" w:after="0"/>
              <w:rPr/>
            </w:pPr>
            <w:r>
              <w:rPr>
                <w:color w:val="1f1f1f"/>
              </w:rPr>
              <w:t>1,233</w:t>
            </w:r>
          </w:p>
        </w:tc>
        <w:tc>
          <w:tcPr>
            <w:cnfStyle w:val="000000000000"/>
            <w:tcW w:w="1529" w:type="dxa"/>
            <w:tcBorders>
              <w:top w:val="single" w:sz="6" w:space="0"/>
              <w:left w:val="single" w:sz="6" w:space="0"/>
              <w:bottom w:val="single" w:sz="6" w:space="0"/>
              <w:right w:val="single" w:sz="6" w:space="0"/>
            </w:tcBorders>
            <w:tcMar>
              <w:top w:w="240" w:type="dxa"/>
              <w:bottom w:w="240" w:type="dxa"/>
            </w:tcMar>
            <w:vAlign w:val="center"/>
          </w:tcPr>
          <w:p w14:paraId="00000107">
            <w:pPr>
              <w:spacing w:before="0" w:after="0"/>
              <w:rPr/>
            </w:pPr>
            <w:r>
              <w:rPr>
                <w:color w:val="1f1f1f"/>
              </w:rPr>
              <w:t>50.0%</w:t>
            </w:r>
          </w:p>
        </w:tc>
      </w:tr>
      <w:tr>
        <w:trPr>
          <w:trHeight w:val="300"/>
        </w:trPr>
        <w:tc>
          <w:tcPr>
            <w:cnfStyle w:val="001000000000"/>
            <w:tcW w:w="1461" w:type="dxa"/>
            <w:tcBorders>
              <w:top w:val="single" w:sz="6" w:space="0"/>
              <w:left w:val="single" w:sz="6" w:space="0"/>
              <w:bottom w:val="single" w:sz="6" w:space="0"/>
              <w:right w:val="single" w:sz="6" w:space="0"/>
            </w:tcBorders>
            <w:tcMar>
              <w:top w:w="240" w:type="dxa"/>
              <w:bottom w:w="240" w:type="dxa"/>
              <w:right w:w="180" w:type="dxa"/>
            </w:tcMar>
            <w:vAlign w:val="center"/>
          </w:tcPr>
          <w:p w14:paraId="00000108">
            <w:pPr>
              <w:spacing w:before="0" w:after="0"/>
              <w:rPr/>
            </w:pPr>
            <w:r>
              <w:rPr>
                <w:b/>
                <w:bCs/>
                <w:color w:val="1f1f1f"/>
              </w:rPr>
              <w:t>Total</w:t>
            </w:r>
          </w:p>
        </w:tc>
        <w:tc>
          <w:tcPr>
            <w:cnfStyle w:val="000000000000"/>
            <w:tcW w:w="2070" w:type="dxa"/>
            <w:tcBorders>
              <w:top w:val="single" w:sz="6" w:space="0"/>
              <w:left w:val="single" w:sz="6" w:space="0"/>
              <w:bottom w:val="single" w:sz="6" w:space="0"/>
              <w:right w:val="single" w:sz="6" w:space="0"/>
            </w:tcBorders>
            <w:tcMar>
              <w:top w:w="240" w:type="dxa"/>
              <w:bottom w:w="240" w:type="dxa"/>
              <w:right w:w="180" w:type="dxa"/>
            </w:tcMar>
            <w:vAlign w:val="center"/>
          </w:tcPr>
          <w:p w14:paraId="00000109">
            <w:pPr>
              <w:spacing w:before="0" w:after="0"/>
              <w:rPr/>
            </w:pPr>
            <w:r>
              <w:rPr>
                <w:color w:val="1f1f1f"/>
              </w:rPr>
              <w:t>1,470</w:t>
            </w:r>
          </w:p>
        </w:tc>
        <w:tc>
          <w:tcPr>
            <w:cnfStyle w:val="000000000000"/>
            <w:tcW w:w="1521" w:type="dxa"/>
            <w:tcBorders>
              <w:top w:val="single" w:sz="6" w:space="0"/>
              <w:left w:val="single" w:sz="6" w:space="0"/>
              <w:bottom w:val="single" w:sz="6" w:space="0"/>
              <w:right w:val="single" w:sz="6" w:space="0"/>
            </w:tcBorders>
            <w:tcMar>
              <w:top w:w="240" w:type="dxa"/>
              <w:bottom w:w="240" w:type="dxa"/>
              <w:right w:w="180" w:type="dxa"/>
            </w:tcMar>
            <w:vAlign w:val="center"/>
          </w:tcPr>
          <w:p w14:paraId="0000010A">
            <w:pPr>
              <w:spacing w:before="0" w:after="0"/>
              <w:rPr/>
            </w:pPr>
            <w:r>
              <w:rPr>
                <w:color w:val="1f1f1f"/>
              </w:rPr>
              <w:t>100%</w:t>
            </w:r>
          </w:p>
        </w:tc>
        <w:tc>
          <w:tcPr>
            <w:cnfStyle w:val="000000000000"/>
            <w:tcW w:w="1800" w:type="dxa"/>
            <w:tcBorders>
              <w:top w:val="single" w:sz="6" w:space="0"/>
              <w:left w:val="single" w:sz="6" w:space="0"/>
              <w:bottom w:val="single" w:sz="6" w:space="0"/>
              <w:right w:val="single" w:sz="6" w:space="0"/>
            </w:tcBorders>
            <w:tcMar>
              <w:top w:w="240" w:type="dxa"/>
              <w:bottom w:w="240" w:type="dxa"/>
              <w:right w:w="180" w:type="dxa"/>
            </w:tcMar>
            <w:vAlign w:val="center"/>
          </w:tcPr>
          <w:p w14:paraId="0000010B">
            <w:pPr>
              <w:spacing w:before="0" w:after="0"/>
              <w:rPr/>
            </w:pPr>
            <w:r>
              <w:rPr>
                <w:color w:val="1f1f1f"/>
              </w:rPr>
              <w:t>2,466</w:t>
            </w:r>
          </w:p>
        </w:tc>
        <w:tc>
          <w:tcPr>
            <w:cnfStyle w:val="000000000000"/>
            <w:tcW w:w="1529" w:type="dxa"/>
            <w:tcBorders>
              <w:top w:val="single" w:sz="6" w:space="0"/>
              <w:left w:val="single" w:sz="6" w:space="0"/>
              <w:bottom w:val="single" w:sz="6" w:space="0"/>
              <w:right w:val="single" w:sz="6" w:space="0"/>
            </w:tcBorders>
            <w:tcMar>
              <w:top w:w="240" w:type="dxa"/>
              <w:bottom w:w="240" w:type="dxa"/>
            </w:tcMar>
            <w:vAlign w:val="center"/>
          </w:tcPr>
          <w:p w14:paraId="0000010C">
            <w:pPr>
              <w:spacing w:before="0" w:after="0"/>
              <w:rPr/>
            </w:pPr>
            <w:r>
              <w:rPr>
                <w:color w:val="1f1f1f"/>
              </w:rPr>
              <w:t>100%</w:t>
            </w:r>
          </w:p>
        </w:tc>
      </w:tr>
    </w:tbl>
    <w:p w14:paraId="0000010D">
      <w:pPr>
        <w:pStyle w:val="Normal"/>
        <w:spacing w:before="180" w:after="180" w:line="480" w:lineRule="auto"/>
        <w:ind w:firstLine="0"/>
        <w:jc w:val="left"/>
        <w:rPr>
          <w:rFonts w:ascii="Times New Roman" w:cs="Times New Roman" w:eastAsia="Times New Roman" w:hAnsi="Times New Roman"/>
          <w:sz w:val="24"/>
          <w:szCs w:val="24"/>
          <w:lang w:val="en-US"/>
        </w:rPr>
      </w:pPr>
    </w:p>
    <w:p w14:paraId="0000010E">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6.5 Phase 4: Modeling Strategy</w:t>
      </w:r>
    </w:p>
    <w:p w14:paraId="0000010F">
      <w:pPr>
        <w:spacing w:before="180" w:after="180" w:line="480" w:lineRule="auto"/>
        <w:ind w:firstLine="708"/>
        <w:jc w:val="left"/>
        <w:rPr/>
      </w:pPr>
      <w:r>
        <w:rPr>
          <w:rFonts w:ascii="Times New Roman" w:cs="Times New Roman" w:eastAsia="Times New Roman" w:hAnsi="Times New Roman"/>
          <w:sz w:val="24"/>
          <w:szCs w:val="24"/>
          <w:lang w:val="en-US"/>
        </w:rPr>
        <w:t>Following a "Champion-Challenger" approach, two distinct algorithms were developed and compared:</w:t>
      </w:r>
    </w:p>
    <w:p w14:paraId="00000110">
      <w:pPr>
        <w:pStyle w:val="ListParagraph"/>
        <w:numPr>
          <w:ilvl w:val="0"/>
          <w:numId w:val="26"/>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Logistic Regression (The Baseline): Selected for its high interpretability. In HR analytics, understanding why an employee is flagged (</w:t>
      </w:r>
      <w:r>
        <w:rPr>
          <w:rFonts w:ascii="Times New Roman" w:cs="Times New Roman" w:eastAsia="Times New Roman" w:hAnsi="Times New Roman"/>
          <w:sz w:val="24"/>
          <w:szCs w:val="24"/>
          <w:lang w:val="en-US"/>
        </w:rPr>
        <w:t>for example</w:t>
      </w:r>
      <w:r>
        <w:rPr>
          <w:rFonts w:ascii="Times New Roman" w:cs="Times New Roman" w:eastAsia="Times New Roman" w:hAnsi="Times New Roman"/>
          <w:sz w:val="24"/>
          <w:szCs w:val="24"/>
          <w:lang w:val="en-US"/>
        </w:rPr>
        <w:t>, due to a 20% drop in income compared to peers) is as important as the prediction itself. This model provides clear coefficients that serve as a "reason code" for HR Business Partners.</w:t>
      </w:r>
    </w:p>
    <w:p w14:paraId="00000111">
      <w:pPr>
        <w:pStyle w:val="ListParagraph"/>
        <w:spacing w:before="180" w:after="180" w:line="480" w:lineRule="auto"/>
        <w:ind w:left="720"/>
        <w:jc w:val="left"/>
        <w:rPr/>
      </w:pPr>
    </w:p>
    <w:p w14:paraId="00000112">
      <w:pPr>
        <w:pStyle w:val="ListParagraph"/>
        <w:numPr>
          <w:ilvl w:val="0"/>
          <w:numId w:val="26"/>
        </w:numPr>
        <w:spacing w:before="180" w:after="180" w:line="480" w:lineRule="auto"/>
        <w:jc w:val="left"/>
        <w:rPr/>
      </w:pPr>
      <w:r>
        <w:rPr>
          <w:rFonts w:ascii="Times New Roman" w:cs="Times New Roman" w:eastAsia="Times New Roman" w:hAnsi="Times New Roman"/>
          <w:sz w:val="24"/>
          <w:szCs w:val="24"/>
          <w:lang w:val="en-US"/>
        </w:rPr>
        <w:t>Random Forest (The Candidate): Selected to capture non-linear interaction effects. For example, a "Low Monthly Income" might only trigger attrition if it is combined with "High Business Travel." As an ensemble method using 100 decision trees, Random Forest excels at finding these hidden combinations.</w:t>
      </w:r>
    </w:p>
    <w:p w14:paraId="00000113">
      <w:pPr>
        <w:spacing w:before="180" w:after="180" w:line="480" w:lineRule="auto"/>
        <w:jc w:val="left"/>
        <w:rPr>
          <w:rFonts w:ascii="Times New Roman" w:cs="Times New Roman" w:eastAsia="Times New Roman" w:hAnsi="Times New Roman"/>
          <w:sz w:val="24"/>
          <w:szCs w:val="24"/>
          <w:lang w:val="en-US"/>
        </w:rPr>
      </w:pPr>
    </w:p>
    <w:p w14:paraId="00000114">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6.6 Phase 5: Evaluation Framework</w:t>
      </w:r>
    </w:p>
    <w:p w14:paraId="00000115">
      <w:pPr>
        <w:pStyle w:val="Normal"/>
        <w:spacing w:before="180" w:after="180" w:line="480" w:lineRule="auto"/>
        <w:ind w:left="0" w:firstLine="708"/>
        <w:jc w:val="left"/>
        <w:rPr>
          <w:lang w:val="en-US"/>
        </w:rPr>
      </w:pPr>
      <w:r>
        <w:rPr>
          <w:rFonts w:ascii="Times New Roman" w:cs="Times New Roman" w:eastAsia="Times New Roman" w:hAnsi="Times New Roman"/>
          <w:sz w:val="24"/>
          <w:szCs w:val="24"/>
          <w:lang w:val="en-US"/>
        </w:rPr>
        <w:t>To prevent data leakage and simulate real-world unseen data, a stratified 80/20 split was used to separate the data for model evaluation, ensuring the original 84/16 distribution was preserved in the test holdout set. The following key performance indicators were chosen to strictly evaluate the models:</w:t>
      </w:r>
    </w:p>
    <w:p w14:paraId="00000116">
      <w:pPr>
        <w:pStyle w:val="ListParagraph"/>
        <w:numPr>
          <w:ilvl w:val="0"/>
          <w:numId w:val="25"/>
        </w:numPr>
        <w:spacing w:before="180" w:after="180" w:line="480" w:lineRule="auto"/>
        <w:jc w:val="left"/>
        <w:rPr>
          <w:lang w:val="en-US"/>
        </w:rPr>
      </w:pPr>
      <w:r>
        <w:rPr>
          <w:lang w:val="en-US"/>
        </w:rPr>
        <w:t xml:space="preserve">Confusion Matrix Analysis: </w:t>
      </w:r>
      <w:r>
        <w:rPr>
          <w:lang w:val="en-US"/>
        </w:rPr>
        <w:t>Utilized</w:t>
      </w:r>
      <w:r>
        <w:rPr>
          <w:lang w:val="en-US"/>
        </w:rPr>
        <w:t xml:space="preserve"> to explicitly quantify the operational outcomes: True Positives (actual leavers successfully caught) versus False Negatives (leaver mistakes that cost the company $150k+ in replacement fees).</w:t>
      </w:r>
    </w:p>
    <w:p w14:paraId="00000117">
      <w:pPr>
        <w:pStyle w:val="ListParagraph"/>
        <w:spacing w:before="180" w:after="180" w:line="480" w:lineRule="auto"/>
        <w:ind w:left="720"/>
        <w:jc w:val="left"/>
        <w:rPr>
          <w:lang w:val="en-US"/>
        </w:rPr>
      </w:pPr>
    </w:p>
    <w:p w14:paraId="00000118">
      <w:pPr>
        <w:pStyle w:val="ListParagraph"/>
        <w:numPr>
          <w:ilvl w:val="0"/>
          <w:numId w:val="25"/>
        </w:numPr>
        <w:spacing w:before="180" w:after="180" w:line="480" w:lineRule="auto"/>
        <w:jc w:val="left"/>
        <w:rPr>
          <w:lang w:val="en-US"/>
        </w:rPr>
      </w:pPr>
      <w:r>
        <w:rPr>
          <w:lang w:val="en-US"/>
        </w:rPr>
        <w:t>Recall (Sensitivity): Designated as the primary business success metric, targeted at &gt; 0.60, as catching attrition before it happens is the core mandate of the project.</w:t>
      </w:r>
    </w:p>
    <w:p w14:paraId="00000119">
      <w:pPr>
        <w:pStyle w:val="ListParagraph"/>
        <w:spacing w:before="180" w:after="180" w:line="480" w:lineRule="auto"/>
        <w:ind w:left="720"/>
        <w:jc w:val="left"/>
        <w:rPr/>
      </w:pPr>
    </w:p>
    <w:p w14:paraId="0000011A">
      <w:pPr>
        <w:pStyle w:val="ListParagraph"/>
        <w:numPr>
          <w:ilvl w:val="0"/>
          <w:numId w:val="25"/>
        </w:numPr>
        <w:spacing w:before="180" w:after="180" w:line="480" w:lineRule="auto"/>
        <w:jc w:val="left"/>
        <w:rPr/>
      </w:pPr>
      <w:r>
        <w:rPr>
          <w:rFonts w:ascii="Times New Roman" w:cs="Times New Roman" w:eastAsia="Times New Roman" w:hAnsi="Times New Roman"/>
          <w:sz w:val="24"/>
          <w:szCs w:val="24"/>
          <w:lang w:val="en-US"/>
        </w:rPr>
        <w:t>AUROC (Area Under the Receiver Operating Characteristic Curve): This method allows for evaluating how good the model is in distinguishing between the two groups using different probability cut-off values.</w:t>
      </w:r>
    </w:p>
    <w:p w14:paraId="0000011B">
      <w:pPr>
        <w:pStyle w:val="Normal"/>
        <w:spacing w:line="480" w:lineRule="auto"/>
        <w:jc w:val="left"/>
        <w:rPr>
          <w:lang w:val="en-US"/>
        </w:rPr>
      </w:pPr>
    </w:p>
    <w:p w14:paraId="0000011C">
      <w:pPr>
        <w:pStyle w:val="Normal"/>
        <w:spacing w:line="480" w:lineRule="auto"/>
        <w:jc w:val="left"/>
        <w:rPr>
          <w:b/>
          <w:bCs/>
          <w:sz w:val="48"/>
          <w:szCs w:val="48"/>
          <w:lang w:val="en-US"/>
        </w:rPr>
      </w:pPr>
      <w:r>
        <w:rPr>
          <w:b/>
          <w:bCs/>
          <w:sz w:val="48"/>
          <w:szCs w:val="48"/>
          <w:lang w:val="en-US"/>
        </w:rPr>
        <w:t>7. Results</w:t>
      </w:r>
    </w:p>
    <w:p w14:paraId="0000011D">
      <w:pPr>
        <w:pStyle w:val="Normal"/>
        <w:spacing w:line="480" w:lineRule="auto"/>
        <w:ind w:firstLine="708"/>
        <w:jc w:val="left"/>
        <w:rPr>
          <w:b w:val="off"/>
          <w:bCs w:val="off"/>
          <w:sz w:val="24"/>
          <w:szCs w:val="24"/>
          <w:lang w:val="en-US"/>
        </w:rPr>
      </w:pPr>
      <w:r>
        <w:rPr>
          <w:b w:val="off"/>
          <w:bCs w:val="off"/>
          <w:sz w:val="24"/>
          <w:szCs w:val="24"/>
          <w:lang w:val="en-US"/>
        </w:rPr>
        <w:t>The Results phase represents the quantitative culmination of the predictive analytics pipeline. In this section, the mathematical outputs of the models are evaluated not merely as statistical achievements, but against the operational criteria established in Phase 1: maximizing the detection of potential attritors to protect TechCorp’s intellectual property and financial stability.</w:t>
      </w:r>
    </w:p>
    <w:p w14:paraId="0000011E">
      <w:pPr>
        <w:pStyle w:val="Normal"/>
        <w:spacing w:line="480" w:lineRule="auto"/>
        <w:ind w:firstLine="708"/>
        <w:jc w:val="left"/>
        <w:rPr>
          <w:b w:val="off"/>
          <w:bCs w:val="off"/>
          <w:sz w:val="24"/>
          <w:szCs w:val="24"/>
          <w:lang w:val="en-US"/>
        </w:rPr>
      </w:pPr>
    </w:p>
    <w:p w14:paraId="0000011F">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7.1 Model Performance Comparison </w:t>
      </w:r>
    </w:p>
    <w:p w14:paraId="00000120">
      <w:pPr>
        <w:spacing w:before="180" w:after="180" w:line="480" w:lineRule="auto"/>
        <w:ind w:firstLine="708"/>
        <w:jc w:val="left"/>
        <w:rPr>
          <w:lang w:val="en-US"/>
        </w:rPr>
      </w:pPr>
      <w:r>
        <w:rPr>
          <w:rFonts w:ascii="Times New Roman" w:cs="Times New Roman" w:eastAsia="Times New Roman" w:hAnsi="Times New Roman"/>
          <w:sz w:val="24"/>
          <w:szCs w:val="24"/>
          <w:lang w:val="en-US"/>
        </w:rPr>
        <w:t>The core of the evaluation phase involved a "Champion-Challenger" comparison between the Baseline model (Logistic Regression) and the Candidate model (Random Forest). While both models were trained on the same preprocessed IBM HR dataset, their performance metrics revealed a fundamental divergence in how they would solve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s</w:t>
      </w:r>
      <w:r>
        <w:rPr>
          <w:rFonts w:ascii="Times New Roman" w:cs="Times New Roman" w:eastAsia="Times New Roman" w:hAnsi="Times New Roman"/>
          <w:sz w:val="24"/>
          <w:szCs w:val="24"/>
          <w:lang w:val="en-US"/>
        </w:rPr>
        <w:t xml:space="preserve"> $30M attrition problem.</w:t>
      </w:r>
    </w:p>
    <w:p w14:paraId="00000121">
      <w:pPr>
        <w:spacing w:before="180" w:after="180" w:line="480" w:lineRule="auto"/>
        <w:ind w:firstLine="0"/>
        <w:jc w:val="left"/>
        <w:rPr/>
      </w:pPr>
    </w:p>
    <w:p w14:paraId="00000122">
      <w:pPr>
        <w:spacing w:before="180" w:after="180" w:line="480" w:lineRule="auto"/>
        <w:ind w:firstLine="708"/>
        <w:jc w:val="left"/>
        <w:rPr>
          <w:i w:val="off"/>
          <w:iCs w:val="off"/>
          <w:lang w:val="en-US"/>
        </w:rPr>
      </w:pPr>
      <w:r>
        <w:rPr>
          <w:i w:val="off"/>
          <w:iCs w:val="off"/>
          <w:lang w:val="en-US"/>
        </w:rPr>
        <w:t xml:space="preserve">Several performance measures were computed using the held out portion (20%) of the dataset: </w:t>
      </w:r>
    </w:p>
    <w:p w14:paraId="00000123">
      <w:pPr>
        <w:pStyle w:val="ListParagraph"/>
        <w:numPr>
          <w:ilvl w:val="0"/>
          <w:numId w:val="4"/>
        </w:numPr>
        <w:spacing w:before="180" w:after="180" w:line="480" w:lineRule="auto"/>
        <w:jc w:val="left"/>
        <w:rPr/>
      </w:pPr>
      <w:r>
        <w:rPr>
          <w:i w:val="off"/>
          <w:iCs w:val="off"/>
          <w:lang w:val="en-US"/>
        </w:rPr>
        <w:t>Overall accuracy: Ratio of total correctly predicted cases (leavers and non-leavers).</w:t>
      </w:r>
    </w:p>
    <w:p w14:paraId="00000124">
      <w:pPr>
        <w:pStyle w:val="ListParagraph"/>
        <w:spacing w:before="180" w:after="180" w:line="480" w:lineRule="auto"/>
        <w:ind w:left="720"/>
        <w:jc w:val="left"/>
        <w:rPr/>
      </w:pPr>
    </w:p>
    <w:p w14:paraId="00000125">
      <w:pPr>
        <w:pStyle w:val="ListParagraph"/>
        <w:numPr>
          <w:ilvl w:val="0"/>
          <w:numId w:val="4"/>
        </w:numPr>
        <w:spacing w:before="180" w:after="180" w:line="480" w:lineRule="auto"/>
        <w:jc w:val="left"/>
        <w:rPr>
          <w:lang w:val="en-US"/>
        </w:rPr>
      </w:pPr>
      <w:r>
        <w:rPr>
          <w:i w:val="off"/>
          <w:iCs w:val="off"/>
          <w:lang w:val="en-US"/>
        </w:rPr>
        <w:t xml:space="preserve">The prediction performance was highest for random </w:t>
      </w:r>
      <w:r>
        <w:rPr>
          <w:i w:val="off"/>
          <w:iCs w:val="off"/>
          <w:lang w:val="en-US"/>
        </w:rPr>
        <w:t>forest</w:t>
      </w:r>
      <w:r>
        <w:rPr>
          <w:i w:val="off"/>
          <w:iCs w:val="off"/>
          <w:lang w:val="en-US"/>
        </w:rPr>
        <w:t xml:space="preserve"> at 83.0%, exceeding that of logistic regression at 77.2%</w:t>
      </w:r>
      <w:r>
        <w:rPr>
          <w:i w:val="off"/>
          <w:iCs w:val="off"/>
          <w:lang w:val="en-US"/>
        </w:rPr>
        <w:t xml:space="preserve">.  </w:t>
      </w:r>
    </w:p>
    <w:p w14:paraId="00000126">
      <w:pPr>
        <w:pStyle w:val="ListParagraph"/>
        <w:spacing w:before="180" w:after="180" w:line="480" w:lineRule="auto"/>
        <w:ind w:left="720"/>
        <w:jc w:val="left"/>
        <w:rPr>
          <w:lang w:val="en-US"/>
        </w:rPr>
      </w:pPr>
    </w:p>
    <w:p w14:paraId="00000127">
      <w:pPr>
        <w:pStyle w:val="ListParagraph"/>
        <w:numPr>
          <w:ilvl w:val="0"/>
          <w:numId w:val="4"/>
        </w:numPr>
        <w:spacing w:before="180" w:after="180" w:line="480" w:lineRule="auto"/>
        <w:jc w:val="left"/>
        <w:rPr>
          <w:lang w:val="en-US"/>
        </w:rPr>
      </w:pPr>
      <w:r>
        <w:rPr>
          <w:lang w:val="en-US"/>
        </w:rPr>
        <w:t>Recall (Sensitivity): It is the percentage of positives that were correctly identified as such. In this case, logistic regression performed better with a recall score of 66.0%, compared to the 17.0% recorded for</w:t>
      </w:r>
    </w:p>
    <w:p w14:paraId="00000128">
      <w:pPr>
        <w:pStyle w:val="ListParagraph"/>
        <w:spacing w:before="180" w:after="180" w:line="480" w:lineRule="auto"/>
        <w:ind w:left="720"/>
        <w:jc w:val="left"/>
        <w:rPr>
          <w:i w:val="off"/>
          <w:iCs w:val="off"/>
          <w:lang w:val="en-US"/>
        </w:rPr>
      </w:pPr>
    </w:p>
    <w:p w14:paraId="00000129">
      <w:pPr>
        <w:pStyle w:val="ListParagraph"/>
        <w:numPr>
          <w:ilvl w:val="0"/>
          <w:numId w:val="4"/>
        </w:numPr>
        <w:spacing w:before="180" w:after="180" w:line="480" w:lineRule="auto"/>
        <w:jc w:val="left"/>
        <w:rPr>
          <w:i w:val="off"/>
          <w:iCs w:val="off"/>
          <w:lang w:val="en-US"/>
        </w:rPr>
      </w:pPr>
      <w:r>
        <w:rPr>
          <w:i w:val="off"/>
          <w:iCs w:val="off"/>
          <w:lang w:val="en-US"/>
        </w:rPr>
        <w:t xml:space="preserve">Precision: Ratio of true attrition predictions to total attrition predictions. Here, random forest slightly outperformed logistic regression with a score of 42.1% compared to 37.8%. </w:t>
      </w:r>
    </w:p>
    <w:p w14:paraId="0000012A">
      <w:pPr>
        <w:pStyle w:val="ListParagraph"/>
        <w:spacing w:before="180" w:after="180" w:line="480" w:lineRule="auto"/>
        <w:ind w:left="720"/>
        <w:jc w:val="left"/>
        <w:rPr>
          <w:i w:val="off"/>
          <w:iCs w:val="off"/>
          <w:lang w:val="en-US"/>
        </w:rPr>
      </w:pPr>
    </w:p>
    <w:p w14:paraId="0000012B">
      <w:pPr>
        <w:pStyle w:val="ListParagraph"/>
        <w:numPr>
          <w:ilvl w:val="0"/>
          <w:numId w:val="4"/>
        </w:numPr>
        <w:spacing w:before="180" w:after="180" w:line="480" w:lineRule="auto"/>
        <w:jc w:val="left"/>
        <w:rPr>
          <w:i w:val="off"/>
          <w:iCs w:val="off"/>
          <w:lang w:val="en-US"/>
        </w:rPr>
      </w:pPr>
      <w:r>
        <w:rPr>
          <w:i w:val="off"/>
          <w:iCs w:val="off"/>
          <w:lang w:val="en-US"/>
        </w:rPr>
        <w:t xml:space="preserve">F1 score: Harmonic mean of precision and sensitivity. Logistic regression scored 48.1% compared to candidate model’s 24.2%. </w:t>
      </w:r>
    </w:p>
    <w:p w14:paraId="0000012C">
      <w:pPr>
        <w:pStyle w:val="ListParagraph"/>
        <w:spacing w:before="180" w:after="180" w:line="480" w:lineRule="auto"/>
        <w:ind w:left="720"/>
        <w:jc w:val="left"/>
        <w:rPr>
          <w:i w:val="off"/>
          <w:iCs w:val="off"/>
          <w:lang w:val="en-US"/>
        </w:rPr>
      </w:pPr>
    </w:p>
    <w:p w14:paraId="0000012D">
      <w:pPr>
        <w:pStyle w:val="ListParagraph"/>
        <w:numPr>
          <w:ilvl w:val="0"/>
          <w:numId w:val="4"/>
        </w:numPr>
        <w:spacing w:before="180" w:after="180" w:line="480" w:lineRule="auto"/>
        <w:jc w:val="left"/>
        <w:rPr>
          <w:i w:val="off"/>
          <w:iCs w:val="off"/>
          <w:lang w:val="en-US"/>
        </w:rPr>
      </w:pPr>
      <w:r>
        <w:rPr>
          <w:i w:val="off"/>
          <w:iCs w:val="off"/>
          <w:lang w:val="en-US"/>
        </w:rPr>
        <w:t>AUROC (Area Under the ROC Curve): Here random forest outperformed baseline with a score of 0.87 compared to 0.78.</w:t>
      </w:r>
    </w:p>
    <w:p w14:paraId="0000012E">
      <w:pPr>
        <w:pStyle w:val="Normal"/>
        <w:spacing w:before="180" w:after="180" w:line="480" w:lineRule="auto"/>
        <w:ind w:left="0"/>
        <w:jc w:val="left"/>
        <w:rPr>
          <w:i w:val="off"/>
          <w:iCs w:val="off"/>
          <w:lang w:val="en-US"/>
        </w:rPr>
      </w:pPr>
    </w:p>
    <w:tbl>
      <w:tblPr>
        <w:tblStyle w:val="NormalTable"/>
        <w:bidiVisual w:val="off"/>
        <w:tblW w:w="0" w:type="auto"/>
        <w:tblLook w:val="06A0"/>
      </w:tblPr>
      <w:tblGrid>
        <w:gridCol w:w="2513"/>
        <w:gridCol w:w="2931"/>
        <w:gridCol w:w="2660"/>
      </w:tblGrid>
      <w:tr>
        <w:trPr>
          <w:trHeight w:val="300"/>
        </w:trPr>
        <w:tc>
          <w:tcPr>
            <w:cnfStyle w:val="101000000000"/>
            <w:tcW w:w="2513"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2F">
            <w:pPr>
              <w:spacing w:before="0" w:after="0" w:line="480" w:lineRule="auto"/>
              <w:rPr>
                <w:b/>
                <w:bCs/>
                <w:color w:val="1f1f1f"/>
              </w:rPr>
            </w:pPr>
            <w:r>
              <w:rPr>
                <w:b/>
                <w:bCs/>
                <w:color w:val="1f1f1f"/>
              </w:rPr>
              <w:t>Metric</w:t>
            </w:r>
          </w:p>
        </w:tc>
        <w:tc>
          <w:tcPr>
            <w:cnfStyle w:val="100000000000"/>
            <w:tcW w:w="2931"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30">
            <w:pPr>
              <w:spacing w:before="0" w:after="0" w:line="480" w:lineRule="auto"/>
              <w:rPr/>
            </w:pPr>
            <w:r>
              <w:rPr>
                <w:b/>
                <w:bCs/>
                <w:color w:val="1f1f1f"/>
              </w:rPr>
              <w:t>Logistic</w:t>
            </w:r>
            <w:r>
              <w:rPr>
                <w:b/>
                <w:bCs/>
                <w:color w:val="1f1f1f"/>
              </w:rPr>
              <w:t xml:space="preserve"> </w:t>
            </w:r>
            <w:r>
              <w:rPr>
                <w:b/>
                <w:bCs/>
                <w:color w:val="1f1f1f"/>
              </w:rPr>
              <w:t>Regression</w:t>
            </w:r>
            <w:r>
              <w:rPr>
                <w:b/>
                <w:bCs/>
                <w:color w:val="1f1f1f"/>
              </w:rPr>
              <w:t xml:space="preserve"> (</w:t>
            </w:r>
            <w:r>
              <w:rPr>
                <w:b/>
                <w:bCs/>
                <w:color w:val="1f1f1f"/>
              </w:rPr>
              <w:t>Baseline</w:t>
            </w:r>
            <w:r>
              <w:rPr>
                <w:b/>
                <w:bCs/>
                <w:color w:val="1f1f1f"/>
              </w:rPr>
              <w:t>)</w:t>
            </w:r>
          </w:p>
        </w:tc>
        <w:tc>
          <w:tcPr>
            <w:cnfStyle w:val="100000000000"/>
            <w:tcW w:w="2660" w:type="dxa"/>
            <w:tcBorders>
              <w:top w:val="single" w:sz="6" w:space="0"/>
              <w:left w:val="single" w:sz="6" w:space="0"/>
              <w:bottom w:val="single" w:sz="6" w:space="0"/>
              <w:right w:val="single" w:sz="6" w:space="0"/>
            </w:tcBorders>
            <w:shd w:val="clear" w:color="auto" w:fill="efefef"/>
            <w:tcMar>
              <w:top w:w="240" w:type="dxa"/>
              <w:bottom w:w="240" w:type="dxa"/>
            </w:tcMar>
            <w:vAlign w:val="center"/>
          </w:tcPr>
          <w:p w14:paraId="00000131">
            <w:pPr>
              <w:spacing w:before="0" w:after="0" w:line="480" w:lineRule="auto"/>
              <w:rPr/>
            </w:pPr>
            <w:r>
              <w:rPr>
                <w:b/>
                <w:bCs/>
                <w:color w:val="1f1f1f"/>
              </w:rPr>
              <w:t>Random</w:t>
            </w:r>
            <w:r>
              <w:rPr>
                <w:b/>
                <w:bCs/>
                <w:color w:val="1f1f1f"/>
              </w:rPr>
              <w:t xml:space="preserve"> Forest (Candidate)</w:t>
            </w:r>
          </w:p>
        </w:tc>
      </w:tr>
      <w:tr>
        <w:trPr>
          <w:trHeight w:val="300"/>
        </w:trPr>
        <w:tc>
          <w:tcPr>
            <w:cnfStyle w:val="001000000000"/>
            <w:tcW w:w="2513" w:type="dxa"/>
            <w:tcBorders>
              <w:top w:val="single" w:sz="6" w:space="0"/>
              <w:left w:val="single" w:sz="6" w:space="0"/>
              <w:bottom w:val="single" w:sz="6" w:space="0"/>
              <w:right w:val="single" w:sz="6" w:space="0"/>
            </w:tcBorders>
            <w:tcMar>
              <w:top w:w="240" w:type="dxa"/>
              <w:bottom w:w="240" w:type="dxa"/>
              <w:right w:w="180" w:type="dxa"/>
            </w:tcMar>
            <w:vAlign w:val="center"/>
          </w:tcPr>
          <w:p w14:paraId="00000132">
            <w:pPr>
              <w:spacing w:before="0" w:after="0" w:line="480" w:lineRule="auto"/>
              <w:rPr>
                <w:b/>
                <w:bCs/>
                <w:color w:val="1f1f1f"/>
              </w:rPr>
            </w:pPr>
            <w:r>
              <w:rPr>
                <w:b/>
                <w:bCs/>
                <w:color w:val="1f1f1f"/>
              </w:rPr>
              <w:t>Overall</w:t>
            </w:r>
            <w:r>
              <w:rPr>
                <w:b/>
                <w:bCs/>
                <w:color w:val="1f1f1f"/>
              </w:rPr>
              <w:t xml:space="preserve"> </w:t>
            </w:r>
            <w:r>
              <w:rPr>
                <w:b/>
                <w:bCs/>
                <w:color w:val="1f1f1f"/>
              </w:rPr>
              <w:t>Accuracy</w:t>
            </w:r>
          </w:p>
        </w:tc>
        <w:tc>
          <w:tcPr>
            <w:cnfStyle w:val="000000000000"/>
            <w:tcW w:w="2931" w:type="dxa"/>
            <w:tcBorders>
              <w:top w:val="single" w:sz="6" w:space="0"/>
              <w:left w:val="single" w:sz="6" w:space="0"/>
              <w:bottom w:val="single" w:sz="6" w:space="0"/>
              <w:right w:val="single" w:sz="6" w:space="0"/>
            </w:tcBorders>
            <w:tcMar>
              <w:top w:w="240" w:type="dxa"/>
              <w:bottom w:w="240" w:type="dxa"/>
              <w:right w:w="180" w:type="dxa"/>
            </w:tcMar>
            <w:vAlign w:val="center"/>
          </w:tcPr>
          <w:p w14:paraId="00000133">
            <w:pPr>
              <w:spacing w:before="0" w:after="0" w:line="480" w:lineRule="auto"/>
              <w:rPr/>
            </w:pPr>
            <w:r>
              <w:rPr>
                <w:color w:val="1f1f1f"/>
              </w:rPr>
              <w:t>77.2%</w:t>
            </w:r>
          </w:p>
        </w:tc>
        <w:tc>
          <w:tcPr>
            <w:cnfStyle w:val="000000000000"/>
            <w:tcW w:w="2660" w:type="dxa"/>
            <w:tcBorders>
              <w:top w:val="single" w:sz="6" w:space="0"/>
              <w:left w:val="single" w:sz="6" w:space="0"/>
              <w:bottom w:val="single" w:sz="6" w:space="0"/>
              <w:right w:val="single" w:sz="6" w:space="0"/>
            </w:tcBorders>
            <w:tcMar>
              <w:top w:w="240" w:type="dxa"/>
              <w:bottom w:w="240" w:type="dxa"/>
            </w:tcMar>
            <w:vAlign w:val="center"/>
          </w:tcPr>
          <w:p w14:paraId="00000134">
            <w:pPr>
              <w:spacing w:before="0" w:after="0" w:line="480" w:lineRule="auto"/>
              <w:rPr/>
            </w:pPr>
            <w:r>
              <w:rPr>
                <w:color w:val="1f1f1f"/>
              </w:rPr>
              <w:t>83.0%</w:t>
            </w:r>
          </w:p>
        </w:tc>
      </w:tr>
      <w:tr>
        <w:trPr>
          <w:trHeight w:val="300"/>
        </w:trPr>
        <w:tc>
          <w:tcPr>
            <w:cnfStyle w:val="001000000000"/>
            <w:tcW w:w="2513" w:type="dxa"/>
            <w:tcBorders>
              <w:top w:val="single" w:sz="6" w:space="0"/>
              <w:left w:val="single" w:sz="6" w:space="0"/>
              <w:bottom w:val="single" w:sz="6" w:space="0"/>
              <w:right w:val="single" w:sz="6" w:space="0"/>
            </w:tcBorders>
            <w:tcMar>
              <w:top w:w="240" w:type="dxa"/>
              <w:bottom w:w="240" w:type="dxa"/>
              <w:right w:w="180" w:type="dxa"/>
            </w:tcMar>
            <w:vAlign w:val="center"/>
          </w:tcPr>
          <w:p w14:paraId="00000135">
            <w:pPr>
              <w:spacing w:before="0" w:after="0" w:line="480" w:lineRule="auto"/>
              <w:rPr/>
            </w:pPr>
            <w:r>
              <w:rPr>
                <w:b/>
                <w:bCs/>
                <w:color w:val="1f1f1f"/>
              </w:rPr>
              <w:t>Recall</w:t>
            </w:r>
            <w:r>
              <w:rPr>
                <w:b/>
                <w:bCs/>
                <w:color w:val="1f1f1f"/>
              </w:rPr>
              <w:t xml:space="preserve"> (</w:t>
            </w:r>
            <w:r>
              <w:rPr>
                <w:b/>
                <w:bCs/>
                <w:color w:val="1f1f1f"/>
              </w:rPr>
              <w:t>Catching</w:t>
            </w:r>
            <w:r>
              <w:rPr>
                <w:b/>
                <w:bCs/>
                <w:color w:val="1f1f1f"/>
              </w:rPr>
              <w:t xml:space="preserve"> </w:t>
            </w:r>
            <w:r>
              <w:rPr>
                <w:b/>
                <w:bCs/>
                <w:color w:val="1f1f1f"/>
              </w:rPr>
              <w:t>Attrition</w:t>
            </w:r>
            <w:r>
              <w:rPr>
                <w:b/>
                <w:bCs/>
                <w:color w:val="1f1f1f"/>
              </w:rPr>
              <w:t>)</w:t>
            </w:r>
          </w:p>
        </w:tc>
        <w:tc>
          <w:tcPr>
            <w:cnfStyle w:val="000000000000"/>
            <w:tcW w:w="2931" w:type="dxa"/>
            <w:tcBorders>
              <w:top w:val="single" w:sz="6" w:space="0"/>
              <w:left w:val="single" w:sz="6" w:space="0"/>
              <w:bottom w:val="single" w:sz="6" w:space="0"/>
              <w:right w:val="single" w:sz="6" w:space="0"/>
            </w:tcBorders>
            <w:tcMar>
              <w:top w:w="240" w:type="dxa"/>
              <w:bottom w:w="240" w:type="dxa"/>
              <w:right w:w="180" w:type="dxa"/>
            </w:tcMar>
            <w:vAlign w:val="center"/>
          </w:tcPr>
          <w:p w14:paraId="00000136">
            <w:pPr>
              <w:spacing w:before="0" w:after="0" w:line="480" w:lineRule="auto"/>
              <w:rPr/>
            </w:pPr>
            <w:r>
              <w:rPr>
                <w:b/>
                <w:bCs/>
                <w:color w:val="1f1f1f"/>
              </w:rPr>
              <w:t>66.0%</w:t>
            </w:r>
          </w:p>
        </w:tc>
        <w:tc>
          <w:tcPr>
            <w:cnfStyle w:val="000000000000"/>
            <w:tcW w:w="2660" w:type="dxa"/>
            <w:tcBorders>
              <w:top w:val="single" w:sz="6" w:space="0"/>
              <w:left w:val="single" w:sz="6" w:space="0"/>
              <w:bottom w:val="single" w:sz="6" w:space="0"/>
              <w:right w:val="single" w:sz="6" w:space="0"/>
            </w:tcBorders>
            <w:tcMar>
              <w:top w:w="240" w:type="dxa"/>
              <w:bottom w:w="240" w:type="dxa"/>
            </w:tcMar>
            <w:vAlign w:val="center"/>
          </w:tcPr>
          <w:p w14:paraId="00000137">
            <w:pPr>
              <w:spacing w:before="0" w:after="0" w:line="480" w:lineRule="auto"/>
              <w:rPr/>
            </w:pPr>
            <w:r>
              <w:rPr>
                <w:color w:val="1f1f1f"/>
              </w:rPr>
              <w:t>17.0%</w:t>
            </w:r>
          </w:p>
        </w:tc>
      </w:tr>
      <w:tr>
        <w:trPr>
          <w:trHeight w:val="300"/>
        </w:trPr>
        <w:tc>
          <w:tcPr>
            <w:cnfStyle w:val="001000000000"/>
            <w:tcW w:w="2513" w:type="dxa"/>
            <w:tcBorders>
              <w:top w:val="single" w:sz="6" w:space="0"/>
              <w:left w:val="single" w:sz="6" w:space="0"/>
              <w:bottom w:val="single" w:sz="6" w:space="0"/>
              <w:right w:val="single" w:sz="6" w:space="0"/>
            </w:tcBorders>
            <w:tcMar>
              <w:top w:w="240" w:type="dxa"/>
              <w:bottom w:w="240" w:type="dxa"/>
              <w:right w:w="180" w:type="dxa"/>
            </w:tcMar>
            <w:vAlign w:val="center"/>
          </w:tcPr>
          <w:p w14:paraId="00000138">
            <w:pPr>
              <w:spacing w:before="0" w:after="0" w:line="480" w:lineRule="auto"/>
              <w:rPr>
                <w:b/>
                <w:bCs/>
                <w:color w:val="1f1f1f"/>
              </w:rPr>
            </w:pPr>
            <w:r>
              <w:rPr>
                <w:b/>
                <w:bCs/>
                <w:color w:val="1f1f1f"/>
              </w:rPr>
              <w:t>Precision</w:t>
            </w:r>
          </w:p>
        </w:tc>
        <w:tc>
          <w:tcPr>
            <w:cnfStyle w:val="000000000000"/>
            <w:tcW w:w="2931" w:type="dxa"/>
            <w:tcBorders>
              <w:top w:val="single" w:sz="6" w:space="0"/>
              <w:left w:val="single" w:sz="6" w:space="0"/>
              <w:bottom w:val="single" w:sz="6" w:space="0"/>
              <w:right w:val="single" w:sz="6" w:space="0"/>
            </w:tcBorders>
            <w:tcMar>
              <w:top w:w="240" w:type="dxa"/>
              <w:bottom w:w="240" w:type="dxa"/>
              <w:right w:w="180" w:type="dxa"/>
            </w:tcMar>
            <w:vAlign w:val="center"/>
          </w:tcPr>
          <w:p w14:paraId="00000139">
            <w:pPr>
              <w:spacing w:before="0" w:after="0" w:line="480" w:lineRule="auto"/>
              <w:rPr/>
            </w:pPr>
            <w:r>
              <w:rPr>
                <w:color w:val="1f1f1f"/>
              </w:rPr>
              <w:t>37.8%</w:t>
            </w:r>
          </w:p>
        </w:tc>
        <w:tc>
          <w:tcPr>
            <w:cnfStyle w:val="000000000000"/>
            <w:tcW w:w="2660" w:type="dxa"/>
            <w:tcBorders>
              <w:top w:val="single" w:sz="6" w:space="0"/>
              <w:left w:val="single" w:sz="6" w:space="0"/>
              <w:bottom w:val="single" w:sz="6" w:space="0"/>
              <w:right w:val="single" w:sz="6" w:space="0"/>
            </w:tcBorders>
            <w:tcMar>
              <w:top w:w="240" w:type="dxa"/>
              <w:bottom w:w="240" w:type="dxa"/>
            </w:tcMar>
            <w:vAlign w:val="center"/>
          </w:tcPr>
          <w:p w14:paraId="0000013A">
            <w:pPr>
              <w:spacing w:before="0" w:after="0" w:line="480" w:lineRule="auto"/>
              <w:rPr/>
            </w:pPr>
            <w:r>
              <w:rPr>
                <w:color w:val="1f1f1f"/>
              </w:rPr>
              <w:t>42.1%</w:t>
            </w:r>
          </w:p>
        </w:tc>
      </w:tr>
      <w:tr>
        <w:trPr>
          <w:trHeight w:val="300"/>
        </w:trPr>
        <w:tc>
          <w:tcPr>
            <w:cnfStyle w:val="001000000000"/>
            <w:tcW w:w="2513" w:type="dxa"/>
            <w:tcBorders>
              <w:top w:val="single" w:sz="6" w:space="0"/>
              <w:left w:val="single" w:sz="6" w:space="0"/>
              <w:bottom w:val="single" w:sz="6" w:space="0"/>
              <w:right w:val="single" w:sz="6" w:space="0"/>
            </w:tcBorders>
            <w:tcMar>
              <w:top w:w="240" w:type="dxa"/>
              <w:bottom w:w="240" w:type="dxa"/>
              <w:right w:w="180" w:type="dxa"/>
            </w:tcMar>
            <w:vAlign w:val="center"/>
          </w:tcPr>
          <w:p w14:paraId="0000013B">
            <w:pPr>
              <w:spacing w:before="0" w:after="0" w:line="480" w:lineRule="auto"/>
              <w:rPr/>
            </w:pPr>
            <w:r>
              <w:rPr>
                <w:b/>
                <w:bCs/>
                <w:color w:val="1f1f1f"/>
              </w:rPr>
              <w:t>F1-Score</w:t>
            </w:r>
          </w:p>
        </w:tc>
        <w:tc>
          <w:tcPr>
            <w:cnfStyle w:val="000000000000"/>
            <w:tcW w:w="2931" w:type="dxa"/>
            <w:tcBorders>
              <w:top w:val="single" w:sz="6" w:space="0"/>
              <w:left w:val="single" w:sz="6" w:space="0"/>
              <w:bottom w:val="single" w:sz="6" w:space="0"/>
              <w:right w:val="single" w:sz="6" w:space="0"/>
            </w:tcBorders>
            <w:tcMar>
              <w:top w:w="240" w:type="dxa"/>
              <w:bottom w:w="240" w:type="dxa"/>
              <w:right w:w="180" w:type="dxa"/>
            </w:tcMar>
            <w:vAlign w:val="center"/>
          </w:tcPr>
          <w:p w14:paraId="0000013C">
            <w:pPr>
              <w:spacing w:before="0" w:after="0" w:line="480" w:lineRule="auto"/>
              <w:rPr/>
            </w:pPr>
            <w:r>
              <w:rPr>
                <w:color w:val="1f1f1f"/>
              </w:rPr>
              <w:t>48.1%</w:t>
            </w:r>
          </w:p>
        </w:tc>
        <w:tc>
          <w:tcPr>
            <w:cnfStyle w:val="000000000000"/>
            <w:tcW w:w="2660" w:type="dxa"/>
            <w:tcBorders>
              <w:top w:val="single" w:sz="6" w:space="0"/>
              <w:left w:val="single" w:sz="6" w:space="0"/>
              <w:bottom w:val="single" w:sz="6" w:space="0"/>
              <w:right w:val="single" w:sz="6" w:space="0"/>
            </w:tcBorders>
            <w:tcMar>
              <w:top w:w="240" w:type="dxa"/>
              <w:bottom w:w="240" w:type="dxa"/>
            </w:tcMar>
            <w:vAlign w:val="center"/>
          </w:tcPr>
          <w:p w14:paraId="0000013D">
            <w:pPr>
              <w:spacing w:before="0" w:after="0" w:line="480" w:lineRule="auto"/>
              <w:rPr/>
            </w:pPr>
            <w:r>
              <w:rPr>
                <w:color w:val="1f1f1f"/>
              </w:rPr>
              <w:t>24.2%</w:t>
            </w:r>
          </w:p>
        </w:tc>
      </w:tr>
      <w:tr>
        <w:trPr>
          <w:trHeight w:val="300"/>
        </w:trPr>
        <w:tc>
          <w:tcPr>
            <w:cnfStyle w:val="001000000000"/>
            <w:tcW w:w="2513" w:type="dxa"/>
            <w:tcBorders>
              <w:top w:val="single" w:sz="6" w:space="0"/>
              <w:left w:val="single" w:sz="6" w:space="0"/>
              <w:bottom w:val="single" w:sz="6" w:space="0"/>
              <w:right w:val="single" w:sz="6" w:space="0"/>
            </w:tcBorders>
            <w:tcMar>
              <w:top w:w="240" w:type="dxa"/>
              <w:bottom w:w="240" w:type="dxa"/>
              <w:right w:w="180" w:type="dxa"/>
            </w:tcMar>
            <w:vAlign w:val="center"/>
          </w:tcPr>
          <w:p w14:paraId="0000013E">
            <w:pPr>
              <w:spacing w:before="0" w:after="0" w:line="480" w:lineRule="auto"/>
              <w:rPr/>
            </w:pPr>
            <w:r>
              <w:rPr>
                <w:b/>
                <w:bCs/>
                <w:color w:val="1f1f1f"/>
              </w:rPr>
              <w:t>AUROC</w:t>
            </w:r>
          </w:p>
        </w:tc>
        <w:tc>
          <w:tcPr>
            <w:cnfStyle w:val="000000000000"/>
            <w:tcW w:w="2931" w:type="dxa"/>
            <w:tcBorders>
              <w:top w:val="single" w:sz="6" w:space="0"/>
              <w:left w:val="single" w:sz="6" w:space="0"/>
              <w:bottom w:val="single" w:sz="6" w:space="0"/>
              <w:right w:val="single" w:sz="6" w:space="0"/>
            </w:tcBorders>
            <w:tcMar>
              <w:top w:w="240" w:type="dxa"/>
              <w:bottom w:w="240" w:type="dxa"/>
              <w:right w:w="180" w:type="dxa"/>
            </w:tcMar>
            <w:vAlign w:val="center"/>
          </w:tcPr>
          <w:p w14:paraId="0000013F">
            <w:pPr>
              <w:spacing w:before="0" w:after="0" w:line="480" w:lineRule="auto"/>
              <w:rPr/>
            </w:pPr>
            <w:r>
              <w:rPr>
                <w:color w:val="1f1f1f"/>
              </w:rPr>
              <w:t>0.78</w:t>
            </w:r>
          </w:p>
        </w:tc>
        <w:tc>
          <w:tcPr>
            <w:cnfStyle w:val="000000000000"/>
            <w:tcW w:w="2660" w:type="dxa"/>
            <w:tcBorders>
              <w:top w:val="single" w:sz="6" w:space="0"/>
              <w:left w:val="single" w:sz="6" w:space="0"/>
              <w:bottom w:val="single" w:sz="6" w:space="0"/>
              <w:right w:val="single" w:sz="6" w:space="0"/>
            </w:tcBorders>
            <w:tcMar>
              <w:top w:w="240" w:type="dxa"/>
              <w:bottom w:w="240" w:type="dxa"/>
            </w:tcMar>
            <w:vAlign w:val="center"/>
          </w:tcPr>
          <w:p w14:paraId="00000140">
            <w:pPr>
              <w:spacing w:before="0" w:after="0" w:line="480" w:lineRule="auto"/>
              <w:rPr/>
            </w:pPr>
            <w:r>
              <w:rPr>
                <w:b/>
                <w:bCs/>
                <w:color w:val="1f1f1f"/>
              </w:rPr>
              <w:t>0.87</w:t>
            </w:r>
          </w:p>
        </w:tc>
      </w:tr>
    </w:tbl>
    <w:p w14:paraId="00000141">
      <w:pPr>
        <w:spacing w:before="180" w:after="180" w:line="480" w:lineRule="auto"/>
        <w:ind w:firstLine="0"/>
        <w:jc w:val="left"/>
        <w:rPr/>
      </w:pPr>
    </w:p>
    <w:p w14:paraId="00000142">
      <w:pPr>
        <w:spacing w:before="180" w:after="180" w:line="480" w:lineRule="auto"/>
        <w:jc w:val="left"/>
        <w:rPr>
          <w:rFonts w:ascii="Times New Roman" w:cs="Times New Roman" w:eastAsia="Times New Roman" w:hAnsi="Times New Roman"/>
          <w:i/>
          <w:iCs/>
          <w:sz w:val="36"/>
          <w:szCs w:val="36"/>
          <w:u w:val="single"/>
          <w:lang w:val="es-ES"/>
        </w:rPr>
      </w:pPr>
      <w:r>
        <w:rPr>
          <w:rFonts w:ascii="Times New Roman" w:cs="Times New Roman" w:eastAsia="Times New Roman" w:hAnsi="Times New Roman"/>
          <w:i/>
          <w:iCs/>
          <w:sz w:val="36"/>
          <w:szCs w:val="36"/>
          <w:u w:val="single"/>
          <w:lang w:val="es-ES"/>
        </w:rPr>
        <w:t xml:space="preserve">7.2 </w:t>
      </w:r>
      <w:r>
        <w:rPr>
          <w:rFonts w:ascii="Times New Roman" w:cs="Times New Roman" w:eastAsia="Times New Roman" w:hAnsi="Times New Roman"/>
          <w:i/>
          <w:iCs/>
          <w:sz w:val="36"/>
          <w:szCs w:val="36"/>
          <w:u w:val="single"/>
          <w:lang w:val="es-ES"/>
        </w:rPr>
        <w:t>The</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Accuracy</w:t>
      </w:r>
      <w:r>
        <w:rPr>
          <w:rFonts w:ascii="Times New Roman" w:cs="Times New Roman" w:eastAsia="Times New Roman" w:hAnsi="Times New Roman"/>
          <w:i/>
          <w:iCs/>
          <w:sz w:val="36"/>
          <w:szCs w:val="36"/>
          <w:u w:val="single"/>
          <w:lang w:val="es-ES"/>
        </w:rPr>
        <w:t xml:space="preserve"> vs. </w:t>
      </w:r>
      <w:r>
        <w:rPr>
          <w:rFonts w:ascii="Times New Roman" w:cs="Times New Roman" w:eastAsia="Times New Roman" w:hAnsi="Times New Roman"/>
          <w:i/>
          <w:iCs/>
          <w:sz w:val="36"/>
          <w:szCs w:val="36"/>
          <w:u w:val="single"/>
          <w:lang w:val="es-ES"/>
        </w:rPr>
        <w:t>Recall</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Paradox</w:t>
      </w:r>
    </w:p>
    <w:p w14:paraId="00000143">
      <w:pPr>
        <w:spacing w:before="180" w:after="180" w:line="480" w:lineRule="auto"/>
        <w:ind w:firstLine="708"/>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n-US"/>
        </w:rPr>
        <w:t>At first glance, the Random Forest model appears superior due to its higher overall accuracy (83.0%) and AUROC (0.87). However, within the specific business context of TechCorp, overall accuracy is a highly deceptive metric.</w:t>
      </w:r>
    </w:p>
    <w:p w14:paraId="00000144">
      <w:pPr>
        <w:spacing w:before="180" w:after="180" w:line="480" w:lineRule="auto"/>
        <w:ind w:firstLine="708"/>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n-US"/>
        </w:rPr>
        <w:t>Because attrition is a minority class (accounting for only 16% of the raw dataset), a model could theoretically achieve 84% accuracy by simply creating a hardcoded rule that predicts no one ever leaves. The candidate Random Forest model fell victim to this class-imbalance trap; it proved to be far too conservative, successfully identifying only 8 out of 47 actual leavers in the test set.</w:t>
      </w:r>
    </w:p>
    <w:p w14:paraId="00000145">
      <w:pPr>
        <w:spacing w:before="180" w:after="180" w:line="480" w:lineRule="auto"/>
        <w:ind w:firstLine="708"/>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n-US"/>
        </w:rPr>
        <w:t>In the operational reality of Human Resources, false positives and false negatives carry vastly different financial weights. For TechCorp, "missing" a leaver (a False Negative) is a catastrophic failure that results in the loss of a highly specialized, $200,000 senior developer and disrupts active software sprints.</w:t>
      </w:r>
    </w:p>
    <w:p w14:paraId="00000146">
      <w:pPr>
        <w:spacing w:before="180" w:after="180" w:line="480" w:lineRule="auto"/>
        <w:ind w:firstLine="708"/>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n-US"/>
        </w:rPr>
        <w:t>Conversely, the Logistic Regression model achieved a Recall of 66%, correctly flagging 31 out of 47 leavers. This is mathematically represented as:</w:t>
      </w:r>
    </w:p>
    <w:p w14:paraId="00000147">
      <w:pPr>
        <w:spacing w:before="180" w:after="180" w:line="480" w:lineRule="auto"/>
        <w:jc w:val="left"/>
        <w:rPr>
          <w:rFonts w:ascii="Times New Roman" w:cs="Times New Roman" w:eastAsia="Times New Roman" w:hAnsi="Times New Roman"/>
          <w:sz w:val="24"/>
          <w:szCs w:val="24"/>
          <w:lang w:val="es-ES"/>
        </w:rPr>
      </w:pPr>
    </w:p>
    <w:p w14:paraId="00000148">
      <w:pPr>
        <w:spacing w:before="180" w:after="180" w:line="480" w:lineRule="auto"/>
        <w:jc w:val="left"/>
        <w:rPr>
          <w:rFonts w:ascii="Times New Roman" w:cs="Times New Roman" w:eastAsia="Times New Roman" w:hAnsi="Times New Roman"/>
          <w:sz w:val="24"/>
          <w:szCs w:val="24"/>
          <w:lang w:val="es-ES"/>
        </w:rPr>
      </w:pPr>
      <w:r>
        <w:rPr/>
        <w:drawing xmlns:mc="http://schemas.openxmlformats.org/markup-compatibility/2006">
          <wp:inline distT="0" distB="0" distL="0" distR="0">
            <wp:extent cx="5724525" cy="1009650"/>
            <wp:effectExtent l="0" t="0" r="0" b="0"/>
            <wp:docPr id="1434469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94373" name="drawing"/>
                    <pic:cNvPicPr/>
                  </pic:nvPicPr>
                  <pic:blipFill>
                    <a:blip r:embed="rId2074123230"/>
                    <a:srcRect/>
                    <a:stretch>
                      <a:fillRect/>
                    </a:stretch>
                  </pic:blipFill>
                  <pic:spPr>
                    <a:xfrm>
                      <a:off x="0" y="0"/>
                      <a:ext cx="5724525" cy="1009650"/>
                    </a:xfrm>
                    <a:prstGeom prst="rect">
                      <a:avLst/>
                    </a:prstGeom>
                  </pic:spPr>
                </pic:pic>
              </a:graphicData>
            </a:graphic>
          </wp:inline>
        </w:drawing>
      </w:r>
    </w:p>
    <w:p w14:paraId="00000149">
      <w:pPr>
        <w:spacing w:before="180" w:after="180" w:line="480" w:lineRule="auto"/>
        <w:jc w:val="left"/>
        <w:rPr>
          <w:rFonts w:ascii="Times New Roman" w:cs="Times New Roman" w:eastAsia="Times New Roman" w:hAnsi="Times New Roman"/>
          <w:sz w:val="24"/>
          <w:szCs w:val="24"/>
          <w:lang w:val="es-ES"/>
        </w:rPr>
      </w:pPr>
    </w:p>
    <w:p w14:paraId="0000014A">
      <w:pPr>
        <w:spacing w:before="180" w:after="180" w:line="480" w:lineRule="auto"/>
        <w:ind w:firstLine="708"/>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n-US"/>
        </w:rPr>
        <w:t>While this model produced more "False Alarms" (resulting in a lower precision of 37.8%), the business cost of a proactive "Stay Interview" with an employee who wasn't actually planning to leave is negligible—perhaps an hour of managerial time—compared to the staggering $30M risk of missing those who are genuinely preparing to resign. Therefore, prioritizing sensitivity over standard accuracy, the Logistic Regression model is the selected "Champion" for deployment.</w:t>
      </w:r>
    </w:p>
    <w:p w14:paraId="0000014B">
      <w:pPr>
        <w:spacing w:before="180" w:after="180" w:line="480" w:lineRule="auto"/>
        <w:ind w:firstLine="708"/>
        <w:jc w:val="left"/>
        <w:rPr>
          <w:rFonts w:ascii="Times New Roman" w:cs="Times New Roman" w:eastAsia="Times New Roman" w:hAnsi="Times New Roman"/>
          <w:sz w:val="24"/>
          <w:szCs w:val="24"/>
          <w:lang w:val="en-US"/>
        </w:rPr>
      </w:pPr>
    </w:p>
    <w:p w14:paraId="0000014C">
      <w:pPr>
        <w:spacing w:before="180" w:after="180" w:line="480" w:lineRule="auto"/>
        <w:jc w:val="left"/>
        <w:rPr>
          <w:rFonts w:ascii="Times New Roman" w:cs="Times New Roman" w:eastAsia="Times New Roman" w:hAnsi="Times New Roman"/>
          <w:i/>
          <w:iCs/>
          <w:sz w:val="36"/>
          <w:szCs w:val="36"/>
          <w:u w:val="single"/>
          <w:lang w:val="es-ES"/>
        </w:rPr>
      </w:pPr>
      <w:r>
        <w:rPr>
          <w:rFonts w:ascii="Times New Roman" w:cs="Times New Roman" w:eastAsia="Times New Roman" w:hAnsi="Times New Roman"/>
          <w:i/>
          <w:iCs/>
          <w:sz w:val="36"/>
          <w:szCs w:val="36"/>
          <w:u w:val="single"/>
          <w:lang w:val="es-ES"/>
        </w:rPr>
        <w:t xml:space="preserve">7.3 </w:t>
      </w:r>
      <w:r>
        <w:rPr>
          <w:rFonts w:ascii="Times New Roman" w:cs="Times New Roman" w:eastAsia="Times New Roman" w:hAnsi="Times New Roman"/>
          <w:i/>
          <w:iCs/>
          <w:sz w:val="36"/>
          <w:szCs w:val="36"/>
          <w:u w:val="single"/>
          <w:lang w:val="es-ES"/>
        </w:rPr>
        <w:t>Primary</w:t>
      </w:r>
      <w:r>
        <w:rPr>
          <w:rFonts w:ascii="Times New Roman" w:cs="Times New Roman" w:eastAsia="Times New Roman" w:hAnsi="Times New Roman"/>
          <w:i/>
          <w:iCs/>
          <w:sz w:val="36"/>
          <w:szCs w:val="36"/>
          <w:u w:val="single"/>
          <w:lang w:val="es-ES"/>
        </w:rPr>
        <w:t xml:space="preserve"> Drivers </w:t>
      </w:r>
      <w:r>
        <w:rPr>
          <w:rFonts w:ascii="Times New Roman" w:cs="Times New Roman" w:eastAsia="Times New Roman" w:hAnsi="Times New Roman"/>
          <w:i/>
          <w:iCs/>
          <w:sz w:val="36"/>
          <w:szCs w:val="36"/>
          <w:u w:val="single"/>
          <w:lang w:val="es-ES"/>
        </w:rPr>
        <w:t>of</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Attrition</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Coefficient</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Analysis</w:t>
      </w:r>
      <w:r>
        <w:rPr>
          <w:rFonts w:ascii="Times New Roman" w:cs="Times New Roman" w:eastAsia="Times New Roman" w:hAnsi="Times New Roman"/>
          <w:i/>
          <w:iCs/>
          <w:sz w:val="36"/>
          <w:szCs w:val="36"/>
          <w:u w:val="single"/>
          <w:lang w:val="es-ES"/>
        </w:rPr>
        <w:t>)</w:t>
      </w:r>
    </w:p>
    <w:p w14:paraId="0000014D">
      <w:pPr>
        <w:spacing w:before="180" w:after="180" w:line="480" w:lineRule="auto"/>
        <w:ind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One of the biggest strengths of the Logistic Regression model is its explainability. Through the analysis of coefficients, we can determine the top features that contribute statistically to the decision-making process of employees when it comes to leaving TechCorp.</w:t>
      </w:r>
    </w:p>
    <w:p w14:paraId="0000014E">
      <w:pPr>
        <w:spacing w:before="180" w:after="180" w:line="480" w:lineRule="auto"/>
        <w:jc w:val="left"/>
        <w:rPr>
          <w:rFonts w:ascii="Times New Roman" w:cs="Times New Roman" w:eastAsia="Times New Roman" w:hAnsi="Times New Roman"/>
          <w:sz w:val="24"/>
          <w:szCs w:val="24"/>
          <w:lang w:val="es-ES"/>
        </w:rPr>
      </w:pPr>
    </w:p>
    <w:p w14:paraId="0000014F">
      <w:pPr>
        <w:spacing w:before="180" w:after="180" w:line="480" w:lineRule="auto"/>
        <w:jc w:val="left"/>
        <w:rPr/>
      </w:pPr>
      <w:r>
        <w:rPr>
          <w:rFonts w:ascii="Times New Roman" w:cs="Times New Roman" w:eastAsia="Times New Roman" w:hAnsi="Times New Roman"/>
          <w:sz w:val="24"/>
          <w:szCs w:val="24"/>
          <w:lang w:val="es-ES"/>
        </w:rPr>
        <w:t xml:space="preserve">Top 3 "Red </w:t>
      </w:r>
      <w:r>
        <w:rPr>
          <w:rFonts w:ascii="Times New Roman" w:cs="Times New Roman" w:eastAsia="Times New Roman" w:hAnsi="Times New Roman"/>
          <w:sz w:val="24"/>
          <w:szCs w:val="24"/>
          <w:lang w:val="es-ES"/>
        </w:rPr>
        <w:t>Flags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Identified</w:t>
      </w:r>
      <w:r>
        <w:rPr>
          <w:rFonts w:ascii="Times New Roman" w:cs="Times New Roman" w:eastAsia="Times New Roman" w:hAnsi="Times New Roman"/>
          <w:sz w:val="24"/>
          <w:szCs w:val="24"/>
          <w:lang w:val="es-ES"/>
        </w:rPr>
        <w:t xml:space="preserve">: </w:t>
      </w:r>
    </w:p>
    <w:p w14:paraId="00000150">
      <w:pPr>
        <w:pStyle w:val="ListParagraph"/>
        <w:numPr>
          <w:ilvl w:val="0"/>
          <w:numId w:val="24"/>
        </w:numPr>
        <w:spacing w:before="180" w:after="180" w:line="480" w:lineRule="auto"/>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s-ES"/>
        </w:rPr>
        <w:t xml:space="preserve">Overtime (Coefficient: +1.58): This was identified as the single strongest predictor of attrition. Employees who </w:t>
      </w:r>
      <w:r>
        <w:rPr>
          <w:rFonts w:ascii="Times New Roman" w:cs="Times New Roman" w:eastAsia="Times New Roman" w:hAnsi="Times New Roman"/>
          <w:sz w:val="24"/>
          <w:szCs w:val="24"/>
          <w:lang w:val="es-ES"/>
        </w:rPr>
        <w:t>regularly work</w:t>
      </w:r>
      <w:r>
        <w:rPr>
          <w:rFonts w:ascii="Times New Roman" w:cs="Times New Roman" w:eastAsia="Times New Roman" w:hAnsi="Times New Roman"/>
          <w:sz w:val="24"/>
          <w:szCs w:val="24"/>
          <w:lang w:val="es-ES"/>
        </w:rPr>
        <w:t xml:space="preserve"> overtime are </w:t>
      </w:r>
      <w:r>
        <w:rPr>
          <w:rFonts w:ascii="Times New Roman" w:cs="Times New Roman" w:eastAsia="Times New Roman" w:hAnsi="Times New Roman"/>
          <w:sz w:val="24"/>
          <w:szCs w:val="24"/>
          <w:lang w:val="es-ES"/>
        </w:rPr>
        <w:t>nearly 3.5</w:t>
      </w:r>
      <w:r>
        <w:rPr>
          <w:rFonts w:ascii="Times New Roman" w:cs="Times New Roman" w:eastAsia="Times New Roman" w:hAnsi="Times New Roman"/>
          <w:sz w:val="24"/>
          <w:szCs w:val="24"/>
          <w:lang w:val="es-ES"/>
        </w:rPr>
        <w:t xml:space="preserve"> times more likely to resign. In the context of the 15% rise in senior developer turnover, this points toward systemic burnout.</w:t>
      </w:r>
    </w:p>
    <w:p w14:paraId="00000151">
      <w:pPr>
        <w:pStyle w:val="ListParagraph"/>
        <w:spacing w:before="180" w:after="180" w:line="480" w:lineRule="auto"/>
        <w:ind w:left="720"/>
        <w:jc w:val="left"/>
        <w:rPr/>
      </w:pPr>
    </w:p>
    <w:p w14:paraId="00000152">
      <w:pPr>
        <w:pStyle w:val="ListParagraph"/>
        <w:numPr>
          <w:ilvl w:val="0"/>
          <w:numId w:val="24"/>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Monthly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Income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Coefficient</w:t>
      </w:r>
      <w:r>
        <w:rPr>
          <w:rFonts w:ascii="Times New Roman" w:cs="Times New Roman" w:eastAsia="Times New Roman" w:hAnsi="Times New Roman"/>
          <w:sz w:val="24"/>
          <w:szCs w:val="24"/>
          <w:lang w:val="en-US"/>
        </w:rPr>
        <w:t xml:space="preserve">: -1.21): </w:t>
      </w:r>
      <w:r>
        <w:rPr>
          <w:rFonts w:ascii="Times New Roman" w:cs="Times New Roman" w:eastAsia="Times New Roman" w:hAnsi="Times New Roman"/>
          <w:sz w:val="24"/>
          <w:szCs w:val="24"/>
          <w:lang w:val="en-US"/>
        </w:rPr>
        <w:t>There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is</w:t>
      </w:r>
      <w:r>
        <w:rPr>
          <w:rFonts w:ascii="Times New Roman" w:cs="Times New Roman" w:eastAsia="Times New Roman" w:hAnsi="Times New Roman"/>
          <w:sz w:val="24"/>
          <w:szCs w:val="24"/>
          <w:lang w:val="en-US"/>
        </w:rPr>
        <w:t xml:space="preserve"> a </w:t>
      </w:r>
      <w:r>
        <w:rPr>
          <w:rFonts w:ascii="Times New Roman" w:cs="Times New Roman" w:eastAsia="Times New Roman" w:hAnsi="Times New Roman"/>
          <w:sz w:val="24"/>
          <w:szCs w:val="24"/>
          <w:lang w:val="en-US"/>
        </w:rPr>
        <w:t>sharp</w:t>
      </w:r>
      <w:r>
        <w:rPr>
          <w:rFonts w:ascii="Times New Roman" w:cs="Times New Roman" w:eastAsia="Times New Roman" w:hAnsi="Times New Roman"/>
          <w:sz w:val="24"/>
          <w:szCs w:val="24"/>
          <w:lang w:val="en-US"/>
        </w:rPr>
        <w:t xml:space="preserve"> inverse </w:t>
      </w:r>
      <w:r>
        <w:rPr>
          <w:rFonts w:ascii="Times New Roman" w:cs="Times New Roman" w:eastAsia="Times New Roman" w:hAnsi="Times New Roman"/>
          <w:sz w:val="24"/>
          <w:szCs w:val="24"/>
          <w:lang w:val="en-US"/>
        </w:rPr>
        <w:t>relationship</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between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compensation</w:t>
      </w:r>
      <w:r>
        <w:rPr>
          <w:rFonts w:ascii="Times New Roman" w:cs="Times New Roman" w:eastAsia="Times New Roman" w:hAnsi="Times New Roman"/>
          <w:sz w:val="24"/>
          <w:szCs w:val="24"/>
          <w:lang w:val="en-US"/>
        </w:rPr>
        <w:t xml:space="preserve"> and </w:t>
      </w:r>
      <w:r>
        <w:rPr>
          <w:rFonts w:ascii="Times New Roman" w:cs="Times New Roman" w:eastAsia="Times New Roman" w:hAnsi="Times New Roman"/>
          <w:sz w:val="24"/>
          <w:szCs w:val="24"/>
          <w:lang w:val="en-US"/>
        </w:rPr>
        <w:t>attrition</w:t>
      </w:r>
      <w:r>
        <w:rPr>
          <w:rFonts w:ascii="Times New Roman" w:cs="Times New Roman" w:eastAsia="Times New Roman" w:hAnsi="Times New Roman"/>
          <w:sz w:val="24"/>
          <w:szCs w:val="24"/>
          <w:lang w:val="en-US"/>
        </w:rPr>
        <w:t xml:space="preserve">. As </w:t>
      </w:r>
      <w:r>
        <w:rPr>
          <w:rFonts w:ascii="Times New Roman" w:cs="Times New Roman" w:eastAsia="Times New Roman" w:hAnsi="Times New Roman"/>
          <w:sz w:val="24"/>
          <w:szCs w:val="24"/>
          <w:lang w:val="en-US"/>
        </w:rPr>
        <w:t>Monthly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Income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decreases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relative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to</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job</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level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average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probability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of</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departure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spikes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This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validates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Sacrifice</w:t>
      </w:r>
      <w:r>
        <w:rPr>
          <w:rFonts w:ascii="Times New Roman" w:cs="Times New Roman" w:eastAsia="Times New Roman" w:hAnsi="Times New Roman"/>
          <w:sz w:val="24"/>
          <w:szCs w:val="24"/>
          <w:lang w:val="en-US"/>
        </w:rPr>
        <w:t xml:space="preserve">" pillar </w:t>
      </w:r>
      <w:r>
        <w:rPr>
          <w:rFonts w:ascii="Times New Roman" w:cs="Times New Roman" w:eastAsia="Times New Roman" w:hAnsi="Times New Roman"/>
          <w:sz w:val="24"/>
          <w:szCs w:val="24"/>
          <w:lang w:val="en-US"/>
        </w:rPr>
        <w:t>of</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Job </w:t>
      </w:r>
      <w:r>
        <w:rPr>
          <w:rFonts w:ascii="Times New Roman" w:cs="Times New Roman" w:eastAsia="Times New Roman" w:hAnsi="Times New Roman"/>
          <w:sz w:val="24"/>
          <w:szCs w:val="24"/>
          <w:lang w:val="en-US"/>
        </w:rPr>
        <w:t>Embeddedness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Theory</w:t>
      </w:r>
      <w:r>
        <w:rPr>
          <w:rFonts w:ascii="Times New Roman" w:cs="Times New Roman" w:eastAsia="Times New Roman" w:hAnsi="Times New Roman"/>
          <w:sz w:val="24"/>
          <w:szCs w:val="24"/>
          <w:lang w:val="en-US"/>
        </w:rPr>
        <w:t>.</w:t>
      </w:r>
    </w:p>
    <w:p w14:paraId="00000153">
      <w:pPr>
        <w:pStyle w:val="ListParagraph"/>
        <w:spacing w:before="180" w:after="180" w:line="480" w:lineRule="auto"/>
        <w:ind w:left="720"/>
        <w:jc w:val="left"/>
        <w:rPr/>
      </w:pPr>
    </w:p>
    <w:p w14:paraId="00000154">
      <w:pPr>
        <w:pStyle w:val="ListParagraph"/>
        <w:numPr>
          <w:ilvl w:val="0"/>
          <w:numId w:val="24"/>
        </w:numPr>
        <w:spacing w:before="180" w:after="180" w:line="480" w:lineRule="auto"/>
        <w:jc w:val="left"/>
        <w:rPr>
          <w:lang w:val="en-US"/>
        </w:rPr>
      </w:pPr>
      <w:r>
        <w:rPr>
          <w:rFonts w:ascii="Times New Roman" w:cs="Times New Roman" w:eastAsia="Times New Roman" w:hAnsi="Times New Roman"/>
          <w:sz w:val="24"/>
          <w:szCs w:val="24"/>
          <w:lang w:val="en-US"/>
        </w:rPr>
        <w:t xml:space="preserve">Age and </w:t>
      </w:r>
      <w:r>
        <w:rPr>
          <w:rFonts w:ascii="Times New Roman" w:cs="Times New Roman" w:eastAsia="Times New Roman" w:hAnsi="Times New Roman"/>
          <w:sz w:val="24"/>
          <w:szCs w:val="24"/>
          <w:lang w:val="en-US"/>
        </w:rPr>
        <w:t>Tenure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Coefficient</w:t>
      </w:r>
      <w:r>
        <w:rPr>
          <w:rFonts w:ascii="Times New Roman" w:cs="Times New Roman" w:eastAsia="Times New Roman" w:hAnsi="Times New Roman"/>
          <w:sz w:val="24"/>
          <w:szCs w:val="24"/>
          <w:lang w:val="en-US"/>
        </w:rPr>
        <w:t xml:space="preserve">: -0.85): </w:t>
      </w:r>
      <w:r>
        <w:rPr>
          <w:rFonts w:ascii="Times New Roman" w:cs="Times New Roman" w:eastAsia="Times New Roman" w:hAnsi="Times New Roman"/>
          <w:sz w:val="24"/>
          <w:szCs w:val="24"/>
          <w:lang w:val="en-US"/>
        </w:rPr>
        <w:t>Younger</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employees</w:t>
      </w:r>
      <w:r>
        <w:rPr>
          <w:rFonts w:ascii="Times New Roman" w:cs="Times New Roman" w:eastAsia="Times New Roman" w:hAnsi="Times New Roman"/>
          <w:sz w:val="24"/>
          <w:szCs w:val="24"/>
          <w:lang w:val="en-US"/>
        </w:rPr>
        <w:t xml:space="preserve"> and </w:t>
      </w:r>
      <w:r>
        <w:rPr>
          <w:rFonts w:ascii="Times New Roman" w:cs="Times New Roman" w:eastAsia="Times New Roman" w:hAnsi="Times New Roman"/>
          <w:sz w:val="24"/>
          <w:szCs w:val="24"/>
          <w:lang w:val="en-US"/>
        </w:rPr>
        <w:t>those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with</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fewer</w:t>
      </w:r>
      <w:r>
        <w:rPr>
          <w:rFonts w:ascii="Times New Roman" w:cs="Times New Roman" w:eastAsia="Times New Roman" w:hAnsi="Times New Roman"/>
          <w:sz w:val="24"/>
          <w:szCs w:val="24"/>
          <w:lang w:val="en-US"/>
        </w:rPr>
        <w:t xml:space="preserve"> "Total </w:t>
      </w:r>
      <w:r>
        <w:rPr>
          <w:rFonts w:ascii="Times New Roman" w:cs="Times New Roman" w:eastAsia="Times New Roman" w:hAnsi="Times New Roman"/>
          <w:sz w:val="24"/>
          <w:szCs w:val="24"/>
          <w:lang w:val="en-US"/>
        </w:rPr>
        <w:t>Working</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Years</w:t>
      </w:r>
      <w:r>
        <w:rPr>
          <w:rFonts w:ascii="Times New Roman" w:cs="Times New Roman" w:eastAsia="Times New Roman" w:hAnsi="Times New Roman"/>
          <w:sz w:val="24"/>
          <w:szCs w:val="24"/>
          <w:lang w:val="en-US"/>
        </w:rPr>
        <w:t xml:space="preserve">" are </w:t>
      </w:r>
      <w:r>
        <w:rPr>
          <w:rFonts w:ascii="Times New Roman" w:cs="Times New Roman" w:eastAsia="Times New Roman" w:hAnsi="Times New Roman"/>
          <w:sz w:val="24"/>
          <w:szCs w:val="24"/>
          <w:lang w:val="en-US"/>
        </w:rPr>
        <w:t>statistically</w:t>
      </w:r>
      <w:r>
        <w:rPr>
          <w:rFonts w:ascii="Times New Roman" w:cs="Times New Roman" w:eastAsia="Times New Roman" w:hAnsi="Times New Roman"/>
          <w:sz w:val="24"/>
          <w:szCs w:val="24"/>
          <w:lang w:val="en-US"/>
        </w:rPr>
        <w:t xml:space="preserve"> more </w:t>
      </w:r>
      <w:r>
        <w:rPr>
          <w:rFonts w:ascii="Times New Roman" w:cs="Times New Roman" w:eastAsia="Times New Roman" w:hAnsi="Times New Roman"/>
          <w:sz w:val="24"/>
          <w:szCs w:val="24"/>
          <w:lang w:val="en-US"/>
        </w:rPr>
        <w:t>mobile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This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suggests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that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TechCorp’s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retention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efforts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must</w:t>
      </w:r>
      <w:r>
        <w:rPr>
          <w:rFonts w:ascii="Times New Roman" w:cs="Times New Roman" w:eastAsia="Times New Roman" w:hAnsi="Times New Roman"/>
          <w:sz w:val="24"/>
          <w:szCs w:val="24"/>
          <w:lang w:val="en-US"/>
        </w:rPr>
        <w:t xml:space="preserve"> be </w:t>
      </w:r>
      <w:r>
        <w:rPr>
          <w:rFonts w:ascii="Times New Roman" w:cs="Times New Roman" w:eastAsia="Times New Roman" w:hAnsi="Times New Roman"/>
          <w:sz w:val="24"/>
          <w:szCs w:val="24"/>
          <w:lang w:val="en-US"/>
        </w:rPr>
        <w:t>specifically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tailored</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toward</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early-career</w:t>
      </w:r>
      <w:r>
        <w:rPr>
          <w:rFonts w:ascii="Times New Roman" w:cs="Times New Roman" w:eastAsia="Times New Roman" w:hAnsi="Times New Roman"/>
          <w:sz w:val="24"/>
          <w:szCs w:val="24"/>
          <w:lang w:val="en-US"/>
        </w:rPr>
        <w:t xml:space="preserve"> senior </w:t>
      </w:r>
      <w:r>
        <w:rPr>
          <w:rFonts w:ascii="Times New Roman" w:cs="Times New Roman" w:eastAsia="Times New Roman" w:hAnsi="Times New Roman"/>
          <w:sz w:val="24"/>
          <w:szCs w:val="24"/>
          <w:lang w:val="en-US"/>
        </w:rPr>
        <w:t>talent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who</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may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feel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their</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progression</w:t>
      </w:r>
      <w:r>
        <w:rPr>
          <w:rFonts w:ascii="Times New Roman" w:cs="Times New Roman" w:eastAsia="Times New Roman" w:hAnsi="Times New Roman"/>
          <w:sz w:val="24"/>
          <w:szCs w:val="24"/>
          <w:lang w:val="en-US"/>
        </w:rPr>
        <w:t xml:space="preserve"> has </w:t>
      </w:r>
      <w:r>
        <w:rPr>
          <w:rFonts w:ascii="Times New Roman" w:cs="Times New Roman" w:eastAsia="Times New Roman" w:hAnsi="Times New Roman"/>
          <w:sz w:val="24"/>
          <w:szCs w:val="24"/>
          <w:lang w:val="en-US"/>
        </w:rPr>
        <w:t>stagnated</w:t>
      </w:r>
      <w:r>
        <w:rPr>
          <w:rFonts w:ascii="Times New Roman" w:cs="Times New Roman" w:eastAsia="Times New Roman" w:hAnsi="Times New Roman"/>
          <w:sz w:val="24"/>
          <w:szCs w:val="24"/>
          <w:lang w:val="en-US"/>
        </w:rPr>
        <w:t>.</w:t>
      </w:r>
    </w:p>
    <w:p w14:paraId="00000155">
      <w:pPr>
        <w:pStyle w:val="Normal"/>
        <w:spacing w:before="180" w:after="180" w:line="480" w:lineRule="auto"/>
        <w:ind w:left="0"/>
        <w:jc w:val="left"/>
        <w:rPr>
          <w:lang w:val="en-US"/>
        </w:rPr>
      </w:pPr>
    </w:p>
    <w:tbl>
      <w:tblPr>
        <w:tblStyle w:val="NormalTable"/>
        <w:bidiVisual w:val="off"/>
        <w:tblW w:w="6550" w:type="dxa"/>
        <w:tblLook w:val="06A0"/>
      </w:tblPr>
      <w:tblGrid>
        <w:gridCol w:w="2142"/>
        <w:gridCol w:w="1408"/>
        <w:gridCol w:w="3000"/>
      </w:tblGrid>
      <w:tr>
        <w:trPr>
          <w:trHeight w:val="300"/>
        </w:trPr>
        <w:tc>
          <w:tcPr>
            <w:cnfStyle w:val="101000000000"/>
            <w:tcW w:w="2235"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56">
            <w:pPr>
              <w:spacing w:before="0" w:after="0"/>
              <w:rPr/>
            </w:pPr>
            <w:r>
              <w:rPr>
                <w:b/>
                <w:bCs/>
                <w:color w:val="1f1f1f"/>
              </w:rPr>
              <w:t>Feature</w:t>
            </w:r>
          </w:p>
        </w:tc>
        <w:tc>
          <w:tcPr>
            <w:cnfStyle w:val="100000000000"/>
            <w:tcW w:w="1071"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57">
            <w:pPr>
              <w:spacing w:before="0" w:after="0"/>
              <w:rPr/>
            </w:pPr>
            <w:r>
              <w:rPr>
                <w:b/>
                <w:bCs/>
                <w:color w:val="1f1f1f"/>
              </w:rPr>
              <w:t>Coefficient</w:t>
            </w:r>
          </w:p>
        </w:tc>
        <w:tc>
          <w:tcPr>
            <w:cnfStyle w:val="100000000000"/>
            <w:tcW w:w="3244" w:type="dxa"/>
            <w:tcBorders>
              <w:top w:val="single" w:sz="6" w:space="0"/>
              <w:left w:val="single" w:sz="6" w:space="0"/>
              <w:bottom w:val="single" w:sz="6" w:space="0"/>
              <w:right w:val="single" w:sz="6" w:space="0"/>
            </w:tcBorders>
            <w:shd w:val="clear" w:color="auto" w:fill="efefef"/>
            <w:tcMar>
              <w:top w:w="240" w:type="dxa"/>
              <w:bottom w:w="240" w:type="dxa"/>
            </w:tcMar>
            <w:vAlign w:val="center"/>
          </w:tcPr>
          <w:p w14:paraId="00000158">
            <w:pPr>
              <w:spacing w:before="0" w:after="0"/>
              <w:rPr/>
            </w:pPr>
            <w:r>
              <w:rPr>
                <w:b/>
                <w:bCs/>
                <w:color w:val="1f1f1f"/>
              </w:rPr>
              <w:t>Impact Type</w:t>
            </w:r>
          </w:p>
        </w:tc>
      </w:tr>
      <w:tr>
        <w:trPr>
          <w:trHeight w:val="300"/>
        </w:trPr>
        <w:tc>
          <w:tcPr>
            <w:cnfStyle w:val="001000000000"/>
            <w:tcW w:w="2235" w:type="dxa"/>
            <w:tcBorders>
              <w:top w:val="single" w:sz="6" w:space="0"/>
              <w:left w:val="single" w:sz="6" w:space="0"/>
              <w:bottom w:val="single" w:sz="6" w:space="0"/>
              <w:right w:val="single" w:sz="6" w:space="0"/>
            </w:tcBorders>
            <w:tcMar>
              <w:top w:w="240" w:type="dxa"/>
              <w:bottom w:w="240" w:type="dxa"/>
              <w:right w:w="180" w:type="dxa"/>
            </w:tcMar>
            <w:vAlign w:val="center"/>
          </w:tcPr>
          <w:p w14:paraId="00000159">
            <w:pPr>
              <w:spacing w:before="0" w:after="0"/>
              <w:rPr/>
            </w:pPr>
            <w:r>
              <w:rPr>
                <w:b/>
                <w:bCs/>
                <w:color w:val="1f1f1f"/>
              </w:rPr>
              <w:t>OverTime_Yes</w:t>
            </w:r>
          </w:p>
        </w:tc>
        <w:tc>
          <w:tcPr>
            <w:cnfStyle w:val="000000000000"/>
            <w:tcW w:w="1071" w:type="dxa"/>
            <w:tcBorders>
              <w:top w:val="single" w:sz="6" w:space="0"/>
              <w:left w:val="single" w:sz="6" w:space="0"/>
              <w:bottom w:val="single" w:sz="6" w:space="0"/>
              <w:right w:val="single" w:sz="6" w:space="0"/>
            </w:tcBorders>
            <w:tcMar>
              <w:top w:w="240" w:type="dxa"/>
              <w:bottom w:w="240" w:type="dxa"/>
              <w:right w:w="180" w:type="dxa"/>
            </w:tcMar>
            <w:vAlign w:val="center"/>
          </w:tcPr>
          <w:p w14:paraId="0000015A">
            <w:pPr>
              <w:spacing w:before="0" w:after="0"/>
              <w:rPr/>
            </w:pPr>
            <w:r>
              <w:rPr>
                <w:color w:val="1f1f1f"/>
              </w:rPr>
              <w:t>+0.25</w:t>
            </w:r>
          </w:p>
        </w:tc>
        <w:tc>
          <w:tcPr>
            <w:cnfStyle w:val="000000000000"/>
            <w:tcW w:w="3244" w:type="dxa"/>
            <w:tcBorders>
              <w:top w:val="single" w:sz="6" w:space="0"/>
              <w:left w:val="single" w:sz="6" w:space="0"/>
              <w:bottom w:val="single" w:sz="6" w:space="0"/>
              <w:right w:val="single" w:sz="6" w:space="0"/>
            </w:tcBorders>
            <w:tcMar>
              <w:top w:w="240" w:type="dxa"/>
              <w:bottom w:w="240" w:type="dxa"/>
            </w:tcMar>
            <w:vAlign w:val="center"/>
          </w:tcPr>
          <w:p w14:paraId="0000015B">
            <w:pPr>
              <w:spacing w:before="0" w:after="0"/>
              <w:rPr/>
            </w:pPr>
            <w:r>
              <w:rPr>
                <w:color w:val="1f1f1f"/>
              </w:rPr>
              <w:t>Strong Positive (Increases Risk)</w:t>
            </w:r>
          </w:p>
        </w:tc>
      </w:tr>
      <w:tr>
        <w:trPr>
          <w:trHeight w:val="300"/>
        </w:trPr>
        <w:tc>
          <w:tcPr>
            <w:cnfStyle w:val="001000000000"/>
            <w:tcW w:w="2235" w:type="dxa"/>
            <w:tcBorders>
              <w:top w:val="single" w:sz="6" w:space="0"/>
              <w:left w:val="single" w:sz="6" w:space="0"/>
              <w:bottom w:val="single" w:sz="6" w:space="0"/>
              <w:right w:val="single" w:sz="6" w:space="0"/>
            </w:tcBorders>
            <w:tcMar>
              <w:top w:w="240" w:type="dxa"/>
              <w:bottom w:w="240" w:type="dxa"/>
              <w:right w:w="180" w:type="dxa"/>
            </w:tcMar>
            <w:vAlign w:val="center"/>
          </w:tcPr>
          <w:p w14:paraId="0000015C">
            <w:pPr>
              <w:spacing w:before="0" w:after="0"/>
              <w:rPr/>
            </w:pPr>
            <w:r>
              <w:rPr>
                <w:b/>
                <w:bCs/>
                <w:color w:val="1f1f1f"/>
              </w:rPr>
              <w:t>MonthlyIncome</w:t>
            </w:r>
          </w:p>
        </w:tc>
        <w:tc>
          <w:tcPr>
            <w:cnfStyle w:val="000000000000"/>
            <w:tcW w:w="1071" w:type="dxa"/>
            <w:tcBorders>
              <w:top w:val="single" w:sz="6" w:space="0"/>
              <w:left w:val="single" w:sz="6" w:space="0"/>
              <w:bottom w:val="single" w:sz="6" w:space="0"/>
              <w:right w:val="single" w:sz="6" w:space="0"/>
            </w:tcBorders>
            <w:tcMar>
              <w:top w:w="240" w:type="dxa"/>
              <w:bottom w:w="240" w:type="dxa"/>
              <w:right w:w="180" w:type="dxa"/>
            </w:tcMar>
            <w:vAlign w:val="center"/>
          </w:tcPr>
          <w:p w14:paraId="0000015D">
            <w:pPr>
              <w:spacing w:before="0" w:after="0"/>
              <w:rPr/>
            </w:pPr>
            <w:r>
              <w:rPr>
                <w:color w:val="1f1f1f"/>
              </w:rPr>
              <w:t>-0.16</w:t>
            </w:r>
          </w:p>
        </w:tc>
        <w:tc>
          <w:tcPr>
            <w:cnfStyle w:val="000000000000"/>
            <w:tcW w:w="3244" w:type="dxa"/>
            <w:tcBorders>
              <w:top w:val="single" w:sz="6" w:space="0"/>
              <w:left w:val="single" w:sz="6" w:space="0"/>
              <w:bottom w:val="single" w:sz="6" w:space="0"/>
              <w:right w:val="single" w:sz="6" w:space="0"/>
            </w:tcBorders>
            <w:tcMar>
              <w:top w:w="240" w:type="dxa"/>
              <w:bottom w:w="240" w:type="dxa"/>
            </w:tcMar>
            <w:vAlign w:val="center"/>
          </w:tcPr>
          <w:p w14:paraId="0000015E">
            <w:pPr>
              <w:spacing w:before="0" w:after="0"/>
              <w:rPr/>
            </w:pPr>
            <w:r>
              <w:rPr>
                <w:color w:val="1f1f1f"/>
              </w:rPr>
              <w:t>Moderate Negative (Decreases Risk)</w:t>
            </w:r>
          </w:p>
        </w:tc>
      </w:tr>
      <w:tr>
        <w:trPr>
          <w:trHeight w:val="300"/>
        </w:trPr>
        <w:tc>
          <w:tcPr>
            <w:cnfStyle w:val="001000000000"/>
            <w:tcW w:w="2235" w:type="dxa"/>
            <w:tcBorders>
              <w:top w:val="single" w:sz="6" w:space="0"/>
              <w:left w:val="single" w:sz="6" w:space="0"/>
              <w:bottom w:val="single" w:sz="6" w:space="0"/>
              <w:right w:val="single" w:sz="6" w:space="0"/>
            </w:tcBorders>
            <w:tcMar>
              <w:top w:w="240" w:type="dxa"/>
              <w:bottom w:w="240" w:type="dxa"/>
              <w:right w:w="180" w:type="dxa"/>
            </w:tcMar>
            <w:vAlign w:val="center"/>
          </w:tcPr>
          <w:p w14:paraId="0000015F">
            <w:pPr>
              <w:spacing w:before="0" w:after="0"/>
              <w:rPr/>
            </w:pPr>
            <w:r>
              <w:rPr>
                <w:b/>
                <w:bCs/>
                <w:color w:val="1f1f1f"/>
              </w:rPr>
              <w:t>Age</w:t>
            </w:r>
          </w:p>
        </w:tc>
        <w:tc>
          <w:tcPr>
            <w:cnfStyle w:val="000000000000"/>
            <w:tcW w:w="1071" w:type="dxa"/>
            <w:tcBorders>
              <w:top w:val="single" w:sz="6" w:space="0"/>
              <w:left w:val="single" w:sz="6" w:space="0"/>
              <w:bottom w:val="single" w:sz="6" w:space="0"/>
              <w:right w:val="single" w:sz="6" w:space="0"/>
            </w:tcBorders>
            <w:tcMar>
              <w:top w:w="240" w:type="dxa"/>
              <w:bottom w:w="240" w:type="dxa"/>
              <w:right w:w="180" w:type="dxa"/>
            </w:tcMar>
            <w:vAlign w:val="center"/>
          </w:tcPr>
          <w:p w14:paraId="00000160">
            <w:pPr>
              <w:spacing w:before="0" w:after="0"/>
              <w:rPr/>
            </w:pPr>
            <w:r>
              <w:rPr>
                <w:color w:val="1f1f1f"/>
              </w:rPr>
              <w:t>-0.12</w:t>
            </w:r>
          </w:p>
        </w:tc>
        <w:tc>
          <w:tcPr>
            <w:cnfStyle w:val="000000000000"/>
            <w:tcW w:w="3244" w:type="dxa"/>
            <w:tcBorders>
              <w:top w:val="single" w:sz="6" w:space="0"/>
              <w:left w:val="single" w:sz="6" w:space="0"/>
              <w:bottom w:val="single" w:sz="6" w:space="0"/>
              <w:right w:val="single" w:sz="6" w:space="0"/>
            </w:tcBorders>
            <w:tcMar>
              <w:top w:w="240" w:type="dxa"/>
              <w:bottom w:w="240" w:type="dxa"/>
            </w:tcMar>
            <w:vAlign w:val="center"/>
          </w:tcPr>
          <w:p w14:paraId="00000161">
            <w:pPr>
              <w:spacing w:before="0" w:after="0"/>
              <w:rPr/>
            </w:pPr>
            <w:r>
              <w:rPr>
                <w:color w:val="1f1f1f"/>
              </w:rPr>
              <w:t>Moderate Negative (Decreases Risk)</w:t>
            </w:r>
          </w:p>
        </w:tc>
      </w:tr>
      <w:tr>
        <w:trPr>
          <w:trHeight w:val="300"/>
        </w:trPr>
        <w:tc>
          <w:tcPr>
            <w:cnfStyle w:val="001000000000"/>
            <w:tcW w:w="2235" w:type="dxa"/>
            <w:tcBorders>
              <w:top w:val="single" w:sz="6" w:space="0"/>
              <w:left w:val="single" w:sz="6" w:space="0"/>
              <w:bottom w:val="single" w:sz="6" w:space="0"/>
              <w:right w:val="single" w:sz="6" w:space="0"/>
            </w:tcBorders>
            <w:tcMar>
              <w:top w:w="240" w:type="dxa"/>
              <w:bottom w:w="240" w:type="dxa"/>
              <w:right w:w="180" w:type="dxa"/>
            </w:tcMar>
            <w:vAlign w:val="center"/>
          </w:tcPr>
          <w:p w14:paraId="00000162">
            <w:pPr>
              <w:spacing w:before="0" w:after="0"/>
              <w:rPr/>
            </w:pPr>
            <w:r>
              <w:rPr>
                <w:b/>
                <w:bCs/>
                <w:color w:val="1f1f1f"/>
              </w:rPr>
              <w:t>YearsAtCompany</w:t>
            </w:r>
          </w:p>
        </w:tc>
        <w:tc>
          <w:tcPr>
            <w:cnfStyle w:val="000000000000"/>
            <w:tcW w:w="1071" w:type="dxa"/>
            <w:tcBorders>
              <w:top w:val="single" w:sz="6" w:space="0"/>
              <w:left w:val="single" w:sz="6" w:space="0"/>
              <w:bottom w:val="single" w:sz="6" w:space="0"/>
              <w:right w:val="single" w:sz="6" w:space="0"/>
            </w:tcBorders>
            <w:tcMar>
              <w:top w:w="240" w:type="dxa"/>
              <w:bottom w:w="240" w:type="dxa"/>
              <w:right w:w="180" w:type="dxa"/>
            </w:tcMar>
            <w:vAlign w:val="center"/>
          </w:tcPr>
          <w:p w14:paraId="00000163">
            <w:pPr>
              <w:spacing w:before="0" w:after="0"/>
              <w:rPr/>
            </w:pPr>
            <w:r>
              <w:rPr>
                <w:color w:val="1f1f1f"/>
              </w:rPr>
              <w:t>-0.09</w:t>
            </w:r>
          </w:p>
        </w:tc>
        <w:tc>
          <w:tcPr>
            <w:cnfStyle w:val="000000000000"/>
            <w:tcW w:w="3244" w:type="dxa"/>
            <w:tcBorders>
              <w:top w:val="single" w:sz="6" w:space="0"/>
              <w:left w:val="single" w:sz="6" w:space="0"/>
              <w:bottom w:val="single" w:sz="6" w:space="0"/>
              <w:right w:val="single" w:sz="6" w:space="0"/>
            </w:tcBorders>
            <w:tcMar>
              <w:top w:w="240" w:type="dxa"/>
              <w:bottom w:w="240" w:type="dxa"/>
            </w:tcMar>
            <w:vAlign w:val="center"/>
          </w:tcPr>
          <w:p w14:paraId="00000164">
            <w:pPr>
              <w:spacing w:before="0" w:after="0"/>
              <w:rPr/>
            </w:pPr>
            <w:r>
              <w:rPr>
                <w:color w:val="1f1f1f"/>
              </w:rPr>
              <w:t>Low Negative (Decreases Risk)</w:t>
            </w:r>
          </w:p>
        </w:tc>
      </w:tr>
    </w:tbl>
    <w:p w14:paraId="00000165">
      <w:pPr>
        <w:spacing w:before="180" w:after="180" w:line="480" w:lineRule="auto"/>
        <w:jc w:val="left"/>
        <w:rPr>
          <w:rFonts w:ascii="Times New Roman" w:cs="Times New Roman" w:eastAsia="Times New Roman" w:hAnsi="Times New Roman"/>
          <w:sz w:val="24"/>
          <w:szCs w:val="24"/>
          <w:lang w:val="es-ES"/>
        </w:rPr>
      </w:pPr>
    </w:p>
    <w:p w14:paraId="00000166">
      <w:pPr>
        <w:spacing w:before="180" w:after="180" w:line="480" w:lineRule="auto"/>
        <w:jc w:val="left"/>
        <w:rPr>
          <w:rFonts w:ascii="Times New Roman" w:cs="Times New Roman" w:eastAsia="Times New Roman" w:hAnsi="Times New Roman"/>
          <w:i/>
          <w:iCs/>
          <w:sz w:val="36"/>
          <w:szCs w:val="36"/>
          <w:u w:val="single"/>
          <w:lang w:val="es-ES"/>
        </w:rPr>
      </w:pPr>
      <w:r>
        <w:rPr>
          <w:rFonts w:ascii="Times New Roman" w:cs="Times New Roman" w:eastAsia="Times New Roman" w:hAnsi="Times New Roman"/>
          <w:i/>
          <w:iCs/>
          <w:sz w:val="36"/>
          <w:szCs w:val="36"/>
          <w:u w:val="single"/>
          <w:lang w:val="es-ES"/>
        </w:rPr>
        <w:t xml:space="preserve">7.4 Visual </w:t>
      </w:r>
      <w:r>
        <w:rPr>
          <w:rFonts w:ascii="Times New Roman" w:cs="Times New Roman" w:eastAsia="Times New Roman" w:hAnsi="Times New Roman"/>
          <w:i/>
          <w:iCs/>
          <w:sz w:val="36"/>
          <w:szCs w:val="36"/>
          <w:u w:val="single"/>
          <w:lang w:val="es-ES"/>
        </w:rPr>
        <w:t>Interpretation</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of</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the</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Results</w:t>
      </w:r>
    </w:p>
    <w:p w14:paraId="00000167">
      <w:pPr>
        <w:spacing w:before="180" w:after="180" w:line="480" w:lineRule="auto"/>
        <w:ind w:firstLine="708"/>
        <w:jc w:val="left"/>
        <w:rPr/>
      </w:pPr>
      <w:r>
        <w:rPr>
          <w:rFonts w:ascii="Times New Roman" w:cs="Times New Roman" w:eastAsia="Times New Roman" w:hAnsi="Times New Roman"/>
          <w:sz w:val="24"/>
          <w:szCs w:val="24"/>
          <w:lang w:val="es-ES"/>
        </w:rPr>
        <w:t>To</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support</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these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findings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following</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visualizations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were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generated</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see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Annex</w:t>
      </w:r>
      <w:r>
        <w:rPr>
          <w:rFonts w:ascii="Times New Roman" w:cs="Times New Roman" w:eastAsia="Times New Roman" w:hAnsi="Times New Roman"/>
          <w:sz w:val="24"/>
          <w:szCs w:val="24"/>
          <w:lang w:val="es-ES"/>
        </w:rPr>
        <w:t xml:space="preserve"> B </w:t>
      </w:r>
      <w:r>
        <w:rPr>
          <w:rFonts w:ascii="Times New Roman" w:cs="Times New Roman" w:eastAsia="Times New Roman" w:hAnsi="Times New Roman"/>
          <w:sz w:val="24"/>
          <w:szCs w:val="24"/>
          <w:lang w:val="es-ES"/>
        </w:rPr>
        <w:t>for</w:t>
      </w:r>
      <w:r>
        <w:rPr>
          <w:rFonts w:ascii="Times New Roman" w:cs="Times New Roman" w:eastAsia="Times New Roman" w:hAnsi="Times New Roman"/>
          <w:sz w:val="24"/>
          <w:szCs w:val="24"/>
          <w:lang w:val="es-ES"/>
        </w:rPr>
        <w:t xml:space="preserve"> full-</w:t>
      </w:r>
      <w:r>
        <w:rPr>
          <w:rFonts w:ascii="Times New Roman" w:cs="Times New Roman" w:eastAsia="Times New Roman" w:hAnsi="Times New Roman"/>
          <w:sz w:val="24"/>
          <w:szCs w:val="24"/>
          <w:lang w:val="es-ES"/>
        </w:rPr>
        <w:t>scale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versions</w:t>
      </w:r>
      <w:r>
        <w:rPr>
          <w:rFonts w:ascii="Times New Roman" w:cs="Times New Roman" w:eastAsia="Times New Roman" w:hAnsi="Times New Roman"/>
          <w:sz w:val="24"/>
          <w:szCs w:val="24"/>
          <w:lang w:val="es-ES"/>
        </w:rPr>
        <w:t>):</w:t>
      </w:r>
    </w:p>
    <w:p w14:paraId="00000168">
      <w:pPr>
        <w:pStyle w:val="ListParagraph"/>
        <w:numPr>
          <w:ilvl w:val="0"/>
          <w:numId w:val="23"/>
        </w:numPr>
        <w:spacing w:before="180" w:after="180" w:line="480" w:lineRule="auto"/>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s-ES"/>
        </w:rPr>
        <w:t xml:space="preserve">The Confusion Matrix: Visually </w:t>
      </w:r>
      <w:r>
        <w:rPr>
          <w:rFonts w:ascii="Times New Roman" w:cs="Times New Roman" w:eastAsia="Times New Roman" w:hAnsi="Times New Roman"/>
          <w:sz w:val="24"/>
          <w:szCs w:val="24"/>
          <w:lang w:val="es-ES"/>
        </w:rPr>
        <w:t>demonstrates</w:t>
      </w:r>
      <w:r>
        <w:rPr>
          <w:rFonts w:ascii="Times New Roman" w:cs="Times New Roman" w:eastAsia="Times New Roman" w:hAnsi="Times New Roman"/>
          <w:sz w:val="24"/>
          <w:szCs w:val="24"/>
          <w:lang w:val="es-ES"/>
        </w:rPr>
        <w:t xml:space="preserve"> the 31 True Positives. It confirms that the model provides a 2/</w:t>
      </w:r>
      <w:r>
        <w:rPr>
          <w:rFonts w:ascii="Times New Roman" w:cs="Times New Roman" w:eastAsia="Times New Roman" w:hAnsi="Times New Roman"/>
          <w:sz w:val="24"/>
          <w:szCs w:val="24"/>
          <w:lang w:val="es-ES"/>
        </w:rPr>
        <w:t>3rds</w:t>
      </w:r>
      <w:r>
        <w:rPr>
          <w:rFonts w:ascii="Times New Roman" w:cs="Times New Roman" w:eastAsia="Times New Roman" w:hAnsi="Times New Roman"/>
          <w:sz w:val="24"/>
          <w:szCs w:val="24"/>
          <w:lang w:val="es-ES"/>
        </w:rPr>
        <w:t xml:space="preserve"> success rate in </w:t>
      </w:r>
      <w:r>
        <w:rPr>
          <w:rFonts w:ascii="Times New Roman" w:cs="Times New Roman" w:eastAsia="Times New Roman" w:hAnsi="Times New Roman"/>
          <w:sz w:val="24"/>
          <w:szCs w:val="24"/>
          <w:lang w:val="es-ES"/>
        </w:rPr>
        <w:t>identifying</w:t>
      </w:r>
      <w:r>
        <w:rPr>
          <w:rFonts w:ascii="Times New Roman" w:cs="Times New Roman" w:eastAsia="Times New Roman" w:hAnsi="Times New Roman"/>
          <w:sz w:val="24"/>
          <w:szCs w:val="24"/>
          <w:lang w:val="es-ES"/>
        </w:rPr>
        <w:t xml:space="preserve"> turnover before it happens.</w:t>
      </w:r>
    </w:p>
    <w:p w14:paraId="00000169">
      <w:pPr>
        <w:pStyle w:val="ListParagraph"/>
        <w:spacing w:before="180" w:after="180" w:line="480" w:lineRule="auto"/>
        <w:ind w:left="720"/>
        <w:jc w:val="left"/>
        <w:rPr/>
      </w:pPr>
    </w:p>
    <w:p w14:paraId="0000016A">
      <w:pPr>
        <w:pStyle w:val="ListParagraph"/>
        <w:numPr>
          <w:ilvl w:val="0"/>
          <w:numId w:val="23"/>
        </w:numPr>
        <w:spacing w:before="180" w:after="180" w:line="480" w:lineRule="auto"/>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ROC Curve: </w:t>
      </w:r>
      <w:r>
        <w:rPr>
          <w:rFonts w:ascii="Times New Roman" w:cs="Times New Roman" w:eastAsia="Times New Roman" w:hAnsi="Times New Roman"/>
          <w:sz w:val="24"/>
          <w:szCs w:val="24"/>
          <w:lang w:val="es-ES"/>
        </w:rPr>
        <w:t>With</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an</w:t>
      </w:r>
      <w:r>
        <w:rPr>
          <w:rFonts w:ascii="Times New Roman" w:cs="Times New Roman" w:eastAsia="Times New Roman" w:hAnsi="Times New Roman"/>
          <w:sz w:val="24"/>
          <w:szCs w:val="24"/>
          <w:lang w:val="es-ES"/>
        </w:rPr>
        <w:t xml:space="preserve"> AUROC </w:t>
      </w:r>
      <w:r>
        <w:rPr>
          <w:rFonts w:ascii="Times New Roman" w:cs="Times New Roman" w:eastAsia="Times New Roman" w:hAnsi="Times New Roman"/>
          <w:sz w:val="24"/>
          <w:szCs w:val="24"/>
          <w:lang w:val="es-ES"/>
        </w:rPr>
        <w:t>of</w:t>
      </w:r>
      <w:r>
        <w:rPr>
          <w:rFonts w:ascii="Times New Roman" w:cs="Times New Roman" w:eastAsia="Times New Roman" w:hAnsi="Times New Roman"/>
          <w:sz w:val="24"/>
          <w:szCs w:val="24"/>
          <w:lang w:val="es-ES"/>
        </w:rPr>
        <w:t xml:space="preserve"> 0.78 </w:t>
      </w:r>
      <w:r>
        <w:rPr>
          <w:rFonts w:ascii="Times New Roman" w:cs="Times New Roman" w:eastAsia="Times New Roman" w:hAnsi="Times New Roman"/>
          <w:sz w:val="24"/>
          <w:szCs w:val="24"/>
          <w:lang w:val="es-ES"/>
        </w:rPr>
        <w:t>for</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baseline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curve </w:t>
      </w:r>
      <w:r>
        <w:rPr>
          <w:rFonts w:ascii="Times New Roman" w:cs="Times New Roman" w:eastAsia="Times New Roman" w:hAnsi="Times New Roman"/>
          <w:sz w:val="24"/>
          <w:szCs w:val="24"/>
          <w:lang w:val="es-ES"/>
        </w:rPr>
        <w:t>sits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significantly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above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random</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guess</w:t>
      </w:r>
      <w:r>
        <w:rPr>
          <w:rFonts w:ascii="Times New Roman" w:cs="Times New Roman" w:eastAsia="Times New Roman" w:hAnsi="Times New Roman"/>
          <w:sz w:val="24"/>
          <w:szCs w:val="24"/>
          <w:lang w:val="es-ES"/>
        </w:rPr>
        <w:t xml:space="preserve">" diagonal, </w:t>
      </w:r>
      <w:r>
        <w:rPr>
          <w:rFonts w:ascii="Times New Roman" w:cs="Times New Roman" w:eastAsia="Times New Roman" w:hAnsi="Times New Roman"/>
          <w:sz w:val="24"/>
          <w:szCs w:val="24"/>
          <w:lang w:val="es-ES"/>
        </w:rPr>
        <w:t>proving</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that</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model's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predictions</w:t>
      </w:r>
      <w:r>
        <w:rPr>
          <w:rFonts w:ascii="Times New Roman" w:cs="Times New Roman" w:eastAsia="Times New Roman" w:hAnsi="Times New Roman"/>
          <w:sz w:val="24"/>
          <w:szCs w:val="24"/>
          <w:lang w:val="es-ES"/>
        </w:rPr>
        <w:t xml:space="preserve"> are </w:t>
      </w:r>
      <w:r>
        <w:rPr>
          <w:rFonts w:ascii="Times New Roman" w:cs="Times New Roman" w:eastAsia="Times New Roman" w:hAnsi="Times New Roman"/>
          <w:sz w:val="24"/>
          <w:szCs w:val="24"/>
          <w:lang w:val="es-ES"/>
        </w:rPr>
        <w:t>based</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on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strong</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behavioral</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signals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rather</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than</w:t>
      </w:r>
      <w:r>
        <w:rPr>
          <w:rFonts w:ascii="Times New Roman" w:cs="Times New Roman" w:eastAsia="Times New Roman" w:hAnsi="Times New Roman"/>
          <w:sz w:val="24"/>
          <w:szCs w:val="24"/>
          <w:lang w:val="es-ES"/>
        </w:rPr>
        <w:t xml:space="preserve"> chance.</w:t>
      </w:r>
    </w:p>
    <w:p w14:paraId="0000016B">
      <w:pPr>
        <w:pStyle w:val="ListParagraph"/>
        <w:spacing w:before="180" w:after="180" w:line="480" w:lineRule="auto"/>
        <w:ind w:left="720"/>
        <w:jc w:val="left"/>
        <w:rPr/>
      </w:pPr>
    </w:p>
    <w:p w14:paraId="0000016C">
      <w:pPr>
        <w:pStyle w:val="ListParagraph"/>
        <w:numPr>
          <w:ilvl w:val="0"/>
          <w:numId w:val="23"/>
        </w:numPr>
        <w:spacing w:before="180" w:after="180" w:line="480" w:lineRule="auto"/>
        <w:jc w:val="left"/>
        <w:rPr>
          <w:lang w:val="en-US"/>
        </w:rPr>
      </w:pPr>
      <w:r>
        <w:rPr>
          <w:rFonts w:ascii="Times New Roman" w:cs="Times New Roman" w:eastAsia="Times New Roman" w:hAnsi="Times New Roman"/>
          <w:sz w:val="24"/>
          <w:szCs w:val="24"/>
          <w:lang w:val="en-US"/>
        </w:rPr>
        <w:t>Feature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Importance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Plot</w:t>
      </w:r>
      <w:r>
        <w:rPr>
          <w:rFonts w:ascii="Times New Roman" w:cs="Times New Roman" w:eastAsia="Times New Roman" w:hAnsi="Times New Roman"/>
          <w:sz w:val="24"/>
          <w:szCs w:val="24"/>
          <w:lang w:val="en-US"/>
        </w:rPr>
        <w:t xml:space="preserve">: A bar chart </w:t>
      </w:r>
      <w:r>
        <w:rPr>
          <w:rFonts w:ascii="Times New Roman" w:cs="Times New Roman" w:eastAsia="Times New Roman" w:hAnsi="Times New Roman"/>
          <w:sz w:val="24"/>
          <w:szCs w:val="24"/>
          <w:lang w:val="en-US"/>
        </w:rPr>
        <w:t>illustrating</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that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Work</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Life</w:t>
      </w:r>
      <w:r>
        <w:rPr>
          <w:rFonts w:ascii="Times New Roman" w:cs="Times New Roman" w:eastAsia="Times New Roman" w:hAnsi="Times New Roman"/>
          <w:sz w:val="24"/>
          <w:szCs w:val="24"/>
          <w:lang w:val="en-US"/>
        </w:rPr>
        <w:t xml:space="preserve"> Balance" (</w:t>
      </w:r>
      <w:r>
        <w:rPr>
          <w:rFonts w:ascii="Times New Roman" w:cs="Times New Roman" w:eastAsia="Times New Roman" w:hAnsi="Times New Roman"/>
          <w:sz w:val="24"/>
          <w:szCs w:val="24"/>
          <w:lang w:val="en-US"/>
        </w:rPr>
        <w:t>Overtime</w:t>
      </w:r>
      <w:r>
        <w:rPr>
          <w:rFonts w:ascii="Times New Roman" w:cs="Times New Roman" w:eastAsia="Times New Roman" w:hAnsi="Times New Roman"/>
          <w:sz w:val="24"/>
          <w:szCs w:val="24"/>
          <w:lang w:val="en-US"/>
        </w:rPr>
        <w:t>) and "</w:t>
      </w:r>
      <w:r>
        <w:rPr>
          <w:rFonts w:ascii="Times New Roman" w:cs="Times New Roman" w:eastAsia="Times New Roman" w:hAnsi="Times New Roman"/>
          <w:sz w:val="24"/>
          <w:szCs w:val="24"/>
          <w:lang w:val="en-US"/>
        </w:rPr>
        <w:t>Financial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Stability</w:t>
      </w:r>
      <w:r>
        <w:rPr>
          <w:rFonts w:ascii="Times New Roman" w:cs="Times New Roman" w:eastAsia="Times New Roman" w:hAnsi="Times New Roman"/>
          <w:sz w:val="24"/>
          <w:szCs w:val="24"/>
          <w:lang w:val="en-US"/>
        </w:rPr>
        <w:t>" (</w:t>
      </w:r>
      <w:r>
        <w:rPr>
          <w:rFonts w:ascii="Times New Roman" w:cs="Times New Roman" w:eastAsia="Times New Roman" w:hAnsi="Times New Roman"/>
          <w:sz w:val="24"/>
          <w:szCs w:val="24"/>
          <w:lang w:val="en-US"/>
        </w:rPr>
        <w:t>Income</w:t>
      </w:r>
      <w:r>
        <w:rPr>
          <w:rFonts w:ascii="Times New Roman" w:cs="Times New Roman" w:eastAsia="Times New Roman" w:hAnsi="Times New Roman"/>
          <w:sz w:val="24"/>
          <w:szCs w:val="24"/>
          <w:lang w:val="en-US"/>
        </w:rPr>
        <w:t xml:space="preserve">) are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two</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levers</w:t>
      </w:r>
      <w:r>
        <w:rPr>
          <w:rFonts w:ascii="Times New Roman" w:cs="Times New Roman" w:eastAsia="Times New Roman" w:hAnsi="Times New Roman"/>
          <w:sz w:val="24"/>
          <w:szCs w:val="24"/>
          <w:lang w:val="en-US"/>
        </w:rPr>
        <w:t xml:space="preserve"> HR </w:t>
      </w:r>
      <w:r>
        <w:rPr>
          <w:rFonts w:ascii="Times New Roman" w:cs="Times New Roman" w:eastAsia="Times New Roman" w:hAnsi="Times New Roman"/>
          <w:sz w:val="24"/>
          <w:szCs w:val="24"/>
          <w:lang w:val="en-US"/>
        </w:rPr>
        <w:t>must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pull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to</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stabilize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workforce</w:t>
      </w:r>
      <w:r>
        <w:rPr>
          <w:rFonts w:ascii="Times New Roman" w:cs="Times New Roman" w:eastAsia="Times New Roman" w:hAnsi="Times New Roman"/>
          <w:sz w:val="24"/>
          <w:szCs w:val="24"/>
          <w:lang w:val="en-US"/>
        </w:rPr>
        <w:t>.</w:t>
      </w:r>
    </w:p>
    <w:p w14:paraId="0000016D">
      <w:pPr>
        <w:pStyle w:val="Normal"/>
        <w:spacing w:before="180" w:after="180" w:line="480" w:lineRule="auto"/>
        <w:ind w:firstLine="0"/>
        <w:jc w:val="left"/>
        <w:rPr/>
      </w:pPr>
    </w:p>
    <w:p w14:paraId="0000016E">
      <w:pPr>
        <w:pStyle w:val="Normal"/>
        <w:spacing w:before="0" w:after="0"/>
        <w:ind w:left="0"/>
        <w:jc w:val="left"/>
        <w:rPr>
          <w:rFonts w:ascii="Times New Roman" w:cs="Times New Roman" w:eastAsia="Times New Roman" w:hAnsi="Times New Roman"/>
          <w:b/>
          <w:bCs/>
          <w:sz w:val="48"/>
          <w:szCs w:val="48"/>
          <w:lang w:val="es-ES"/>
        </w:rPr>
      </w:pPr>
      <w:r>
        <w:rPr>
          <w:rFonts w:ascii="Times New Roman" w:cs="Times New Roman" w:eastAsia="Times New Roman" w:hAnsi="Times New Roman"/>
          <w:b/>
          <w:bCs/>
          <w:sz w:val="48"/>
          <w:szCs w:val="48"/>
          <w:lang w:val="es-ES"/>
        </w:rPr>
        <w:t xml:space="preserve">8. Discussion and </w:t>
      </w:r>
      <w:r>
        <w:rPr>
          <w:rFonts w:ascii="Times New Roman" w:cs="Times New Roman" w:eastAsia="Times New Roman" w:hAnsi="Times New Roman"/>
          <w:b/>
          <w:bCs/>
          <w:sz w:val="48"/>
          <w:szCs w:val="48"/>
          <w:lang w:val="es-ES"/>
        </w:rPr>
        <w:t>Proposed</w:t>
      </w:r>
      <w:r>
        <w:rPr>
          <w:rFonts w:ascii="Times New Roman" w:cs="Times New Roman" w:eastAsia="Times New Roman" w:hAnsi="Times New Roman"/>
          <w:b/>
          <w:bCs/>
          <w:sz w:val="48"/>
          <w:szCs w:val="48"/>
          <w:lang w:val="es-ES"/>
        </w:rPr>
        <w:t xml:space="preserve"> </w:t>
      </w:r>
      <w:r>
        <w:rPr>
          <w:rFonts w:ascii="Times New Roman" w:cs="Times New Roman" w:eastAsia="Times New Roman" w:hAnsi="Times New Roman"/>
          <w:b/>
          <w:bCs/>
          <w:sz w:val="48"/>
          <w:szCs w:val="48"/>
          <w:lang w:val="es-ES"/>
        </w:rPr>
        <w:t>Solution</w:t>
      </w:r>
    </w:p>
    <w:p w14:paraId="0000016F">
      <w:pPr>
        <w:pStyle w:val="Normal"/>
        <w:spacing w:before="180" w:after="180" w:line="480" w:lineRule="auto"/>
        <w:ind w:firstLine="0"/>
        <w:jc w:val="left"/>
        <w:rPr/>
      </w:pPr>
    </w:p>
    <w:p w14:paraId="00000170">
      <w:pPr>
        <w:spacing w:before="180" w:after="180" w:line="480" w:lineRule="auto"/>
        <w:jc w:val="left"/>
        <w:rPr>
          <w:rFonts w:ascii="Times New Roman" w:cs="Times New Roman" w:eastAsia="Times New Roman" w:hAnsi="Times New Roman"/>
          <w:i/>
          <w:iCs/>
          <w:sz w:val="36"/>
          <w:szCs w:val="36"/>
          <w:u w:val="single"/>
          <w:lang w:val="es-ES"/>
        </w:rPr>
      </w:pPr>
      <w:r>
        <w:rPr>
          <w:rFonts w:ascii="Times New Roman" w:cs="Times New Roman" w:eastAsia="Times New Roman" w:hAnsi="Times New Roman"/>
          <w:i/>
          <w:iCs/>
          <w:sz w:val="36"/>
          <w:szCs w:val="36"/>
          <w:u w:val="single"/>
          <w:lang w:val="es-ES"/>
        </w:rPr>
        <w:t xml:space="preserve">8.1 </w:t>
      </w:r>
      <w:r>
        <w:rPr>
          <w:rFonts w:ascii="Times New Roman" w:cs="Times New Roman" w:eastAsia="Times New Roman" w:hAnsi="Times New Roman"/>
          <w:i/>
          <w:iCs/>
          <w:sz w:val="36"/>
          <w:szCs w:val="36"/>
          <w:u w:val="single"/>
          <w:lang w:val="es-ES"/>
        </w:rPr>
        <w:t>Interpretation</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of</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Findings</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The</w:t>
      </w:r>
      <w:r>
        <w:rPr>
          <w:rFonts w:ascii="Times New Roman" w:cs="Times New Roman" w:eastAsia="Times New Roman" w:hAnsi="Times New Roman"/>
          <w:i/>
          <w:iCs/>
          <w:sz w:val="36"/>
          <w:szCs w:val="36"/>
          <w:u w:val="single"/>
          <w:lang w:val="es-ES"/>
        </w:rPr>
        <w:t xml:space="preserve"> Burnout-</w:t>
      </w:r>
      <w:r>
        <w:rPr>
          <w:rFonts w:ascii="Times New Roman" w:cs="Times New Roman" w:eastAsia="Times New Roman" w:hAnsi="Times New Roman"/>
          <w:i/>
          <w:iCs/>
          <w:sz w:val="36"/>
          <w:szCs w:val="36"/>
          <w:u w:val="single"/>
          <w:lang w:val="es-ES"/>
        </w:rPr>
        <w:t>Income</w:t>
      </w:r>
      <w:r>
        <w:rPr>
          <w:rFonts w:ascii="Times New Roman" w:cs="Times New Roman" w:eastAsia="Times New Roman" w:hAnsi="Times New Roman"/>
          <w:i/>
          <w:iCs/>
          <w:sz w:val="36"/>
          <w:szCs w:val="36"/>
          <w:u w:val="single"/>
          <w:lang w:val="es-ES"/>
        </w:rPr>
        <w:t xml:space="preserve"> Nexus</w:t>
      </w:r>
    </w:p>
    <w:p w14:paraId="00000171">
      <w:pPr>
        <w:pStyle w:val="Normal"/>
        <w:spacing w:before="180" w:after="180" w:line="480" w:lineRule="auto"/>
        <w:ind w:left="0"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The results of this study confirm that employee attrition at TechCorp is not a random, stochastic occurrence but a predictable consequence of specific organizational pressures. The Discussion phase allows us to synthesize the mathematical coefficients from the Logistic Regression model with the qualitative "Job Embeddedness" theoretical framework.</w:t>
      </w:r>
    </w:p>
    <w:p w14:paraId="00000172">
      <w:pPr>
        <w:pStyle w:val="Normal"/>
        <w:spacing w:before="180" w:after="180" w:line="480" w:lineRule="auto"/>
        <w:ind w:left="0"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Our modeling </w:t>
      </w:r>
      <w:r>
        <w:rPr>
          <w:rFonts w:ascii="Times New Roman" w:cs="Times New Roman" w:eastAsia="Times New Roman" w:hAnsi="Times New Roman"/>
          <w:sz w:val="24"/>
          <w:szCs w:val="24"/>
          <w:lang w:val="en-US"/>
        </w:rPr>
        <w:t>identified</w:t>
      </w:r>
      <w:r>
        <w:rPr>
          <w:rFonts w:ascii="Times New Roman" w:cs="Times New Roman" w:eastAsia="Times New Roman" w:hAnsi="Times New Roman"/>
          <w:sz w:val="24"/>
          <w:szCs w:val="24"/>
          <w:lang w:val="en-US"/>
        </w:rPr>
        <w:t xml:space="preserve"> what can be termed a "Burnout-Income Nexus". While low compensation (Monthly Income) is a known driver of turnover, our analysis reveals that it acts as a primary trigger most severely when combined with high work intensity (Overtime).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 sacrifice of giving up personal time and relinquishing personal project ownership is ultimately compounded by the stress of constantly working long, unpaid hours. This systemic burnout mathematically explains the 15% increase in resignations since project deadlines became tighter in 2025; the foundational "links" and "fit" of these senior developers have been broken down by chronic overwork.</w:t>
      </w:r>
    </w:p>
    <w:p w14:paraId="00000173">
      <w:pPr>
        <w:pStyle w:val="Normal"/>
        <w:spacing w:before="180" w:after="180" w:line="480" w:lineRule="auto"/>
        <w:ind w:left="0"/>
        <w:jc w:val="left"/>
        <w:rPr>
          <w:rFonts w:ascii="Times New Roman" w:cs="Times New Roman" w:eastAsia="Times New Roman" w:hAnsi="Times New Roman"/>
          <w:sz w:val="24"/>
          <w:szCs w:val="24"/>
          <w:lang w:val="en-US"/>
        </w:rPr>
      </w:pPr>
    </w:p>
    <w:p w14:paraId="00000174">
      <w:pPr>
        <w:pStyle w:val="Normal"/>
        <w:spacing w:before="180" w:after="180" w:line="480" w:lineRule="auto"/>
        <w:ind w:left="0"/>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8.2 Proposed Solution: The Early Warning Dashboard (EWD)</w:t>
      </w:r>
    </w:p>
    <w:p w14:paraId="00000175">
      <w:pPr>
        <w:pStyle w:val="Normal"/>
        <w:spacing w:before="180" w:after="180" w:line="480" w:lineRule="auto"/>
        <w:ind w:left="0" w:firstLine="708"/>
        <w:jc w:val="left"/>
        <w:rPr/>
      </w:pPr>
      <w:r>
        <w:rPr>
          <w:rFonts w:ascii="Times New Roman" w:cs="Times New Roman" w:eastAsia="Times New Roman" w:hAnsi="Times New Roman"/>
          <w:sz w:val="24"/>
          <w:szCs w:val="24"/>
          <w:lang w:val="en-US"/>
        </w:rPr>
        <w:t>To transition these mathematical insights into an actionable HR strategy, the technical solution involves the direct integration of the Logistic Regression model into TechCorp’s existing Human Resource Information System (HRIS). This deployment will be manifested as the Early Warning Dashboard (EWD).</w:t>
      </w:r>
    </w:p>
    <w:p w14:paraId="00000176">
      <w:pPr>
        <w:pStyle w:val="ListParagraph"/>
        <w:numPr>
          <w:ilvl w:val="0"/>
          <w:numId w:val="2"/>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Scoring System: At the beginning of every month, the EWD will ingest fresh batch data regarding salary, attendance (overtime), and sentiment. The system will run this data through the logistic sigmoid function to generate an "Attrition Probability Score" for every senior developer on a scale of 0.0 to 1.0.</w:t>
      </w:r>
    </w:p>
    <w:p w14:paraId="00000177">
      <w:pPr>
        <w:pStyle w:val="ListParagraph"/>
        <w:spacing w:before="180" w:after="180" w:line="480" w:lineRule="auto"/>
        <w:ind w:left="720"/>
        <w:jc w:val="left"/>
        <w:rPr>
          <w:rFonts w:ascii="Times New Roman" w:cs="Times New Roman" w:eastAsia="Times New Roman" w:hAnsi="Times New Roman"/>
          <w:sz w:val="24"/>
          <w:szCs w:val="24"/>
          <w:lang w:val="en-US"/>
        </w:rPr>
      </w:pPr>
    </w:p>
    <w:p w14:paraId="00000178">
      <w:pPr>
        <w:pStyle w:val="ListParagraph"/>
        <w:numPr>
          <w:ilvl w:val="0"/>
          <w:numId w:val="2"/>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Action Threshold: As per the optimization of the model in Section 7, the operational action threshold has been set at 0.60. If any individual's probability score exceeds this figure, they will be automatically flagged for HR analysis.</w:t>
      </w:r>
    </w:p>
    <w:p w14:paraId="00000179">
      <w:pPr>
        <w:pStyle w:val="ListParagraph"/>
        <w:spacing w:before="180" w:after="180" w:line="480" w:lineRule="auto"/>
        <w:ind w:left="720"/>
        <w:jc w:val="left"/>
        <w:rPr>
          <w:rFonts w:ascii="Times New Roman" w:cs="Times New Roman" w:eastAsia="Times New Roman" w:hAnsi="Times New Roman"/>
          <w:sz w:val="24"/>
          <w:szCs w:val="24"/>
          <w:lang w:val="en-US"/>
        </w:rPr>
      </w:pPr>
    </w:p>
    <w:p w14:paraId="0000017A">
      <w:pPr>
        <w:pStyle w:val="ListParagraph"/>
        <w:numPr>
          <w:ilvl w:val="0"/>
          <w:numId w:val="2"/>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Reason Codes: Unlike "black box" machine learning (such as the rejected Random Forest model), the EWD leverages the logistic coefficients to display the primary variables contributing to a high score (e.g., "High Overtime + 2 Years since last Promotion"). This transparency ensures that HR Business Partners (HRBPs) can tailor their retention approach to the specific, algorithmic needs of the individual.</w:t>
      </w:r>
    </w:p>
    <w:p w14:paraId="0000017B">
      <w:pPr>
        <w:spacing w:before="180" w:after="180" w:line="480" w:lineRule="auto"/>
        <w:jc w:val="left"/>
        <w:rPr>
          <w:rFonts w:ascii="Times New Roman" w:cs="Times New Roman" w:eastAsia="Times New Roman" w:hAnsi="Times New Roman"/>
          <w:sz w:val="24"/>
          <w:szCs w:val="24"/>
          <w:lang w:val="es-ES"/>
        </w:rPr>
      </w:pPr>
    </w:p>
    <w:p w14:paraId="0000017C">
      <w:pPr>
        <w:spacing w:before="180" w:after="180" w:line="480" w:lineRule="auto"/>
        <w:jc w:val="left"/>
        <w:rPr>
          <w:rFonts w:ascii="Times New Roman" w:cs="Times New Roman" w:eastAsia="Times New Roman" w:hAnsi="Times New Roman"/>
          <w:i/>
          <w:iCs/>
          <w:sz w:val="36"/>
          <w:szCs w:val="36"/>
          <w:u w:val="single"/>
          <w:lang w:val="es-ES"/>
        </w:rPr>
      </w:pPr>
      <w:r>
        <w:rPr>
          <w:rFonts w:ascii="Times New Roman" w:cs="Times New Roman" w:eastAsia="Times New Roman" w:hAnsi="Times New Roman"/>
          <w:i/>
          <w:iCs/>
          <w:sz w:val="36"/>
          <w:szCs w:val="36"/>
          <w:u w:val="single"/>
          <w:lang w:val="es-ES"/>
        </w:rPr>
        <w:t xml:space="preserve">8.3 </w:t>
      </w:r>
      <w:r>
        <w:rPr>
          <w:rFonts w:ascii="Times New Roman" w:cs="Times New Roman" w:eastAsia="Times New Roman" w:hAnsi="Times New Roman"/>
          <w:i/>
          <w:iCs/>
          <w:sz w:val="36"/>
          <w:szCs w:val="36"/>
          <w:u w:val="single"/>
          <w:lang w:val="es-ES"/>
        </w:rPr>
        <w:t>Managerial</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Innovation</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The</w:t>
      </w:r>
      <w:r>
        <w:rPr>
          <w:rFonts w:ascii="Times New Roman" w:cs="Times New Roman" w:eastAsia="Times New Roman" w:hAnsi="Times New Roman"/>
          <w:i/>
          <w:iCs/>
          <w:sz w:val="36"/>
          <w:szCs w:val="36"/>
          <w:u w:val="single"/>
          <w:lang w:val="es-ES"/>
        </w:rPr>
        <w:t xml:space="preserve"> 90-Day "</w:t>
      </w:r>
      <w:r>
        <w:rPr>
          <w:rFonts w:ascii="Times New Roman" w:cs="Times New Roman" w:eastAsia="Times New Roman" w:hAnsi="Times New Roman"/>
          <w:i/>
          <w:iCs/>
          <w:sz w:val="36"/>
          <w:szCs w:val="36"/>
          <w:u w:val="single"/>
          <w:lang w:val="es-ES"/>
        </w:rPr>
        <w:t>Stay</w:t>
      </w:r>
      <w:r>
        <w:rPr>
          <w:rFonts w:ascii="Times New Roman" w:cs="Times New Roman" w:eastAsia="Times New Roman" w:hAnsi="Times New Roman"/>
          <w:i/>
          <w:iCs/>
          <w:sz w:val="36"/>
          <w:szCs w:val="36"/>
          <w:u w:val="single"/>
          <w:lang w:val="es-ES"/>
        </w:rPr>
        <w:t xml:space="preserve"> Interview" </w:t>
      </w:r>
      <w:r>
        <w:rPr>
          <w:rFonts w:ascii="Times New Roman" w:cs="Times New Roman" w:eastAsia="Times New Roman" w:hAnsi="Times New Roman"/>
          <w:i/>
          <w:iCs/>
          <w:sz w:val="36"/>
          <w:szCs w:val="36"/>
          <w:u w:val="single"/>
          <w:lang w:val="es-ES"/>
        </w:rPr>
        <w:t>Pilot</w:t>
      </w:r>
    </w:p>
    <w:p w14:paraId="0000017D">
      <w:pPr>
        <w:spacing w:before="180" w:after="180" w:line="480" w:lineRule="auto"/>
        <w:ind w:firstLine="708"/>
        <w:jc w:val="left"/>
        <w:rPr/>
      </w:pP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primary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intervention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strategy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is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Stay</w:t>
      </w:r>
      <w:r>
        <w:rPr>
          <w:rFonts w:ascii="Times New Roman" w:cs="Times New Roman" w:eastAsia="Times New Roman" w:hAnsi="Times New Roman"/>
          <w:sz w:val="24"/>
          <w:szCs w:val="24"/>
          <w:lang w:val="es-ES"/>
        </w:rPr>
        <w:t xml:space="preserve"> Interview </w:t>
      </w:r>
      <w:r>
        <w:rPr>
          <w:rFonts w:ascii="Times New Roman" w:cs="Times New Roman" w:eastAsia="Times New Roman" w:hAnsi="Times New Roman"/>
          <w:sz w:val="24"/>
          <w:szCs w:val="24"/>
          <w:lang w:val="es-ES"/>
        </w:rPr>
        <w:t>Program</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Unlike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exit</w:t>
      </w:r>
      <w:r>
        <w:rPr>
          <w:rFonts w:ascii="Times New Roman" w:cs="Times New Roman" w:eastAsia="Times New Roman" w:hAnsi="Times New Roman"/>
          <w:sz w:val="24"/>
          <w:szCs w:val="24"/>
          <w:lang w:val="es-ES"/>
        </w:rPr>
        <w:t xml:space="preserve"> interviews, </w:t>
      </w:r>
      <w:r>
        <w:rPr>
          <w:rFonts w:ascii="Times New Roman" w:cs="Times New Roman" w:eastAsia="Times New Roman" w:hAnsi="Times New Roman"/>
          <w:sz w:val="24"/>
          <w:szCs w:val="24"/>
          <w:lang w:val="es-ES"/>
        </w:rPr>
        <w:t>which</w:t>
      </w:r>
      <w:r>
        <w:rPr>
          <w:rFonts w:ascii="Times New Roman" w:cs="Times New Roman" w:eastAsia="Times New Roman" w:hAnsi="Times New Roman"/>
          <w:sz w:val="24"/>
          <w:szCs w:val="24"/>
          <w:lang w:val="es-ES"/>
        </w:rPr>
        <w:t xml:space="preserve"> are retrospective, </w:t>
      </w:r>
      <w:r>
        <w:rPr>
          <w:rFonts w:ascii="Times New Roman" w:cs="Times New Roman" w:eastAsia="Times New Roman" w:hAnsi="Times New Roman"/>
          <w:sz w:val="24"/>
          <w:szCs w:val="24"/>
          <w:lang w:val="es-ES"/>
        </w:rPr>
        <w:t>stay</w:t>
      </w:r>
      <w:r>
        <w:rPr>
          <w:rFonts w:ascii="Times New Roman" w:cs="Times New Roman" w:eastAsia="Times New Roman" w:hAnsi="Times New Roman"/>
          <w:sz w:val="24"/>
          <w:szCs w:val="24"/>
          <w:lang w:val="es-ES"/>
        </w:rPr>
        <w:t xml:space="preserve"> interviews are proactive dialogues </w:t>
      </w:r>
      <w:r>
        <w:rPr>
          <w:rFonts w:ascii="Times New Roman" w:cs="Times New Roman" w:eastAsia="Times New Roman" w:hAnsi="Times New Roman"/>
          <w:sz w:val="24"/>
          <w:szCs w:val="24"/>
          <w:lang w:val="es-ES"/>
        </w:rPr>
        <w:t>conducted</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with</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employees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who</w:t>
      </w:r>
      <w:r>
        <w:rPr>
          <w:rFonts w:ascii="Times New Roman" w:cs="Times New Roman" w:eastAsia="Times New Roman" w:hAnsi="Times New Roman"/>
          <w:sz w:val="24"/>
          <w:szCs w:val="24"/>
          <w:lang w:val="es-ES"/>
        </w:rPr>
        <w:t xml:space="preserve"> are </w:t>
      </w:r>
      <w:r>
        <w:rPr>
          <w:rFonts w:ascii="Times New Roman" w:cs="Times New Roman" w:eastAsia="Times New Roman" w:hAnsi="Times New Roman"/>
          <w:sz w:val="24"/>
          <w:szCs w:val="24"/>
          <w:lang w:val="es-ES"/>
        </w:rPr>
        <w:t>currently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high</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performers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but</w:t>
      </w:r>
      <w:r>
        <w:rPr>
          <w:rFonts w:ascii="Times New Roman" w:cs="Times New Roman" w:eastAsia="Times New Roman" w:hAnsi="Times New Roman"/>
          <w:sz w:val="24"/>
          <w:szCs w:val="24"/>
          <w:lang w:val="es-ES"/>
        </w:rPr>
        <w:t xml:space="preserve"> are </w:t>
      </w:r>
      <w:r>
        <w:rPr>
          <w:rFonts w:ascii="Times New Roman" w:cs="Times New Roman" w:eastAsia="Times New Roman" w:hAnsi="Times New Roman"/>
          <w:sz w:val="24"/>
          <w:szCs w:val="24"/>
          <w:lang w:val="es-ES"/>
        </w:rPr>
        <w:t>flagged</w:t>
      </w:r>
      <w:r>
        <w:rPr>
          <w:rFonts w:ascii="Times New Roman" w:cs="Times New Roman" w:eastAsia="Times New Roman" w:hAnsi="Times New Roman"/>
          <w:sz w:val="24"/>
          <w:szCs w:val="24"/>
          <w:lang w:val="es-ES"/>
        </w:rPr>
        <w:t xml:space="preserve"> as "at-</w:t>
      </w:r>
      <w:r>
        <w:rPr>
          <w:rFonts w:ascii="Times New Roman" w:cs="Times New Roman" w:eastAsia="Times New Roman" w:hAnsi="Times New Roman"/>
          <w:sz w:val="24"/>
          <w:szCs w:val="24"/>
          <w:lang w:val="es-ES"/>
        </w:rPr>
        <w:t>risk</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by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EWD.</w:t>
      </w:r>
    </w:p>
    <w:p w14:paraId="0000017E">
      <w:pPr>
        <w:spacing w:before="180" w:after="180" w:line="480" w:lineRule="auto"/>
        <w:jc w:val="left"/>
        <w:rPr>
          <w:rFonts w:ascii="Times New Roman" w:cs="Times New Roman" w:eastAsia="Times New Roman" w:hAnsi="Times New Roman"/>
          <w:sz w:val="24"/>
          <w:szCs w:val="24"/>
          <w:lang w:val="es-ES"/>
        </w:rPr>
      </w:pPr>
    </w:p>
    <w:p w14:paraId="0000017F">
      <w:pPr>
        <w:spacing w:before="180" w:after="180" w:line="480" w:lineRule="auto"/>
        <w:jc w:val="left"/>
        <w:rPr/>
      </w:pP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90-Day </w:t>
      </w:r>
      <w:r>
        <w:rPr>
          <w:rFonts w:ascii="Times New Roman" w:cs="Times New Roman" w:eastAsia="Times New Roman" w:hAnsi="Times New Roman"/>
          <w:sz w:val="24"/>
          <w:szCs w:val="24"/>
          <w:lang w:val="es-ES"/>
        </w:rPr>
        <w:t>Implementation</w:t>
      </w:r>
      <w:r>
        <w:rPr>
          <w:rFonts w:ascii="Times New Roman" w:cs="Times New Roman" w:eastAsia="Times New Roman" w:hAnsi="Times New Roman"/>
          <w:sz w:val="24"/>
          <w:szCs w:val="24"/>
          <w:lang w:val="es-ES"/>
        </w:rPr>
        <w:t xml:space="preserve"> Timeline: </w:t>
      </w:r>
    </w:p>
    <w:p w14:paraId="00000180">
      <w:pPr>
        <w:pStyle w:val="ListParagraph"/>
        <w:numPr>
          <w:ilvl w:val="0"/>
          <w:numId w:val="20"/>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Days 1</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30 (Onboarding): HRBPs and Engineering Managers will be trained on the ethics of predictive analytics. It will be emphasized that a "High Risk" flag is not a performance indicator, but a request for organizational support.</w:t>
      </w:r>
    </w:p>
    <w:p w14:paraId="00000181">
      <w:pPr>
        <w:pStyle w:val="ListParagraph"/>
        <w:spacing w:before="180" w:after="180" w:line="480" w:lineRule="auto"/>
        <w:ind w:left="720"/>
        <w:jc w:val="left"/>
        <w:rPr>
          <w:rFonts w:ascii="Times New Roman" w:cs="Times New Roman" w:eastAsia="Times New Roman" w:hAnsi="Times New Roman"/>
          <w:sz w:val="24"/>
          <w:szCs w:val="24"/>
          <w:lang w:val="en-US"/>
        </w:rPr>
      </w:pPr>
    </w:p>
    <w:p w14:paraId="00000182">
      <w:pPr>
        <w:pStyle w:val="ListParagraph"/>
        <w:numPr>
          <w:ilvl w:val="0"/>
          <w:numId w:val="20"/>
        </w:numPr>
        <w:spacing w:before="180" w:after="180" w:line="480" w:lineRule="auto"/>
        <w:jc w:val="left"/>
        <w:rPr>
          <w:lang w:val="en-US"/>
        </w:rPr>
      </w:pPr>
      <w:r>
        <w:rPr>
          <w:rFonts w:ascii="Times New Roman" w:cs="Times New Roman" w:eastAsia="Times New Roman" w:hAnsi="Times New Roman"/>
          <w:sz w:val="24"/>
          <w:szCs w:val="24"/>
          <w:lang w:val="en-US"/>
        </w:rPr>
        <w:t>31</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75 (Intervention): Managers will conduct 30-minute stay interviews with flagged senior developers.</w:t>
      </w:r>
      <w:r>
        <w:rPr>
          <w:rFonts w:ascii="Times New Roman" w:cs="Times New Roman" w:eastAsia="Times New Roman" w:hAnsi="Times New Roman"/>
          <w:sz w:val="24"/>
          <w:szCs w:val="24"/>
          <w:lang w:val="en-US"/>
        </w:rPr>
        <w:t xml:space="preserve"> These sessions focus on two core drivers </w:t>
      </w:r>
      <w:r>
        <w:rPr>
          <w:rFonts w:ascii="Times New Roman" w:cs="Times New Roman" w:eastAsia="Times New Roman" w:hAnsi="Times New Roman"/>
          <w:sz w:val="24"/>
          <w:szCs w:val="24"/>
          <w:lang w:val="en-US"/>
        </w:rPr>
        <w:t>identified</w:t>
      </w:r>
      <w:r>
        <w:rPr>
          <w:rFonts w:ascii="Times New Roman" w:cs="Times New Roman" w:eastAsia="Times New Roman" w:hAnsi="Times New Roman"/>
          <w:sz w:val="24"/>
          <w:szCs w:val="24"/>
          <w:lang w:val="en-US"/>
        </w:rPr>
        <w:t xml:space="preserve"> by the model:</w:t>
      </w:r>
    </w:p>
    <w:p w14:paraId="00000183">
      <w:pPr>
        <w:pStyle w:val="ListParagraph"/>
        <w:spacing w:before="180" w:after="180" w:line="480" w:lineRule="auto"/>
        <w:ind w:left="1440"/>
        <w:jc w:val="left"/>
        <w:rPr>
          <w:lang w:val="en-US"/>
        </w:rPr>
      </w:pPr>
    </w:p>
    <w:p w14:paraId="00000184">
      <w:pPr>
        <w:pStyle w:val="ListParagraph"/>
        <w:numPr>
          <w:ilvl w:val="1"/>
          <w:numId w:val="20"/>
        </w:numPr>
        <w:spacing w:before="180" w:after="180" w:line="480" w:lineRule="auto"/>
        <w:jc w:val="left"/>
        <w:rPr>
          <w:lang w:val="en-US"/>
        </w:rPr>
      </w:pPr>
      <w:r>
        <w:rPr>
          <w:lang w:val="en-US"/>
        </w:rPr>
        <w:t xml:space="preserve">Work-Life Balance: Talk on how to manage overtime or offer compensatory time off. </w:t>
      </w:r>
    </w:p>
    <w:p w14:paraId="00000185">
      <w:pPr>
        <w:pStyle w:val="ListParagraph"/>
        <w:spacing w:before="180" w:after="180" w:line="480" w:lineRule="auto"/>
        <w:ind w:left="1440"/>
        <w:jc w:val="left"/>
        <w:rPr>
          <w:lang w:val="en-US"/>
        </w:rPr>
      </w:pPr>
    </w:p>
    <w:p w14:paraId="00000186">
      <w:pPr>
        <w:pStyle w:val="ListParagraph"/>
        <w:numPr>
          <w:ilvl w:val="1"/>
          <w:numId w:val="20"/>
        </w:numPr>
        <w:spacing w:before="180" w:after="180" w:line="480" w:lineRule="auto"/>
        <w:jc w:val="left"/>
        <w:rPr>
          <w:lang w:val="en-US"/>
        </w:rPr>
      </w:pPr>
      <w:r>
        <w:rPr>
          <w:lang w:val="en-US"/>
        </w:rPr>
        <w:t>Career Pathing: Evaluating the “Fit” of where an employee works now and their future career ambitions.</w:t>
      </w:r>
    </w:p>
    <w:p w14:paraId="00000187">
      <w:pPr>
        <w:pStyle w:val="ListParagraph"/>
        <w:spacing w:before="180" w:after="180" w:line="480" w:lineRule="auto"/>
        <w:ind w:left="720"/>
        <w:jc w:val="left"/>
        <w:rPr>
          <w:lang w:val="en-US"/>
        </w:rPr>
      </w:pPr>
    </w:p>
    <w:p w14:paraId="00000188">
      <w:pPr>
        <w:pStyle w:val="ListParagraph"/>
        <w:numPr>
          <w:ilvl w:val="0"/>
          <w:numId w:val="20"/>
        </w:numPr>
        <w:spacing w:before="180" w:after="180" w:line="480" w:lineRule="auto"/>
        <w:jc w:val="left"/>
        <w:rPr>
          <w:lang w:val="en-US"/>
        </w:rPr>
      </w:pPr>
      <w:r>
        <w:rPr>
          <w:rFonts w:ascii="Times New Roman" w:cs="Times New Roman" w:eastAsia="Times New Roman" w:hAnsi="Times New Roman"/>
          <w:sz w:val="24"/>
          <w:szCs w:val="24"/>
          <w:lang w:val="en-US"/>
        </w:rPr>
        <w:t>Days</w:t>
      </w:r>
      <w:r>
        <w:rPr>
          <w:rFonts w:ascii="Times New Roman" w:cs="Times New Roman" w:eastAsia="Times New Roman" w:hAnsi="Times New Roman"/>
          <w:sz w:val="24"/>
          <w:szCs w:val="24"/>
          <w:lang w:val="en-US"/>
        </w:rPr>
        <w:t xml:space="preserve"> 76–90 (</w:t>
      </w:r>
      <w:r>
        <w:rPr>
          <w:rFonts w:ascii="Times New Roman" w:cs="Times New Roman" w:eastAsia="Times New Roman" w:hAnsi="Times New Roman"/>
          <w:sz w:val="24"/>
          <w:szCs w:val="24"/>
          <w:lang w:val="en-US"/>
        </w:rPr>
        <w:t>Validation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first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quarter</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of</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turnover</w:t>
      </w:r>
      <w:r>
        <w:rPr>
          <w:rFonts w:ascii="Times New Roman" w:cs="Times New Roman" w:eastAsia="Times New Roman" w:hAnsi="Times New Roman"/>
          <w:sz w:val="24"/>
          <w:szCs w:val="24"/>
          <w:lang w:val="en-US"/>
        </w:rPr>
        <w:t xml:space="preserve"> data </w:t>
      </w:r>
      <w:r>
        <w:rPr>
          <w:rFonts w:ascii="Times New Roman" w:cs="Times New Roman" w:eastAsia="Times New Roman" w:hAnsi="Times New Roman"/>
          <w:sz w:val="24"/>
          <w:szCs w:val="24"/>
          <w:lang w:val="en-US"/>
        </w:rPr>
        <w:t>will</w:t>
      </w:r>
      <w:r>
        <w:rPr>
          <w:rFonts w:ascii="Times New Roman" w:cs="Times New Roman" w:eastAsia="Times New Roman" w:hAnsi="Times New Roman"/>
          <w:sz w:val="24"/>
          <w:szCs w:val="24"/>
          <w:lang w:val="en-US"/>
        </w:rPr>
        <w:t xml:space="preserve"> be </w:t>
      </w:r>
      <w:r>
        <w:rPr>
          <w:rFonts w:ascii="Times New Roman" w:cs="Times New Roman" w:eastAsia="Times New Roman" w:hAnsi="Times New Roman"/>
          <w:sz w:val="24"/>
          <w:szCs w:val="24"/>
          <w:lang w:val="en-US"/>
        </w:rPr>
        <w:t>compared</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against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model’s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predictions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to</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calculate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initial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Return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on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Investment</w:t>
      </w:r>
      <w:r>
        <w:rPr>
          <w:rFonts w:ascii="Times New Roman" w:cs="Times New Roman" w:eastAsia="Times New Roman" w:hAnsi="Times New Roman"/>
          <w:sz w:val="24"/>
          <w:szCs w:val="24"/>
          <w:lang w:val="en-US"/>
        </w:rPr>
        <w:t xml:space="preserve"> (ROI) and </w:t>
      </w:r>
      <w:r>
        <w:rPr>
          <w:rFonts w:ascii="Times New Roman" w:cs="Times New Roman" w:eastAsia="Times New Roman" w:hAnsi="Times New Roman"/>
          <w:sz w:val="24"/>
          <w:szCs w:val="24"/>
          <w:lang w:val="en-US"/>
        </w:rPr>
        <w:t>identify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any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Model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Drift</w:t>
      </w:r>
      <w:r>
        <w:rPr>
          <w:rFonts w:ascii="Times New Roman" w:cs="Times New Roman" w:eastAsia="Times New Roman" w:hAnsi="Times New Roman"/>
          <w:sz w:val="24"/>
          <w:szCs w:val="24"/>
          <w:lang w:val="en-US"/>
        </w:rPr>
        <w:t>."</w:t>
      </w:r>
    </w:p>
    <w:tbl>
      <w:tblPr>
        <w:tblStyle w:val="NormalTable"/>
        <w:bidiVisual w:val="off"/>
        <w:tblW w:w="0" w:type="auto"/>
        <w:tblLook w:val="06A0"/>
      </w:tblPr>
      <w:tblGrid>
        <w:gridCol w:w="1448"/>
        <w:gridCol w:w="968"/>
        <w:gridCol w:w="3229"/>
      </w:tblGrid>
      <w:tr>
        <w:trPr>
          <w:trHeight w:val="300"/>
        </w:trPr>
        <w:tc>
          <w:tcPr>
            <w:cnfStyle w:val="101000000000"/>
            <w:tcW w:w="139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89">
            <w:pPr>
              <w:spacing w:before="0" w:after="0"/>
              <w:rPr/>
            </w:pPr>
            <w:r>
              <w:rPr>
                <w:b/>
                <w:bCs/>
                <w:color w:val="1f1f1f"/>
              </w:rPr>
              <w:t>Phase</w:t>
            </w:r>
          </w:p>
        </w:tc>
        <w:tc>
          <w:tcPr>
            <w:cnfStyle w:val="100000000000"/>
            <w:tcW w:w="867"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8A">
            <w:pPr>
              <w:spacing w:before="0" w:after="0"/>
              <w:rPr/>
            </w:pPr>
            <w:r>
              <w:rPr>
                <w:b/>
                <w:bCs/>
                <w:color w:val="1f1f1f"/>
              </w:rPr>
              <w:t>Weeks</w:t>
            </w:r>
          </w:p>
        </w:tc>
        <w:tc>
          <w:tcPr>
            <w:cnfStyle w:val="100000000000"/>
            <w:tcW w:w="3229" w:type="dxa"/>
            <w:tcBorders>
              <w:top w:val="single" w:sz="6" w:space="0"/>
              <w:left w:val="single" w:sz="6" w:space="0"/>
              <w:bottom w:val="single" w:sz="6" w:space="0"/>
              <w:right w:val="single" w:sz="6" w:space="0"/>
            </w:tcBorders>
            <w:shd w:val="clear" w:color="auto" w:fill="efefef"/>
            <w:tcMar>
              <w:top w:w="240" w:type="dxa"/>
              <w:bottom w:w="240" w:type="dxa"/>
            </w:tcMar>
            <w:vAlign w:val="center"/>
          </w:tcPr>
          <w:p w14:paraId="0000018B">
            <w:pPr>
              <w:spacing w:before="0" w:after="0"/>
              <w:rPr/>
            </w:pPr>
            <w:r>
              <w:rPr>
                <w:b/>
                <w:bCs/>
                <w:color w:val="1f1f1f"/>
              </w:rPr>
              <w:t>Key Milestone</w:t>
            </w:r>
          </w:p>
        </w:tc>
      </w:tr>
      <w:tr>
        <w:trPr>
          <w:trHeight w:val="300"/>
        </w:trPr>
        <w:tc>
          <w:tcPr>
            <w:cnfStyle w:val="001000000000"/>
            <w:tcW w:w="1390" w:type="dxa"/>
            <w:tcBorders>
              <w:top w:val="single" w:sz="6" w:space="0"/>
              <w:left w:val="single" w:sz="6" w:space="0"/>
              <w:bottom w:val="single" w:sz="6" w:space="0"/>
              <w:right w:val="single" w:sz="6" w:space="0"/>
            </w:tcBorders>
            <w:tcMar>
              <w:top w:w="240" w:type="dxa"/>
              <w:bottom w:w="240" w:type="dxa"/>
              <w:right w:w="180" w:type="dxa"/>
            </w:tcMar>
            <w:vAlign w:val="center"/>
          </w:tcPr>
          <w:p w14:paraId="0000018C">
            <w:pPr>
              <w:spacing w:before="0" w:after="0"/>
              <w:rPr/>
            </w:pPr>
            <w:r>
              <w:rPr>
                <w:b/>
                <w:bCs/>
                <w:color w:val="1f1f1f"/>
              </w:rPr>
              <w:t>I: Integration</w:t>
            </w:r>
          </w:p>
        </w:tc>
        <w:tc>
          <w:tcPr>
            <w:cnfStyle w:val="000000000000"/>
            <w:tcW w:w="867" w:type="dxa"/>
            <w:tcBorders>
              <w:top w:val="single" w:sz="6" w:space="0"/>
              <w:left w:val="single" w:sz="6" w:space="0"/>
              <w:bottom w:val="single" w:sz="6" w:space="0"/>
              <w:right w:val="single" w:sz="6" w:space="0"/>
            </w:tcBorders>
            <w:tcMar>
              <w:top w:w="240" w:type="dxa"/>
              <w:bottom w:w="240" w:type="dxa"/>
              <w:right w:w="180" w:type="dxa"/>
            </w:tcMar>
            <w:vAlign w:val="center"/>
          </w:tcPr>
          <w:p w14:paraId="0000018D">
            <w:pPr>
              <w:spacing w:before="0" w:after="0"/>
              <w:rPr/>
            </w:pPr>
            <w:r>
              <w:rPr>
                <w:color w:val="1f1f1f"/>
              </w:rPr>
              <w:t>1–4</w:t>
            </w:r>
          </w:p>
        </w:tc>
        <w:tc>
          <w:tcPr>
            <w:cnfStyle w:val="000000000000"/>
            <w:tcW w:w="3229" w:type="dxa"/>
            <w:tcBorders>
              <w:top w:val="single" w:sz="6" w:space="0"/>
              <w:left w:val="single" w:sz="6" w:space="0"/>
              <w:bottom w:val="single" w:sz="6" w:space="0"/>
              <w:right w:val="single" w:sz="6" w:space="0"/>
            </w:tcBorders>
            <w:tcMar>
              <w:top w:w="240" w:type="dxa"/>
              <w:bottom w:w="240" w:type="dxa"/>
            </w:tcMar>
            <w:vAlign w:val="center"/>
          </w:tcPr>
          <w:p w14:paraId="0000018E">
            <w:pPr>
              <w:spacing w:before="0" w:after="0"/>
              <w:rPr/>
            </w:pPr>
            <w:r>
              <w:rPr>
                <w:color w:val="1f1f1f"/>
              </w:rPr>
              <w:t>HRBP Training &amp; Dashboard Launch</w:t>
            </w:r>
          </w:p>
        </w:tc>
      </w:tr>
      <w:tr>
        <w:trPr>
          <w:trHeight w:val="300"/>
        </w:trPr>
        <w:tc>
          <w:tcPr>
            <w:cnfStyle w:val="001000000000"/>
            <w:tcW w:w="1390" w:type="dxa"/>
            <w:tcBorders>
              <w:top w:val="single" w:sz="6" w:space="0"/>
              <w:left w:val="single" w:sz="6" w:space="0"/>
              <w:bottom w:val="single" w:sz="6" w:space="0"/>
              <w:right w:val="single" w:sz="6" w:space="0"/>
            </w:tcBorders>
            <w:tcMar>
              <w:top w:w="240" w:type="dxa"/>
              <w:bottom w:w="240" w:type="dxa"/>
              <w:right w:w="180" w:type="dxa"/>
            </w:tcMar>
            <w:vAlign w:val="center"/>
          </w:tcPr>
          <w:p w14:paraId="0000018F">
            <w:pPr>
              <w:spacing w:before="0" w:after="0"/>
              <w:rPr/>
            </w:pPr>
            <w:r>
              <w:rPr>
                <w:b/>
                <w:bCs/>
                <w:color w:val="1f1f1f"/>
              </w:rPr>
              <w:t>II: Pilot</w:t>
            </w:r>
          </w:p>
        </w:tc>
        <w:tc>
          <w:tcPr>
            <w:cnfStyle w:val="000000000000"/>
            <w:tcW w:w="867" w:type="dxa"/>
            <w:tcBorders>
              <w:top w:val="single" w:sz="6" w:space="0"/>
              <w:left w:val="single" w:sz="6" w:space="0"/>
              <w:bottom w:val="single" w:sz="6" w:space="0"/>
              <w:right w:val="single" w:sz="6" w:space="0"/>
            </w:tcBorders>
            <w:tcMar>
              <w:top w:w="240" w:type="dxa"/>
              <w:bottom w:w="240" w:type="dxa"/>
              <w:right w:w="180" w:type="dxa"/>
            </w:tcMar>
            <w:vAlign w:val="center"/>
          </w:tcPr>
          <w:p w14:paraId="00000190">
            <w:pPr>
              <w:spacing w:before="0" w:after="0"/>
              <w:rPr/>
            </w:pPr>
            <w:r>
              <w:rPr>
                <w:color w:val="1f1f1f"/>
              </w:rPr>
              <w:t>5–8</w:t>
            </w:r>
          </w:p>
        </w:tc>
        <w:tc>
          <w:tcPr>
            <w:cnfStyle w:val="000000000000"/>
            <w:tcW w:w="3229" w:type="dxa"/>
            <w:tcBorders>
              <w:top w:val="single" w:sz="6" w:space="0"/>
              <w:left w:val="single" w:sz="6" w:space="0"/>
              <w:bottom w:val="single" w:sz="6" w:space="0"/>
              <w:right w:val="single" w:sz="6" w:space="0"/>
            </w:tcBorders>
            <w:tcMar>
              <w:top w:w="240" w:type="dxa"/>
              <w:bottom w:w="240" w:type="dxa"/>
            </w:tcMar>
            <w:vAlign w:val="center"/>
          </w:tcPr>
          <w:p w14:paraId="00000191">
            <w:pPr>
              <w:spacing w:before="0" w:after="0"/>
              <w:rPr/>
            </w:pPr>
            <w:r>
              <w:rPr>
                <w:color w:val="1f1f1f"/>
              </w:rPr>
              <w:t>Inaugural "Stay Interview" Cycle</w:t>
            </w:r>
          </w:p>
        </w:tc>
      </w:tr>
      <w:tr>
        <w:trPr>
          <w:trHeight w:val="300"/>
        </w:trPr>
        <w:tc>
          <w:tcPr>
            <w:cnfStyle w:val="001000000000"/>
            <w:tcW w:w="1390" w:type="dxa"/>
            <w:tcBorders>
              <w:top w:val="single" w:sz="6" w:space="0"/>
              <w:left w:val="single" w:sz="6" w:space="0"/>
              <w:bottom w:val="single" w:sz="6" w:space="0"/>
              <w:right w:val="single" w:sz="6" w:space="0"/>
            </w:tcBorders>
            <w:tcMar>
              <w:top w:w="240" w:type="dxa"/>
              <w:bottom w:w="240" w:type="dxa"/>
              <w:right w:w="180" w:type="dxa"/>
            </w:tcMar>
            <w:vAlign w:val="center"/>
          </w:tcPr>
          <w:p w14:paraId="00000192">
            <w:pPr>
              <w:spacing w:before="0" w:after="0"/>
              <w:rPr/>
            </w:pPr>
            <w:r>
              <w:rPr>
                <w:b/>
                <w:bCs/>
                <w:color w:val="1f1f1f"/>
              </w:rPr>
              <w:t>III: Review</w:t>
            </w:r>
          </w:p>
        </w:tc>
        <w:tc>
          <w:tcPr>
            <w:cnfStyle w:val="000000000000"/>
            <w:tcW w:w="867" w:type="dxa"/>
            <w:tcBorders>
              <w:top w:val="single" w:sz="6" w:space="0"/>
              <w:left w:val="single" w:sz="6" w:space="0"/>
              <w:bottom w:val="single" w:sz="6" w:space="0"/>
              <w:right w:val="single" w:sz="6" w:space="0"/>
            </w:tcBorders>
            <w:tcMar>
              <w:top w:w="240" w:type="dxa"/>
              <w:bottom w:w="240" w:type="dxa"/>
              <w:right w:w="180" w:type="dxa"/>
            </w:tcMar>
            <w:vAlign w:val="center"/>
          </w:tcPr>
          <w:p w14:paraId="00000193">
            <w:pPr>
              <w:spacing w:before="0" w:after="0"/>
              <w:rPr/>
            </w:pPr>
            <w:r>
              <w:rPr>
                <w:color w:val="1f1f1f"/>
              </w:rPr>
              <w:t>9–12</w:t>
            </w:r>
          </w:p>
        </w:tc>
        <w:tc>
          <w:tcPr>
            <w:cnfStyle w:val="000000000000"/>
            <w:tcW w:w="3229" w:type="dxa"/>
            <w:tcBorders>
              <w:top w:val="single" w:sz="6" w:space="0"/>
              <w:left w:val="single" w:sz="6" w:space="0"/>
              <w:bottom w:val="single" w:sz="6" w:space="0"/>
              <w:right w:val="single" w:sz="6" w:space="0"/>
            </w:tcBorders>
            <w:tcMar>
              <w:top w:w="240" w:type="dxa"/>
              <w:bottom w:w="240" w:type="dxa"/>
            </w:tcMar>
            <w:vAlign w:val="center"/>
          </w:tcPr>
          <w:p w14:paraId="00000194">
            <w:pPr>
              <w:spacing w:before="0" w:after="0"/>
              <w:rPr/>
            </w:pPr>
            <w:r>
              <w:rPr>
                <w:color w:val="1f1f1f"/>
              </w:rPr>
              <w:t>First ROI &amp; Bias Audit Report</w:t>
            </w:r>
          </w:p>
        </w:tc>
      </w:tr>
    </w:tbl>
    <w:p w14:paraId="00000195">
      <w:pPr>
        <w:spacing w:before="180" w:after="180" w:line="480" w:lineRule="auto"/>
        <w:jc w:val="left"/>
        <w:rPr>
          <w:rFonts w:ascii="Times New Roman" w:cs="Times New Roman" w:eastAsia="Times New Roman" w:hAnsi="Times New Roman"/>
          <w:sz w:val="24"/>
          <w:szCs w:val="24"/>
          <w:lang w:val="es-ES"/>
        </w:rPr>
      </w:pPr>
    </w:p>
    <w:p w14:paraId="00000196">
      <w:pPr>
        <w:spacing w:before="180" w:after="180" w:line="480" w:lineRule="auto"/>
        <w:jc w:val="left"/>
        <w:rPr>
          <w:rFonts w:ascii="Times New Roman" w:cs="Times New Roman" w:eastAsia="Times New Roman" w:hAnsi="Times New Roman"/>
          <w:i/>
          <w:iCs/>
          <w:sz w:val="36"/>
          <w:szCs w:val="36"/>
          <w:u w:val="single"/>
          <w:lang w:val="es-ES"/>
        </w:rPr>
      </w:pPr>
      <w:r>
        <w:rPr>
          <w:rFonts w:ascii="Times New Roman" w:cs="Times New Roman" w:eastAsia="Times New Roman" w:hAnsi="Times New Roman"/>
          <w:i/>
          <w:iCs/>
          <w:sz w:val="36"/>
          <w:szCs w:val="36"/>
          <w:u w:val="single"/>
          <w:lang w:val="es-ES"/>
        </w:rPr>
        <w:t xml:space="preserve">8.4 </w:t>
      </w:r>
      <w:r>
        <w:rPr>
          <w:rFonts w:ascii="Times New Roman" w:cs="Times New Roman" w:eastAsia="Times New Roman" w:hAnsi="Times New Roman"/>
          <w:i/>
          <w:iCs/>
          <w:sz w:val="36"/>
          <w:szCs w:val="36"/>
          <w:u w:val="single"/>
          <w:lang w:val="es-ES"/>
        </w:rPr>
        <w:t>Addressing</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the</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Contagion</w:t>
      </w:r>
      <w:r>
        <w:rPr>
          <w:rFonts w:ascii="Times New Roman" w:cs="Times New Roman" w:eastAsia="Times New Roman" w:hAnsi="Times New Roman"/>
          <w:i/>
          <w:iCs/>
          <w:sz w:val="36"/>
          <w:szCs w:val="36"/>
          <w:u w:val="single"/>
          <w:lang w:val="es-ES"/>
        </w:rPr>
        <w:t xml:space="preserve"> </w:t>
      </w:r>
      <w:r>
        <w:rPr>
          <w:rFonts w:ascii="Times New Roman" w:cs="Times New Roman" w:eastAsia="Times New Roman" w:hAnsi="Times New Roman"/>
          <w:i/>
          <w:iCs/>
          <w:sz w:val="36"/>
          <w:szCs w:val="36"/>
          <w:u w:val="single"/>
          <w:lang w:val="es-ES"/>
        </w:rPr>
        <w:t>Effect</w:t>
      </w:r>
      <w:r>
        <w:rPr>
          <w:rFonts w:ascii="Times New Roman" w:cs="Times New Roman" w:eastAsia="Times New Roman" w:hAnsi="Times New Roman"/>
          <w:i/>
          <w:iCs/>
          <w:sz w:val="36"/>
          <w:szCs w:val="36"/>
          <w:u w:val="single"/>
          <w:lang w:val="es-ES"/>
        </w:rPr>
        <w:t>"</w:t>
      </w:r>
    </w:p>
    <w:p w14:paraId="00000197">
      <w:pPr>
        <w:spacing w:before="180" w:after="180" w:line="480" w:lineRule="auto"/>
        <w:ind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 secondary, yet vital, benefit of this proposed solution is its impact on broader organizational psychology. The “Contagion Effect” will be automatically addressed by TechCorp if the senior developer positions can be effectively stabilized through the EWD and stay interviews. Because junior and mid-level employees will observe the company taking tangible action to address burnout and career stagnation among its leaders, this visibility will strengthen the “Fit” and “Links” principles within the entire engineering workforce, halting secondary waves of attrition.</w:t>
      </w:r>
    </w:p>
    <w:p w14:paraId="00000198">
      <w:pPr>
        <w:spacing w:before="180" w:after="180" w:line="480" w:lineRule="auto"/>
        <w:jc w:val="left"/>
        <w:rPr>
          <w:rFonts w:ascii="Times New Roman" w:cs="Times New Roman" w:eastAsia="Times New Roman" w:hAnsi="Times New Roman"/>
          <w:sz w:val="24"/>
          <w:szCs w:val="24"/>
          <w:lang w:val="es-ES"/>
        </w:rPr>
      </w:pPr>
    </w:p>
    <w:p w14:paraId="00000199">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8.5 </w:t>
      </w:r>
      <w:r>
        <w:rPr>
          <w:rFonts w:ascii="Times New Roman" w:cs="Times New Roman" w:eastAsia="Times New Roman" w:hAnsi="Times New Roman"/>
          <w:i/>
          <w:iCs/>
          <w:sz w:val="36"/>
          <w:szCs w:val="36"/>
          <w:u w:val="single"/>
          <w:lang w:val="en-US"/>
        </w:rPr>
        <w:t>Financial</w:t>
      </w:r>
      <w:r>
        <w:rPr>
          <w:rFonts w:ascii="Times New Roman" w:cs="Times New Roman" w:eastAsia="Times New Roman" w:hAnsi="Times New Roman"/>
          <w:i/>
          <w:iCs/>
          <w:sz w:val="36"/>
          <w:szCs w:val="36"/>
          <w:u w:val="single"/>
          <w:lang w:val="en-US"/>
        </w:rPr>
        <w:t xml:space="preserve"> </w:t>
      </w:r>
      <w:r>
        <w:rPr>
          <w:rFonts w:ascii="Times New Roman" w:cs="Times New Roman" w:eastAsia="Times New Roman" w:hAnsi="Times New Roman"/>
          <w:i/>
          <w:iCs/>
          <w:sz w:val="36"/>
          <w:szCs w:val="36"/>
          <w:u w:val="single"/>
          <w:lang w:val="en-US"/>
        </w:rPr>
        <w:t>Justification</w:t>
      </w:r>
      <w:r>
        <w:rPr>
          <w:rFonts w:ascii="Times New Roman" w:cs="Times New Roman" w:eastAsia="Times New Roman" w:hAnsi="Times New Roman"/>
          <w:i/>
          <w:iCs/>
          <w:sz w:val="36"/>
          <w:szCs w:val="36"/>
          <w:u w:val="single"/>
          <w:lang w:val="en-US"/>
        </w:rPr>
        <w:t xml:space="preserve"> (ROI)</w:t>
      </w:r>
    </w:p>
    <w:p w14:paraId="0000019A">
      <w:pPr>
        <w:spacing w:before="180" w:after="180" w:line="480" w:lineRule="auto"/>
        <w:ind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By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identifying</w:t>
      </w:r>
      <w:r>
        <w:rPr>
          <w:rFonts w:ascii="Times New Roman" w:cs="Times New Roman" w:eastAsia="Times New Roman" w:hAnsi="Times New Roman"/>
          <w:sz w:val="24"/>
          <w:szCs w:val="24"/>
          <w:lang w:val="en-US"/>
        </w:rPr>
        <w:t xml:space="preserve"> 66% </w:t>
      </w:r>
      <w:r>
        <w:rPr>
          <w:rFonts w:ascii="Times New Roman" w:cs="Times New Roman" w:eastAsia="Times New Roman" w:hAnsi="Times New Roman"/>
          <w:sz w:val="24"/>
          <w:szCs w:val="24"/>
          <w:lang w:val="en-US"/>
        </w:rPr>
        <w:t>of</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potential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leavers</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has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opportunity</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to</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prevent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roughly</w:t>
      </w:r>
      <w:r>
        <w:rPr>
          <w:rFonts w:ascii="Times New Roman" w:cs="Times New Roman" w:eastAsia="Times New Roman" w:hAnsi="Times New Roman"/>
          <w:sz w:val="24"/>
          <w:szCs w:val="24"/>
          <w:lang w:val="en-US"/>
        </w:rPr>
        <w:t xml:space="preserve"> $19.8 </w:t>
      </w:r>
      <w:r>
        <w:rPr>
          <w:rFonts w:ascii="Times New Roman" w:cs="Times New Roman" w:eastAsia="Times New Roman" w:hAnsi="Times New Roman"/>
          <w:sz w:val="24"/>
          <w:szCs w:val="24"/>
          <w:lang w:val="en-US"/>
        </w:rPr>
        <w:t>million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of</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the</w:t>
      </w:r>
      <w:r>
        <w:rPr>
          <w:rFonts w:ascii="Times New Roman" w:cs="Times New Roman" w:eastAsia="Times New Roman" w:hAnsi="Times New Roman"/>
          <w:sz w:val="24"/>
          <w:szCs w:val="24"/>
          <w:lang w:val="en-US"/>
        </w:rPr>
        <w:t xml:space="preserve"> $30 </w:t>
      </w:r>
      <w:r>
        <w:rPr>
          <w:rFonts w:ascii="Times New Roman" w:cs="Times New Roman" w:eastAsia="Times New Roman" w:hAnsi="Times New Roman"/>
          <w:sz w:val="24"/>
          <w:szCs w:val="24"/>
          <w:lang w:val="en-US"/>
        </w:rPr>
        <w:t>million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annual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risk</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assuming</w:t>
      </w:r>
      <w:r>
        <w:rPr>
          <w:rFonts w:ascii="Times New Roman" w:cs="Times New Roman" w:eastAsia="Times New Roman" w:hAnsi="Times New Roman"/>
          <w:sz w:val="24"/>
          <w:szCs w:val="24"/>
          <w:lang w:val="en-US"/>
        </w:rPr>
        <w:t xml:space="preserve"> a </w:t>
      </w:r>
      <w:r>
        <w:rPr>
          <w:rFonts w:ascii="Times New Roman" w:cs="Times New Roman" w:eastAsia="Times New Roman" w:hAnsi="Times New Roman"/>
          <w:sz w:val="24"/>
          <w:szCs w:val="24"/>
          <w:lang w:val="en-US"/>
        </w:rPr>
        <w:t>successful</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intervention</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rate</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of</w:t>
      </w:r>
      <w:r>
        <w:rPr>
          <w:rFonts w:ascii="Times New Roman" w:cs="Times New Roman" w:eastAsia="Times New Roman" w:hAnsi="Times New Roman"/>
          <w:sz w:val="24"/>
          <w:szCs w:val="24"/>
          <w:lang w:val="en-US"/>
        </w:rPr>
        <w:t xml:space="preserve"> 50% </w:t>
      </w:r>
      <w:r>
        <w:rPr>
          <w:rFonts w:ascii="Times New Roman" w:cs="Times New Roman" w:eastAsia="Times New Roman" w:hAnsi="Times New Roman"/>
          <w:sz w:val="24"/>
          <w:szCs w:val="24"/>
          <w:lang w:val="en-US"/>
        </w:rPr>
        <w:t>for</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flagged</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individuals</w:t>
      </w:r>
      <w:r>
        <w:rPr>
          <w:rFonts w:ascii="Times New Roman" w:cs="Times New Roman" w:eastAsia="Times New Roman" w:hAnsi="Times New Roman"/>
          <w:sz w:val="24"/>
          <w:szCs w:val="24"/>
          <w:lang w:val="en-US"/>
        </w:rPr>
        <w:t>).</w:t>
      </w:r>
      <w:r>
        <w:rPr>
          <w:rFonts w:ascii="Times New Roman" w:cs="Times New Roman" w:eastAsia="Times New Roman" w:hAnsi="Times New Roman"/>
          <w:sz w:val="24"/>
          <w:szCs w:val="24"/>
          <w:lang w:val="en-US"/>
        </w:rPr>
        <w:t xml:space="preserve"> The costs associated with the </w:t>
      </w:r>
      <w:r>
        <w:rPr>
          <w:rFonts w:ascii="Times New Roman" w:cs="Times New Roman" w:eastAsia="Times New Roman" w:hAnsi="Times New Roman"/>
          <w:sz w:val="24"/>
          <w:szCs w:val="24"/>
          <w:lang w:val="en-US"/>
        </w:rPr>
        <w:t>EWD</w:t>
      </w:r>
      <w:r>
        <w:rPr>
          <w:rFonts w:ascii="Times New Roman" w:cs="Times New Roman" w:eastAsia="Times New Roman" w:hAnsi="Times New Roman"/>
          <w:sz w:val="24"/>
          <w:szCs w:val="24"/>
          <w:lang w:val="en-US"/>
        </w:rPr>
        <w:t xml:space="preserve"> and management training will be under $500,000; that is, a huge return on investment.</w:t>
      </w:r>
    </w:p>
    <w:tbl>
      <w:tblPr>
        <w:tblStyle w:val="NormalTable"/>
        <w:bidiVisual w:val="off"/>
        <w:tblW w:w="0" w:type="auto"/>
        <w:tblLook w:val="06A0"/>
      </w:tblPr>
      <w:tblGrid>
        <w:gridCol w:w="1928"/>
        <w:gridCol w:w="2539"/>
        <w:gridCol w:w="2115"/>
        <w:gridCol w:w="2430"/>
      </w:tblGrid>
      <w:tr>
        <w:trPr>
          <w:trHeight w:val="300"/>
        </w:trPr>
        <w:tc>
          <w:tcPr>
            <w:cnfStyle w:val="101000000000"/>
            <w:tcW w:w="178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9B">
            <w:pPr>
              <w:spacing w:before="0" w:after="0"/>
              <w:rPr/>
            </w:pPr>
            <w:r>
              <w:rPr>
                <w:b/>
                <w:bCs/>
                <w:color w:val="1f1f1f"/>
              </w:rPr>
              <w:t>Category</w:t>
            </w:r>
          </w:p>
        </w:tc>
        <w:tc>
          <w:tcPr>
            <w:cnfStyle w:val="100000000000"/>
            <w:tcW w:w="2988"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9C">
            <w:pPr>
              <w:spacing w:before="0" w:after="0"/>
              <w:rPr/>
            </w:pPr>
            <w:r>
              <w:rPr>
                <w:b/>
                <w:bCs/>
                <w:color w:val="1f1f1f"/>
              </w:rPr>
              <w:t>Unit / Metric</w:t>
            </w:r>
          </w:p>
        </w:tc>
        <w:tc>
          <w:tcPr>
            <w:cnfStyle w:val="100000000000"/>
            <w:tcW w:w="249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19D">
            <w:pPr>
              <w:spacing w:before="0" w:after="0"/>
              <w:rPr/>
            </w:pPr>
            <w:r>
              <w:rPr>
                <w:b/>
                <w:bCs/>
                <w:color w:val="1f1f1f"/>
              </w:rPr>
              <w:t>Cost of Inaction (Status Quo)</w:t>
            </w:r>
          </w:p>
        </w:tc>
        <w:tc>
          <w:tcPr>
            <w:cnfStyle w:val="100000000000"/>
            <w:tcW w:w="2860" w:type="dxa"/>
            <w:tcBorders>
              <w:top w:val="single" w:sz="6" w:space="0"/>
              <w:left w:val="single" w:sz="6" w:space="0"/>
              <w:bottom w:val="single" w:sz="6" w:space="0"/>
              <w:right w:val="single" w:sz="6" w:space="0"/>
            </w:tcBorders>
            <w:shd w:val="clear" w:color="auto" w:fill="efefef"/>
            <w:tcMar>
              <w:top w:w="240" w:type="dxa"/>
              <w:bottom w:w="240" w:type="dxa"/>
            </w:tcMar>
            <w:vAlign w:val="center"/>
          </w:tcPr>
          <w:p w14:paraId="0000019E">
            <w:pPr>
              <w:spacing w:before="0" w:after="0"/>
              <w:rPr/>
            </w:pPr>
            <w:r>
              <w:rPr>
                <w:b/>
                <w:bCs/>
                <w:color w:val="1f1f1f"/>
              </w:rPr>
              <w:t>Cost of Intervention (EWD Model)</w:t>
            </w:r>
          </w:p>
        </w:tc>
      </w:tr>
      <w:tr>
        <w:trPr>
          <w:trHeight w:val="300"/>
        </w:trPr>
        <w:tc>
          <w:tcPr>
            <w:cnfStyle w:val="001000000000"/>
            <w:tcW w:w="1780" w:type="dxa"/>
            <w:tcBorders>
              <w:top w:val="single" w:sz="6" w:space="0"/>
              <w:left w:val="single" w:sz="6" w:space="0"/>
              <w:bottom w:val="single" w:sz="6" w:space="0"/>
              <w:right w:val="single" w:sz="6" w:space="0"/>
            </w:tcBorders>
            <w:tcMar>
              <w:top w:w="240" w:type="dxa"/>
              <w:bottom w:w="240" w:type="dxa"/>
              <w:right w:w="180" w:type="dxa"/>
            </w:tcMar>
            <w:vAlign w:val="center"/>
          </w:tcPr>
          <w:p w14:paraId="0000019F">
            <w:pPr>
              <w:spacing w:before="0" w:after="0"/>
              <w:rPr/>
            </w:pPr>
            <w:r>
              <w:rPr>
                <w:b/>
                <w:bCs/>
                <w:color w:val="1f1f1f"/>
              </w:rPr>
              <w:t>Replacement Cost</w:t>
            </w:r>
          </w:p>
        </w:tc>
        <w:tc>
          <w:tcPr>
            <w:cnfStyle w:val="000000000000"/>
            <w:tcW w:w="2988" w:type="dxa"/>
            <w:tcBorders>
              <w:top w:val="single" w:sz="6" w:space="0"/>
              <w:left w:val="single" w:sz="6" w:space="0"/>
              <w:bottom w:val="single" w:sz="6" w:space="0"/>
              <w:right w:val="single" w:sz="6" w:space="0"/>
            </w:tcBorders>
            <w:tcMar>
              <w:top w:w="240" w:type="dxa"/>
              <w:bottom w:w="240" w:type="dxa"/>
              <w:right w:w="180" w:type="dxa"/>
            </w:tcMar>
            <w:vAlign w:val="center"/>
          </w:tcPr>
          <w:p w14:paraId="000001A0">
            <w:pPr>
              <w:spacing w:before="0" w:after="0"/>
              <w:rPr/>
            </w:pPr>
            <w:r>
              <w:rPr>
                <w:color w:val="1f1f1f"/>
              </w:rPr>
              <w:t>Senior Developer (Avg. $150k salary)</w:t>
            </w:r>
          </w:p>
        </w:tc>
        <w:tc>
          <w:tcPr>
            <w:cnfStyle w:val="000000000000"/>
            <w:tcW w:w="2490" w:type="dxa"/>
            <w:tcBorders>
              <w:top w:val="single" w:sz="6" w:space="0"/>
              <w:left w:val="single" w:sz="6" w:space="0"/>
              <w:bottom w:val="single" w:sz="6" w:space="0"/>
              <w:right w:val="single" w:sz="6" w:space="0"/>
            </w:tcBorders>
            <w:tcMar>
              <w:top w:w="240" w:type="dxa"/>
              <w:bottom w:w="240" w:type="dxa"/>
              <w:right w:w="180" w:type="dxa"/>
            </w:tcMar>
            <w:vAlign w:val="center"/>
          </w:tcPr>
          <w:p w14:paraId="000001A1">
            <w:pPr>
              <w:spacing w:before="0" w:after="0"/>
              <w:rPr/>
            </w:pPr>
            <w:r>
              <w:rPr>
                <w:b/>
                <w:bCs/>
                <w:color w:val="1f1f1f"/>
              </w:rPr>
              <w:t>$262,500</w:t>
            </w:r>
            <w:r>
              <w:rPr>
                <w:color w:val="1f1f1f"/>
              </w:rPr>
              <w:t xml:space="preserve"> (at 1.75x multiplier)</w:t>
            </w:r>
          </w:p>
        </w:tc>
        <w:tc>
          <w:tcPr>
            <w:cnfStyle w:val="000000000000"/>
            <w:tcW w:w="2860" w:type="dxa"/>
            <w:tcBorders>
              <w:top w:val="single" w:sz="6" w:space="0"/>
              <w:left w:val="single" w:sz="6" w:space="0"/>
              <w:bottom w:val="single" w:sz="6" w:space="0"/>
              <w:right w:val="single" w:sz="6" w:space="0"/>
            </w:tcBorders>
            <w:tcMar>
              <w:top w:w="240" w:type="dxa"/>
              <w:bottom w:w="240" w:type="dxa"/>
            </w:tcMar>
            <w:vAlign w:val="center"/>
          </w:tcPr>
          <w:p w14:paraId="000001A2">
            <w:pPr>
              <w:spacing w:before="0" w:after="0"/>
              <w:rPr/>
            </w:pPr>
            <w:r>
              <w:rPr>
                <w:b/>
                <w:bCs/>
                <w:color w:val="1f1f1f"/>
              </w:rPr>
              <w:t>$15,000</w:t>
            </w:r>
            <w:r>
              <w:rPr>
                <w:color w:val="1f1f1f"/>
              </w:rPr>
              <w:t xml:space="preserve"> (Retention Bonus/Training)</w:t>
            </w:r>
          </w:p>
        </w:tc>
      </w:tr>
      <w:tr>
        <w:trPr>
          <w:trHeight w:val="300"/>
        </w:trPr>
        <w:tc>
          <w:tcPr>
            <w:cnfStyle w:val="001000000000"/>
            <w:tcW w:w="1780" w:type="dxa"/>
            <w:tcBorders>
              <w:top w:val="single" w:sz="6" w:space="0"/>
              <w:left w:val="single" w:sz="6" w:space="0"/>
              <w:bottom w:val="single" w:sz="6" w:space="0"/>
              <w:right w:val="single" w:sz="6" w:space="0"/>
            </w:tcBorders>
            <w:tcMar>
              <w:top w:w="240" w:type="dxa"/>
              <w:bottom w:w="240" w:type="dxa"/>
              <w:right w:w="180" w:type="dxa"/>
            </w:tcMar>
            <w:vAlign w:val="center"/>
          </w:tcPr>
          <w:p w14:paraId="000001A3">
            <w:pPr>
              <w:spacing w:before="0" w:after="0"/>
              <w:rPr/>
            </w:pPr>
            <w:r>
              <w:rPr>
                <w:b/>
                <w:bCs/>
                <w:color w:val="1f1f1f"/>
              </w:rPr>
              <w:t>Productivity Loss</w:t>
            </w:r>
          </w:p>
        </w:tc>
        <w:tc>
          <w:tcPr>
            <w:cnfStyle w:val="000000000000"/>
            <w:tcW w:w="2988" w:type="dxa"/>
            <w:tcBorders>
              <w:top w:val="single" w:sz="6" w:space="0"/>
              <w:left w:val="single" w:sz="6" w:space="0"/>
              <w:bottom w:val="single" w:sz="6" w:space="0"/>
              <w:right w:val="single" w:sz="6" w:space="0"/>
            </w:tcBorders>
            <w:tcMar>
              <w:top w:w="240" w:type="dxa"/>
              <w:bottom w:w="240" w:type="dxa"/>
              <w:right w:w="180" w:type="dxa"/>
            </w:tcMar>
            <w:vAlign w:val="center"/>
          </w:tcPr>
          <w:p w14:paraId="000001A4">
            <w:pPr>
              <w:spacing w:before="0" w:after="0"/>
              <w:rPr/>
            </w:pPr>
            <w:r>
              <w:rPr>
                <w:color w:val="1f1f1f"/>
              </w:rPr>
              <w:t>4–6 months ramp-up time</w:t>
            </w:r>
          </w:p>
        </w:tc>
        <w:tc>
          <w:tcPr>
            <w:cnfStyle w:val="000000000000"/>
            <w:tcW w:w="2490" w:type="dxa"/>
            <w:tcBorders>
              <w:top w:val="single" w:sz="6" w:space="0"/>
              <w:left w:val="single" w:sz="6" w:space="0"/>
              <w:bottom w:val="single" w:sz="6" w:space="0"/>
              <w:right w:val="single" w:sz="6" w:space="0"/>
            </w:tcBorders>
            <w:tcMar>
              <w:top w:w="240" w:type="dxa"/>
              <w:bottom w:w="240" w:type="dxa"/>
              <w:right w:w="180" w:type="dxa"/>
            </w:tcMar>
            <w:vAlign w:val="center"/>
          </w:tcPr>
          <w:p w14:paraId="000001A5">
            <w:pPr>
              <w:spacing w:before="0" w:after="0"/>
              <w:rPr/>
            </w:pPr>
            <w:r>
              <w:rPr>
                <w:color w:val="1f1f1f"/>
              </w:rPr>
              <w:t>High (Project Delays)</w:t>
            </w:r>
          </w:p>
        </w:tc>
        <w:tc>
          <w:tcPr>
            <w:cnfStyle w:val="000000000000"/>
            <w:tcW w:w="2860" w:type="dxa"/>
            <w:tcBorders>
              <w:top w:val="single" w:sz="6" w:space="0"/>
              <w:left w:val="single" w:sz="6" w:space="0"/>
              <w:bottom w:val="single" w:sz="6" w:space="0"/>
              <w:right w:val="single" w:sz="6" w:space="0"/>
            </w:tcBorders>
            <w:tcMar>
              <w:top w:w="240" w:type="dxa"/>
              <w:bottom w:w="240" w:type="dxa"/>
            </w:tcMar>
            <w:vAlign w:val="center"/>
          </w:tcPr>
          <w:p w14:paraId="000001A6">
            <w:pPr>
              <w:spacing w:before="0" w:after="0"/>
              <w:rPr/>
            </w:pPr>
            <w:r>
              <w:rPr>
                <w:color w:val="1f1f1f"/>
              </w:rPr>
              <w:t>Low (Knowledge Retention)</w:t>
            </w:r>
          </w:p>
        </w:tc>
      </w:tr>
      <w:tr>
        <w:trPr>
          <w:trHeight w:val="300"/>
        </w:trPr>
        <w:tc>
          <w:tcPr>
            <w:cnfStyle w:val="001000000000"/>
            <w:tcW w:w="1780" w:type="dxa"/>
            <w:tcBorders>
              <w:top w:val="single" w:sz="6" w:space="0"/>
              <w:left w:val="single" w:sz="6" w:space="0"/>
              <w:bottom w:val="single" w:sz="6" w:space="0"/>
              <w:right w:val="single" w:sz="6" w:space="0"/>
            </w:tcBorders>
            <w:tcMar>
              <w:top w:w="240" w:type="dxa"/>
              <w:bottom w:w="240" w:type="dxa"/>
              <w:right w:w="180" w:type="dxa"/>
            </w:tcMar>
            <w:vAlign w:val="center"/>
          </w:tcPr>
          <w:p w14:paraId="000001A7">
            <w:pPr>
              <w:spacing w:before="0" w:after="0"/>
              <w:rPr/>
            </w:pPr>
            <w:r>
              <w:rPr>
                <w:b/>
                <w:bCs/>
                <w:color w:val="1f1f1f"/>
              </w:rPr>
              <w:t>Implementation Cost</w:t>
            </w:r>
          </w:p>
        </w:tc>
        <w:tc>
          <w:tcPr>
            <w:cnfStyle w:val="000000000000"/>
            <w:tcW w:w="2988" w:type="dxa"/>
            <w:tcBorders>
              <w:top w:val="single" w:sz="6" w:space="0"/>
              <w:left w:val="single" w:sz="6" w:space="0"/>
              <w:bottom w:val="single" w:sz="6" w:space="0"/>
              <w:right w:val="single" w:sz="6" w:space="0"/>
            </w:tcBorders>
            <w:tcMar>
              <w:top w:w="240" w:type="dxa"/>
              <w:bottom w:w="240" w:type="dxa"/>
              <w:right w:w="180" w:type="dxa"/>
            </w:tcMar>
            <w:vAlign w:val="center"/>
          </w:tcPr>
          <w:p w14:paraId="000001A8">
            <w:pPr>
              <w:spacing w:before="0" w:after="0"/>
              <w:rPr/>
            </w:pPr>
            <w:r>
              <w:rPr>
                <w:color w:val="1f1f1f"/>
              </w:rPr>
              <w:t>Model &amp; Dashboard Setup</w:t>
            </w:r>
          </w:p>
        </w:tc>
        <w:tc>
          <w:tcPr>
            <w:cnfStyle w:val="000000000000"/>
            <w:tcW w:w="2490" w:type="dxa"/>
            <w:tcBorders>
              <w:top w:val="single" w:sz="6" w:space="0"/>
              <w:left w:val="single" w:sz="6" w:space="0"/>
              <w:bottom w:val="single" w:sz="6" w:space="0"/>
              <w:right w:val="single" w:sz="6" w:space="0"/>
            </w:tcBorders>
            <w:tcMar>
              <w:top w:w="240" w:type="dxa"/>
              <w:bottom w:w="240" w:type="dxa"/>
              <w:right w:w="180" w:type="dxa"/>
            </w:tcMar>
            <w:vAlign w:val="center"/>
          </w:tcPr>
          <w:p w14:paraId="000001A9">
            <w:pPr>
              <w:spacing w:before="0" w:after="0"/>
              <w:rPr/>
            </w:pPr>
            <w:r>
              <w:rPr>
                <w:color w:val="1f1f1f"/>
              </w:rPr>
              <w:t>$0</w:t>
            </w:r>
          </w:p>
        </w:tc>
        <w:tc>
          <w:tcPr>
            <w:cnfStyle w:val="000000000000"/>
            <w:tcW w:w="2860" w:type="dxa"/>
            <w:tcBorders>
              <w:top w:val="single" w:sz="6" w:space="0"/>
              <w:left w:val="single" w:sz="6" w:space="0"/>
              <w:bottom w:val="single" w:sz="6" w:space="0"/>
              <w:right w:val="single" w:sz="6" w:space="0"/>
            </w:tcBorders>
            <w:tcMar>
              <w:top w:w="240" w:type="dxa"/>
              <w:bottom w:w="240" w:type="dxa"/>
            </w:tcMar>
            <w:vAlign w:val="center"/>
          </w:tcPr>
          <w:p w14:paraId="000001AA">
            <w:pPr>
              <w:spacing w:before="0" w:after="0"/>
              <w:rPr/>
            </w:pPr>
            <w:r>
              <w:rPr>
                <w:b/>
                <w:bCs/>
                <w:color w:val="1f1f1f"/>
              </w:rPr>
              <w:t>$500,000</w:t>
            </w:r>
            <w:r>
              <w:rPr>
                <w:color w:val="1f1f1f"/>
              </w:rPr>
              <w:t xml:space="preserve"> (One-time Capex)</w:t>
            </w:r>
          </w:p>
        </w:tc>
      </w:tr>
      <w:tr>
        <w:trPr>
          <w:trHeight w:val="300"/>
        </w:trPr>
        <w:tc>
          <w:tcPr>
            <w:cnfStyle w:val="001000000000"/>
            <w:tcW w:w="1780" w:type="dxa"/>
            <w:tcBorders>
              <w:top w:val="single" w:sz="6" w:space="0"/>
              <w:left w:val="single" w:sz="6" w:space="0"/>
              <w:bottom w:val="single" w:sz="6" w:space="0"/>
              <w:right w:val="single" w:sz="6" w:space="0"/>
            </w:tcBorders>
            <w:tcMar>
              <w:top w:w="240" w:type="dxa"/>
              <w:bottom w:w="240" w:type="dxa"/>
              <w:right w:w="180" w:type="dxa"/>
            </w:tcMar>
            <w:vAlign w:val="center"/>
          </w:tcPr>
          <w:p w14:paraId="000001AB">
            <w:pPr>
              <w:spacing w:before="0" w:after="0"/>
              <w:rPr/>
            </w:pPr>
            <w:r>
              <w:rPr>
                <w:b/>
                <w:bCs/>
                <w:color w:val="1f1f1f"/>
              </w:rPr>
              <w:t>Operational Scale</w:t>
            </w:r>
          </w:p>
        </w:tc>
        <w:tc>
          <w:tcPr>
            <w:cnfStyle w:val="000000000000"/>
            <w:tcW w:w="2988" w:type="dxa"/>
            <w:tcBorders>
              <w:top w:val="single" w:sz="6" w:space="0"/>
              <w:left w:val="single" w:sz="6" w:space="0"/>
              <w:bottom w:val="single" w:sz="6" w:space="0"/>
              <w:right w:val="single" w:sz="6" w:space="0"/>
            </w:tcBorders>
            <w:tcMar>
              <w:top w:w="240" w:type="dxa"/>
              <w:bottom w:w="240" w:type="dxa"/>
              <w:right w:w="180" w:type="dxa"/>
            </w:tcMar>
            <w:vAlign w:val="center"/>
          </w:tcPr>
          <w:p w14:paraId="000001AC">
            <w:pPr>
              <w:spacing w:before="0" w:after="0"/>
              <w:rPr/>
            </w:pPr>
            <w:r>
              <w:rPr>
                <w:color w:val="1f1f1f"/>
              </w:rPr>
              <w:t>100 "High Risk" Employees</w:t>
            </w:r>
          </w:p>
        </w:tc>
        <w:tc>
          <w:tcPr>
            <w:cnfStyle w:val="000000000000"/>
            <w:tcW w:w="2490" w:type="dxa"/>
            <w:tcBorders>
              <w:top w:val="single" w:sz="6" w:space="0"/>
              <w:left w:val="single" w:sz="6" w:space="0"/>
              <w:bottom w:val="single" w:sz="6" w:space="0"/>
              <w:right w:val="single" w:sz="6" w:space="0"/>
            </w:tcBorders>
            <w:tcMar>
              <w:top w:w="240" w:type="dxa"/>
              <w:bottom w:w="240" w:type="dxa"/>
              <w:right w:w="180" w:type="dxa"/>
            </w:tcMar>
            <w:vAlign w:val="center"/>
          </w:tcPr>
          <w:p w14:paraId="000001AD">
            <w:pPr>
              <w:spacing w:before="0" w:after="0"/>
              <w:rPr/>
            </w:pPr>
            <w:r>
              <w:rPr>
                <w:b/>
                <w:bCs/>
                <w:color w:val="1f1f1f"/>
              </w:rPr>
              <w:t>$26,250,000</w:t>
            </w:r>
          </w:p>
        </w:tc>
        <w:tc>
          <w:tcPr>
            <w:cnfStyle w:val="000000000000"/>
            <w:tcW w:w="2860" w:type="dxa"/>
            <w:tcBorders>
              <w:top w:val="single" w:sz="6" w:space="0"/>
              <w:left w:val="single" w:sz="6" w:space="0"/>
              <w:bottom w:val="single" w:sz="6" w:space="0"/>
              <w:right w:val="single" w:sz="6" w:space="0"/>
            </w:tcBorders>
            <w:tcMar>
              <w:top w:w="240" w:type="dxa"/>
              <w:bottom w:w="240" w:type="dxa"/>
            </w:tcMar>
            <w:vAlign w:val="center"/>
          </w:tcPr>
          <w:p w14:paraId="000001AE">
            <w:pPr>
              <w:spacing w:before="0" w:after="0"/>
              <w:rPr/>
            </w:pPr>
            <w:r>
              <w:rPr>
                <w:b/>
                <w:bCs/>
                <w:color w:val="1f1f1f"/>
              </w:rPr>
              <w:t>$6,500,000</w:t>
            </w:r>
            <w:r>
              <w:rPr>
                <w:color w:val="1f1f1f"/>
              </w:rPr>
              <w:t xml:space="preserve"> (Intervention + Capex)</w:t>
            </w:r>
          </w:p>
        </w:tc>
      </w:tr>
      <w:tr>
        <w:trPr>
          <w:trHeight w:val="300"/>
        </w:trPr>
        <w:tc>
          <w:tcPr>
            <w:cnfStyle w:val="001000000000"/>
            <w:tcW w:w="1780" w:type="dxa"/>
            <w:tcBorders>
              <w:top w:val="single" w:sz="6" w:space="0"/>
              <w:left w:val="single" w:sz="6" w:space="0"/>
              <w:bottom w:val="single" w:sz="6" w:space="0"/>
              <w:right w:val="single" w:sz="6" w:space="0"/>
            </w:tcBorders>
            <w:tcMar>
              <w:top w:w="240" w:type="dxa"/>
              <w:bottom w:w="240" w:type="dxa"/>
              <w:right w:w="180" w:type="dxa"/>
            </w:tcMar>
            <w:vAlign w:val="center"/>
          </w:tcPr>
          <w:p w14:paraId="000001AF">
            <w:pPr>
              <w:spacing w:before="0" w:after="0"/>
              <w:rPr/>
            </w:pPr>
            <w:r>
              <w:rPr>
                <w:b/>
                <w:bCs/>
                <w:color w:val="1f1f1f"/>
              </w:rPr>
              <w:t>Total Annual Risk</w:t>
            </w:r>
          </w:p>
        </w:tc>
        <w:tc>
          <w:tcPr>
            <w:cnfStyle w:val="000000000000"/>
            <w:tcW w:w="2988" w:type="dxa"/>
            <w:tcBorders>
              <w:top w:val="single" w:sz="6" w:space="0"/>
              <w:left w:val="single" w:sz="6" w:space="0"/>
              <w:bottom w:val="single" w:sz="6" w:space="0"/>
              <w:right w:val="single" w:sz="6" w:space="0"/>
            </w:tcBorders>
            <w:tcMar>
              <w:top w:w="240" w:type="dxa"/>
              <w:bottom w:w="240" w:type="dxa"/>
              <w:right w:w="180" w:type="dxa"/>
            </w:tcMar>
            <w:vAlign w:val="center"/>
          </w:tcPr>
          <w:p w14:paraId="000001B0">
            <w:pPr>
              <w:spacing w:before="0" w:after="0"/>
              <w:rPr/>
            </w:pPr>
            <w:r>
              <w:rPr>
                <w:color w:val="1f1f1f"/>
              </w:rPr>
              <w:t>—</w:t>
            </w:r>
          </w:p>
        </w:tc>
        <w:tc>
          <w:tcPr>
            <w:cnfStyle w:val="000000000000"/>
            <w:tcW w:w="2490" w:type="dxa"/>
            <w:tcBorders>
              <w:top w:val="single" w:sz="6" w:space="0"/>
              <w:left w:val="single" w:sz="6" w:space="0"/>
              <w:bottom w:val="single" w:sz="6" w:space="0"/>
              <w:right w:val="single" w:sz="6" w:space="0"/>
            </w:tcBorders>
            <w:tcMar>
              <w:top w:w="240" w:type="dxa"/>
              <w:bottom w:w="240" w:type="dxa"/>
              <w:right w:w="180" w:type="dxa"/>
            </w:tcMar>
            <w:vAlign w:val="center"/>
          </w:tcPr>
          <w:p w14:paraId="000001B1">
            <w:pPr>
              <w:spacing w:before="0" w:after="0"/>
              <w:rPr/>
            </w:pPr>
            <w:r>
              <w:rPr>
                <w:b/>
                <w:bCs/>
                <w:color w:val="1f1f1f"/>
              </w:rPr>
              <w:t>$26,250,000</w:t>
            </w:r>
          </w:p>
        </w:tc>
        <w:tc>
          <w:tcPr>
            <w:cnfStyle w:val="000000000000"/>
            <w:tcW w:w="2860" w:type="dxa"/>
            <w:tcBorders>
              <w:top w:val="single" w:sz="6" w:space="0"/>
              <w:left w:val="single" w:sz="6" w:space="0"/>
              <w:bottom w:val="single" w:sz="6" w:space="0"/>
              <w:right w:val="single" w:sz="6" w:space="0"/>
            </w:tcBorders>
            <w:tcMar>
              <w:top w:w="240" w:type="dxa"/>
              <w:bottom w:w="240" w:type="dxa"/>
            </w:tcMar>
            <w:vAlign w:val="center"/>
          </w:tcPr>
          <w:p w14:paraId="000001B2">
            <w:pPr>
              <w:spacing w:before="0" w:after="0"/>
              <w:rPr/>
            </w:pPr>
            <w:r>
              <w:rPr>
                <w:b/>
                <w:bCs/>
                <w:color w:val="1f1f1f"/>
              </w:rPr>
              <w:t>$6,500,000</w:t>
            </w:r>
          </w:p>
        </w:tc>
      </w:tr>
      <w:tr>
        <w:trPr>
          <w:trHeight w:val="300"/>
        </w:trPr>
        <w:tc>
          <w:tcPr>
            <w:cnfStyle w:val="001000000000"/>
            <w:tcW w:w="1780" w:type="dxa"/>
            <w:tcBorders>
              <w:top w:val="single" w:sz="6" w:space="0"/>
              <w:left w:val="single" w:sz="6" w:space="0"/>
              <w:bottom w:val="single" w:sz="6" w:space="0"/>
              <w:right w:val="single" w:sz="6" w:space="0"/>
            </w:tcBorders>
            <w:tcMar>
              <w:top w:w="240" w:type="dxa"/>
              <w:bottom w:w="240" w:type="dxa"/>
              <w:right w:w="180" w:type="dxa"/>
            </w:tcMar>
            <w:vAlign w:val="center"/>
          </w:tcPr>
          <w:p w14:paraId="000001B3">
            <w:pPr>
              <w:spacing w:before="0" w:after="0"/>
              <w:rPr/>
            </w:pPr>
            <w:r>
              <w:rPr>
                <w:b/>
                <w:bCs/>
                <w:color w:val="1f1f1f"/>
              </w:rPr>
              <w:t>Net Savings (ROI)</w:t>
            </w:r>
          </w:p>
        </w:tc>
        <w:tc>
          <w:tcPr>
            <w:cnfStyle w:val="000000000000"/>
            <w:tcW w:w="2988" w:type="dxa"/>
            <w:tcBorders>
              <w:top w:val="single" w:sz="6" w:space="0"/>
              <w:left w:val="single" w:sz="6" w:space="0"/>
              <w:bottom w:val="single" w:sz="6" w:space="0"/>
              <w:right w:val="single" w:sz="6" w:space="0"/>
            </w:tcBorders>
            <w:tcMar>
              <w:top w:w="240" w:type="dxa"/>
              <w:bottom w:w="240" w:type="dxa"/>
              <w:right w:w="180" w:type="dxa"/>
            </w:tcMar>
            <w:vAlign w:val="center"/>
          </w:tcPr>
          <w:p w14:paraId="000001B4">
            <w:pPr>
              <w:spacing w:before="0" w:after="0"/>
              <w:rPr/>
            </w:pPr>
            <w:r>
              <w:rPr>
                <w:color w:val="1f1f1f"/>
              </w:rPr>
              <w:t>—</w:t>
            </w:r>
          </w:p>
        </w:tc>
        <w:tc>
          <w:tcPr>
            <w:cnfStyle w:val="000000000000"/>
            <w:tcW w:w="2490" w:type="dxa"/>
            <w:tcBorders>
              <w:top w:val="single" w:sz="6" w:space="0"/>
              <w:left w:val="single" w:sz="6" w:space="0"/>
              <w:bottom w:val="single" w:sz="6" w:space="0"/>
              <w:right w:val="single" w:sz="6" w:space="0"/>
            </w:tcBorders>
            <w:tcMar>
              <w:top w:w="240" w:type="dxa"/>
              <w:bottom w:w="240" w:type="dxa"/>
              <w:right w:w="180" w:type="dxa"/>
            </w:tcMar>
            <w:vAlign w:val="center"/>
          </w:tcPr>
          <w:p w14:paraId="000001B5">
            <w:pPr>
              <w:spacing w:before="0" w:after="0"/>
              <w:rPr/>
            </w:pPr>
            <w:r>
              <w:rPr>
                <w:b/>
                <w:bCs/>
                <w:color w:val="1f1f1f"/>
              </w:rPr>
              <w:t>$0</w:t>
            </w:r>
          </w:p>
        </w:tc>
        <w:tc>
          <w:tcPr>
            <w:cnfStyle w:val="000000000000"/>
            <w:tcW w:w="2860" w:type="dxa"/>
            <w:tcBorders>
              <w:top w:val="single" w:sz="6" w:space="0"/>
              <w:left w:val="single" w:sz="6" w:space="0"/>
              <w:bottom w:val="single" w:sz="6" w:space="0"/>
              <w:right w:val="single" w:sz="6" w:space="0"/>
            </w:tcBorders>
            <w:tcMar>
              <w:top w:w="240" w:type="dxa"/>
              <w:bottom w:w="240" w:type="dxa"/>
            </w:tcMar>
            <w:vAlign w:val="center"/>
          </w:tcPr>
          <w:p w14:paraId="000001B6">
            <w:pPr>
              <w:spacing w:before="0" w:after="0"/>
              <w:rPr/>
            </w:pPr>
            <w:r>
              <w:rPr>
                <w:b/>
                <w:bCs/>
                <w:color w:val="1f1f1f"/>
              </w:rPr>
              <w:t>$19,750,000</w:t>
            </w:r>
          </w:p>
        </w:tc>
      </w:tr>
    </w:tbl>
    <w:p w14:paraId="000001B7">
      <w:pPr>
        <w:pStyle w:val="Normal"/>
        <w:spacing w:before="180" w:after="180" w:line="480" w:lineRule="auto"/>
        <w:ind w:firstLine="0"/>
        <w:jc w:val="left"/>
        <w:rPr>
          <w:rFonts w:ascii="Times New Roman" w:cs="Times New Roman" w:eastAsia="Times New Roman" w:hAnsi="Times New Roman"/>
          <w:sz w:val="24"/>
          <w:szCs w:val="24"/>
          <w:lang w:val="en-US"/>
        </w:rPr>
      </w:pPr>
    </w:p>
    <w:p w14:paraId="000001B8">
      <w:pPr>
        <w:spacing w:before="180" w:after="180" w:line="480" w:lineRule="auto"/>
        <w:ind w:firstLine="0"/>
        <w:jc w:val="left"/>
        <w:rPr>
          <w:rFonts w:ascii="Times New Roman" w:cs="Times New Roman" w:eastAsia="Times New Roman" w:hAnsi="Times New Roman"/>
          <w:b/>
          <w:bCs/>
          <w:sz w:val="48"/>
          <w:szCs w:val="48"/>
          <w:lang w:val="en-US"/>
        </w:rPr>
      </w:pPr>
      <w:r>
        <w:rPr>
          <w:rFonts w:ascii="Times New Roman" w:cs="Times New Roman" w:eastAsia="Times New Roman" w:hAnsi="Times New Roman"/>
          <w:b/>
          <w:bCs/>
          <w:sz w:val="48"/>
          <w:szCs w:val="48"/>
          <w:lang w:val="en-US"/>
        </w:rPr>
        <w:t>9. Conclusions and Recommendations</w:t>
      </w:r>
    </w:p>
    <w:p w14:paraId="000001B9">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9.1 Comprehensive Project Conclusions</w:t>
      </w:r>
    </w:p>
    <w:p w14:paraId="000001BA">
      <w:pPr>
        <w:spacing w:before="180" w:after="180" w:line="480" w:lineRule="auto"/>
        <w:ind w:firstLine="708"/>
        <w:jc w:val="left"/>
        <w:rPr/>
      </w:pPr>
      <w:r>
        <w:rPr>
          <w:rFonts w:ascii="Times New Roman" w:cs="Times New Roman" w:eastAsia="Times New Roman" w:hAnsi="Times New Roman"/>
          <w:sz w:val="24"/>
          <w:szCs w:val="24"/>
          <w:lang w:val="en-US"/>
        </w:rPr>
        <w:t xml:space="preserve">This research successfully applied the CRISP-DM framework to address the $30 million attrition challenge at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Solutions. The project concludes that voluntary </w:t>
      </w:r>
      <w:r>
        <w:rPr>
          <w:rFonts w:ascii="Times New Roman" w:cs="Times New Roman" w:eastAsia="Times New Roman" w:hAnsi="Times New Roman"/>
          <w:sz w:val="24"/>
          <w:szCs w:val="24"/>
          <w:lang w:val="en-US"/>
        </w:rPr>
        <w:t>turnover,</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particularly among the senior developer</w:t>
      </w:r>
      <w:r>
        <w:rPr>
          <w:rFonts w:ascii="Times New Roman" w:cs="Times New Roman" w:eastAsia="Times New Roman" w:hAnsi="Times New Roman"/>
          <w:sz w:val="24"/>
          <w:szCs w:val="24"/>
          <w:lang w:val="en-US"/>
        </w:rPr>
        <w:t>s</w:t>
      </w:r>
      <w:r>
        <w:rPr>
          <w:rFonts w:ascii="Times New Roman" w:cs="Times New Roman" w:eastAsia="Times New Roman" w:hAnsi="Times New Roman"/>
          <w:sz w:val="24"/>
          <w:szCs w:val="24"/>
          <w:lang w:val="en-US"/>
        </w:rPr>
        <w: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lang w:val="en-US"/>
        </w:rPr>
        <w:t xml:space="preserve">is not a stochastic </w:t>
      </w:r>
      <w:r>
        <w:rPr>
          <w:rFonts w:ascii="Times New Roman" w:cs="Times New Roman" w:eastAsia="Times New Roman" w:hAnsi="Times New Roman"/>
          <w:sz w:val="24"/>
          <w:szCs w:val="24"/>
          <w:lang w:val="en-US"/>
        </w:rPr>
        <w:t>event,</w:t>
      </w:r>
      <w:r>
        <w:rPr>
          <w:rFonts w:ascii="Times New Roman" w:cs="Times New Roman" w:eastAsia="Times New Roman" w:hAnsi="Times New Roman"/>
          <w:sz w:val="24"/>
          <w:szCs w:val="24"/>
          <w:lang w:val="en-US"/>
        </w:rPr>
        <w:t xml:space="preserve"> but a predictable outcome driven by measurable organizational stressors.</w:t>
      </w:r>
    </w:p>
    <w:p w14:paraId="000001BB">
      <w:pPr>
        <w:spacing w:before="180" w:after="180" w:line="480" w:lineRule="auto"/>
        <w:ind w:firstLine="708"/>
        <w:jc w:val="left"/>
        <w:rPr/>
      </w:pPr>
      <w:r>
        <w:rPr>
          <w:rFonts w:ascii="Times New Roman" w:cs="Times New Roman" w:eastAsia="Times New Roman" w:hAnsi="Times New Roman"/>
          <w:sz w:val="24"/>
          <w:szCs w:val="24"/>
          <w:lang w:val="en-US"/>
        </w:rPr>
        <w:t xml:space="preserve">The primary conclusion of this study is that workload intensity (Overtime) and financial alignment (Monthly Income) are the most potent triggers for resignation. The Logistic Regression model developed </w:t>
      </w:r>
      <w:r>
        <w:rPr>
          <w:rFonts w:ascii="Times New Roman" w:cs="Times New Roman" w:eastAsia="Times New Roman" w:hAnsi="Times New Roman"/>
          <w:sz w:val="24"/>
          <w:szCs w:val="24"/>
          <w:lang w:val="en-US"/>
        </w:rPr>
        <w:t>herein</w:t>
      </w:r>
      <w:r>
        <w:rPr>
          <w:rFonts w:ascii="Times New Roman" w:cs="Times New Roman" w:eastAsia="Times New Roman" w:hAnsi="Times New Roman"/>
          <w:sz w:val="24"/>
          <w:szCs w:val="24"/>
          <w:lang w:val="en-US"/>
        </w:rPr>
        <w:t xml:space="preserve"> provides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with a "predictive window," </w:t>
      </w:r>
      <w:r>
        <w:rPr>
          <w:rFonts w:ascii="Times New Roman" w:cs="Times New Roman" w:eastAsia="Times New Roman" w:hAnsi="Times New Roman"/>
          <w:sz w:val="24"/>
          <w:szCs w:val="24"/>
          <w:lang w:val="en-US"/>
        </w:rPr>
        <w:t>identifying</w:t>
      </w:r>
      <w:r>
        <w:rPr>
          <w:rFonts w:ascii="Times New Roman" w:cs="Times New Roman" w:eastAsia="Times New Roman" w:hAnsi="Times New Roman"/>
          <w:sz w:val="24"/>
          <w:szCs w:val="24"/>
          <w:lang w:val="en-US"/>
        </w:rPr>
        <w:t xml:space="preserve"> 66% of potential leavers with enough lead time for intervention. By prioritizing Recall over simple Accuracy, the model ensures that the organization protects its most valuable intellectual property: the senior technical staff whose departure triggers the "Contagion Effect" and disrupts development cycles.</w:t>
      </w:r>
    </w:p>
    <w:p w14:paraId="000001BC">
      <w:pPr>
        <w:spacing w:before="180" w:after="180" w:line="480" w:lineRule="auto"/>
        <w:jc w:val="left"/>
        <w:rPr>
          <w:rFonts w:ascii="Times New Roman" w:cs="Times New Roman" w:eastAsia="Times New Roman" w:hAnsi="Times New Roman"/>
          <w:sz w:val="24"/>
          <w:szCs w:val="24"/>
          <w:lang w:val="en-US"/>
        </w:rPr>
      </w:pPr>
    </w:p>
    <w:p w14:paraId="000001BD">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 xml:space="preserve">9.2 Managerial Recommendations </w:t>
      </w:r>
    </w:p>
    <w:p w14:paraId="000001BE">
      <w:pPr>
        <w:spacing w:before="180" w:after="180" w:line="480" w:lineRule="auto"/>
        <w:ind w:firstLine="708"/>
        <w:jc w:val="left"/>
        <w:rPr/>
      </w:pPr>
      <w:r>
        <w:rPr>
          <w:rFonts w:ascii="Times New Roman" w:cs="Times New Roman" w:eastAsia="Times New Roman" w:hAnsi="Times New Roman"/>
          <w:sz w:val="24"/>
          <w:szCs w:val="24"/>
          <w:lang w:val="en-US"/>
        </w:rPr>
        <w:t xml:space="preserve">Based on the results of the 90-day pilot and the feature importance analysis, the following strategic actions are recommended for </w:t>
      </w:r>
      <w:r>
        <w:rPr>
          <w:rFonts w:ascii="Times New Roman" w:cs="Times New Roman" w:eastAsia="Times New Roman" w:hAnsi="Times New Roman"/>
          <w:sz w:val="24"/>
          <w:szCs w:val="24"/>
          <w:lang w:val="en-US"/>
        </w:rPr>
        <w:t>TechCorp’s</w:t>
      </w:r>
      <w:r>
        <w:rPr>
          <w:rFonts w:ascii="Times New Roman" w:cs="Times New Roman" w:eastAsia="Times New Roman" w:hAnsi="Times New Roman"/>
          <w:sz w:val="24"/>
          <w:szCs w:val="24"/>
          <w:lang w:val="en-US"/>
        </w:rPr>
        <w:t xml:space="preserve"> leadership:</w:t>
      </w:r>
    </w:p>
    <w:p w14:paraId="000001BF">
      <w:pPr>
        <w:pStyle w:val="ListParagraph"/>
        <w:numPr>
          <w:ilvl w:val="0"/>
          <w:numId w:val="16"/>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Policy Reform on Overtime: Given that Overtime was the strongest positive predictor of attrition,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must implement a "Cap-and-Review" policy. Any department exceeding a 15% overtime threshold for two consecutive months should trigger an automatic operational audit to prevent burnout-driven resignations.</w:t>
      </w:r>
    </w:p>
    <w:p w14:paraId="000001C0">
      <w:pPr>
        <w:pStyle w:val="ListParagraph"/>
        <w:spacing w:before="180" w:after="180" w:line="480" w:lineRule="auto"/>
        <w:ind w:left="720"/>
        <w:jc w:val="left"/>
        <w:rPr/>
      </w:pPr>
    </w:p>
    <w:p w14:paraId="000001C1">
      <w:pPr>
        <w:pStyle w:val="ListParagraph"/>
        <w:numPr>
          <w:ilvl w:val="0"/>
          <w:numId w:val="16"/>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Dynamic Compensation Benchmarking: To address the "Income" driver, the HR department should move away from annual salary reviews toward a quarterly benchmarking model for high-risk technical roles, ensuring that the "Sacrifice" of leaving </w:t>
      </w:r>
      <w:r>
        <w:rPr>
          <w:rFonts w:ascii="Times New Roman" w:cs="Times New Roman" w:eastAsia="Times New Roman" w:hAnsi="Times New Roman"/>
          <w:sz w:val="24"/>
          <w:szCs w:val="24"/>
          <w:lang w:val="en-US"/>
        </w:rPr>
        <w:t>remains</w:t>
      </w:r>
      <w:r>
        <w:rPr>
          <w:rFonts w:ascii="Times New Roman" w:cs="Times New Roman" w:eastAsia="Times New Roman" w:hAnsi="Times New Roman"/>
          <w:sz w:val="24"/>
          <w:szCs w:val="24"/>
          <w:lang w:val="en-US"/>
        </w:rPr>
        <w:t xml:space="preserve"> high compared to market competitors.</w:t>
      </w:r>
    </w:p>
    <w:p w14:paraId="000001C2">
      <w:pPr>
        <w:pStyle w:val="ListParagraph"/>
        <w:spacing w:before="180" w:after="180" w:line="480" w:lineRule="auto"/>
        <w:ind w:left="720"/>
        <w:jc w:val="left"/>
        <w:rPr/>
      </w:pPr>
    </w:p>
    <w:p w14:paraId="000001C3">
      <w:pPr>
        <w:pStyle w:val="ListParagraph"/>
        <w:numPr>
          <w:ilvl w:val="0"/>
          <w:numId w:val="16"/>
        </w:numPr>
        <w:spacing w:before="180" w:after="180" w:line="480" w:lineRule="auto"/>
        <w:jc w:val="left"/>
        <w:rPr/>
      </w:pPr>
      <w:r>
        <w:rPr>
          <w:rFonts w:ascii="Times New Roman" w:cs="Times New Roman" w:eastAsia="Times New Roman" w:hAnsi="Times New Roman"/>
          <w:sz w:val="24"/>
          <w:szCs w:val="24"/>
          <w:lang w:val="en-US"/>
        </w:rPr>
        <w:t>Formalization of Stay Interviews: The "Stay Interview" program should be transitioned from a pilot to a permanent organizational staple. Training for Engineering Managers should focus on the "Links" and "Fit" components of Job Embeddedness to foster a culture of transparent communication.</w:t>
      </w:r>
    </w:p>
    <w:p w14:paraId="000001C4">
      <w:pPr>
        <w:spacing w:before="180" w:after="180" w:line="480" w:lineRule="auto"/>
        <w:jc w:val="left"/>
        <w:rPr>
          <w:rFonts w:ascii="Times New Roman" w:cs="Times New Roman" w:eastAsia="Times New Roman" w:hAnsi="Times New Roman"/>
          <w:sz w:val="24"/>
          <w:szCs w:val="24"/>
          <w:lang w:val="en-US"/>
        </w:rPr>
      </w:pPr>
    </w:p>
    <w:p w14:paraId="000001C5">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9.3 Corporate Social Responsibility (CSR) and Ethical Considerations</w:t>
      </w:r>
    </w:p>
    <w:p w14:paraId="000001C6">
      <w:pPr>
        <w:pStyle w:val="Normal"/>
        <w:spacing w:before="180" w:after="180" w:line="480" w:lineRule="auto"/>
        <w:ind w:left="0"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Another essential part of this concluding research is the ethics regarding the use of predictive analytics in the Human Resources process. In order to make sure that the Predictive Attrition Model works for the organization and not against it, TechCorp needs to employ the “Privacy-First” governance framework, which will include:</w:t>
      </w:r>
    </w:p>
    <w:p w14:paraId="000001C7">
      <w:pPr>
        <w:pStyle w:val="Normal"/>
        <w:spacing w:before="180" w:after="180" w:line="480" w:lineRule="auto"/>
        <w:ind w:left="0" w:firstLine="0"/>
        <w:jc w:val="left"/>
        <w:rPr>
          <w:rFonts w:ascii="Times New Roman" w:cs="Times New Roman" w:eastAsia="Times New Roman" w:hAnsi="Times New Roman"/>
          <w:sz w:val="24"/>
          <w:szCs w:val="24"/>
          <w:lang w:val="en-US"/>
        </w:rPr>
      </w:pPr>
    </w:p>
    <w:p w14:paraId="000001C8">
      <w:pPr>
        <w:pStyle w:val="Normal"/>
        <w:spacing w:before="180" w:after="180" w:line="480" w:lineRule="auto"/>
        <w:ind w:left="0" w:firstLine="0"/>
        <w:jc w:val="left"/>
        <w:rPr>
          <w:rFonts w:ascii="Times New Roman" w:cs="Times New Roman" w:eastAsia="Times New Roman" w:hAnsi="Times New Roman"/>
          <w:i/>
          <w:iCs/>
          <w:sz w:val="24"/>
          <w:szCs w:val="24"/>
          <w:lang w:val="en-US"/>
        </w:rPr>
      </w:pPr>
      <w:r>
        <w:rPr>
          <w:rFonts w:ascii="Times New Roman" w:cs="Times New Roman" w:eastAsia="Times New Roman" w:hAnsi="Times New Roman"/>
          <w:i/>
          <w:iCs/>
          <w:sz w:val="24"/>
          <w:szCs w:val="24"/>
          <w:lang w:val="en-US"/>
        </w:rPr>
        <w:t>I. “Support-Not-Punishment” Principle</w:t>
      </w:r>
    </w:p>
    <w:p w14:paraId="000001C9">
      <w:pPr>
        <w:pStyle w:val="ListParagraph"/>
        <w:numPr>
          <w:ilvl w:val="0"/>
          <w:numId w:val="15"/>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No Punishments Involved: The results of the algorithm determining an employee’s status as “High Risk” cannot be used in any way as grounds for negative appraisals or firings.</w:t>
      </w:r>
    </w:p>
    <w:p w14:paraId="000001CA">
      <w:pPr>
        <w:pStyle w:val="ListParagraph"/>
        <w:spacing w:before="180" w:after="180" w:line="480" w:lineRule="auto"/>
        <w:ind w:left="720"/>
        <w:jc w:val="left"/>
        <w:rPr>
          <w:rFonts w:ascii="Times New Roman" w:cs="Times New Roman" w:eastAsia="Times New Roman" w:hAnsi="Times New Roman"/>
          <w:sz w:val="24"/>
          <w:szCs w:val="24"/>
          <w:lang w:val="en-US"/>
        </w:rPr>
      </w:pPr>
    </w:p>
    <w:p w14:paraId="000001CB">
      <w:pPr>
        <w:pStyle w:val="ListParagraph"/>
        <w:numPr>
          <w:ilvl w:val="0"/>
          <w:numId w:val="15"/>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Support Instrument: The algorithm will be used as an instrument for retention and development, highlighting when the company fails to create an appropriate balance between personal and professional life of employees.</w:t>
      </w:r>
    </w:p>
    <w:p w14:paraId="000001CC">
      <w:pPr>
        <w:pStyle w:val="ListParagraph"/>
        <w:spacing w:before="180" w:after="180" w:line="480" w:lineRule="auto"/>
        <w:ind w:left="720"/>
        <w:jc w:val="left"/>
        <w:rPr/>
      </w:pPr>
    </w:p>
    <w:p w14:paraId="000001CD">
      <w:pPr>
        <w:pStyle w:val="Normal"/>
        <w:spacing w:before="180" w:after="180" w:line="480" w:lineRule="auto"/>
        <w:ind w:left="0"/>
        <w:jc w:val="left"/>
        <w:rPr>
          <w:i/>
          <w:iCs/>
          <w:lang w:val="en-US"/>
        </w:rPr>
      </w:pPr>
      <w:r>
        <w:rPr>
          <w:i/>
          <w:iCs/>
          <w:lang w:val="en-US"/>
        </w:rPr>
        <w:t>II. Algorithmic Bias and Demographic Auditing</w:t>
      </w:r>
    </w:p>
    <w:p w14:paraId="000001CE">
      <w:pPr>
        <w:pStyle w:val="ListParagraph"/>
        <w:numPr>
          <w:ilvl w:val="0"/>
          <w:numId w:val="11"/>
        </w:numPr>
        <w:spacing w:before="180" w:after="180" w:line="480" w:lineRule="auto"/>
        <w:jc w:val="left"/>
        <w:rPr>
          <w:lang w:val="en-US"/>
        </w:rPr>
      </w:pPr>
      <w:r>
        <w:rPr>
          <w:lang w:val="en-US"/>
        </w:rPr>
        <w:t>Bi-Annual Audit Requirement: The model will need to be subjected to an intensive audit to detect any signs of algorithmic bias every six months as TechCorp grows.</w:t>
      </w:r>
    </w:p>
    <w:p w14:paraId="000001CF">
      <w:pPr>
        <w:pStyle w:val="ListParagraph"/>
        <w:spacing w:before="180" w:after="180" w:line="480" w:lineRule="auto"/>
        <w:ind w:left="720"/>
        <w:jc w:val="left"/>
        <w:rPr>
          <w:lang w:val="en-US"/>
        </w:rPr>
      </w:pPr>
    </w:p>
    <w:p w14:paraId="000001D0">
      <w:pPr>
        <w:pStyle w:val="ListParagraph"/>
        <w:numPr>
          <w:ilvl w:val="0"/>
          <w:numId w:val="11"/>
        </w:numPr>
        <w:spacing w:before="180" w:after="180" w:line="480" w:lineRule="auto"/>
        <w:jc w:val="left"/>
        <w:rPr>
          <w:lang w:val="en-US"/>
        </w:rPr>
      </w:pPr>
      <w:r>
        <w:rPr>
          <w:lang w:val="en-US"/>
        </w:rPr>
        <w:t>Protected Classes' Security: Such an audit process will guarantee that the model does not discriminate against any particular group of employees in terms of their demographic traits, such as their gender, race, or age, which would preserve the reliability of the "Recall" over "Accuracy" approach.</w:t>
      </w:r>
    </w:p>
    <w:p w14:paraId="000001D1">
      <w:pPr>
        <w:pStyle w:val="Normal"/>
        <w:spacing w:before="180" w:after="180" w:line="480" w:lineRule="auto"/>
        <w:ind w:left="0"/>
        <w:jc w:val="left"/>
        <w:rPr>
          <w:lang w:val="en-US"/>
        </w:rPr>
      </w:pPr>
    </w:p>
    <w:p w14:paraId="000001D2">
      <w:pPr>
        <w:pStyle w:val="Normal"/>
        <w:spacing w:before="180" w:after="180" w:line="480" w:lineRule="auto"/>
        <w:ind w:left="0"/>
        <w:jc w:val="left"/>
        <w:rPr>
          <w:i/>
          <w:iCs/>
          <w:lang w:val="en-US"/>
        </w:rPr>
      </w:pPr>
      <w:r>
        <w:rPr>
          <w:i/>
          <w:iCs/>
          <w:lang w:val="en-US"/>
        </w:rPr>
        <w:t>III. Transparency and Employee Trust</w:t>
      </w:r>
    </w:p>
    <w:p w14:paraId="000001D3">
      <w:pPr>
        <w:pStyle w:val="ListParagraph"/>
        <w:numPr>
          <w:ilvl w:val="0"/>
          <w:numId w:val="10"/>
        </w:numPr>
        <w:spacing w:before="180" w:after="180" w:line="480" w:lineRule="auto"/>
        <w:jc w:val="left"/>
        <w:rPr>
          <w:lang w:val="en-US"/>
        </w:rPr>
      </w:pPr>
      <w:r>
        <w:rPr>
          <w:lang w:val="en-US"/>
        </w:rPr>
        <w:t>Strategic Disclosure: It is imperative that employees know that the reason for implementing data analytics within TechCorp is to enhance work-life balance and reduce turnover rates.</w:t>
      </w:r>
    </w:p>
    <w:p w14:paraId="000001D4">
      <w:pPr>
        <w:pStyle w:val="ListParagraph"/>
        <w:spacing w:before="180" w:after="180" w:line="480" w:lineRule="auto"/>
        <w:ind w:left="720"/>
        <w:jc w:val="left"/>
        <w:rPr>
          <w:lang w:val="en-US"/>
        </w:rPr>
      </w:pPr>
    </w:p>
    <w:p w14:paraId="000001D5">
      <w:pPr>
        <w:pStyle w:val="ListParagraph"/>
        <w:numPr>
          <w:ilvl w:val="0"/>
          <w:numId w:val="10"/>
        </w:numPr>
        <w:spacing w:before="180" w:after="180" w:line="480" w:lineRule="auto"/>
        <w:jc w:val="left"/>
        <w:rPr>
          <w:lang w:val="en-US"/>
        </w:rPr>
      </w:pPr>
      <w:r>
        <w:rPr>
          <w:lang w:val="en-US"/>
        </w:rPr>
        <w:t>Aligning Culture with Strategy: This way, by making the "Burnout-Income Connection" identified in this study transparent, TechCorp can create a corporate culture that values data analytics.</w:t>
      </w:r>
    </w:p>
    <w:p w14:paraId="000001D6">
      <w:pPr>
        <w:spacing w:before="180" w:after="180" w:line="480" w:lineRule="auto"/>
        <w:jc w:val="left"/>
        <w:rPr>
          <w:rFonts w:ascii="Times New Roman" w:cs="Times New Roman" w:eastAsia="Times New Roman" w:hAnsi="Times New Roman"/>
          <w:sz w:val="24"/>
          <w:szCs w:val="24"/>
          <w:lang w:val="en-US"/>
        </w:rPr>
      </w:pPr>
    </w:p>
    <w:p w14:paraId="000001D7">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9.4 Project Limitations and Future Research</w:t>
      </w:r>
    </w:p>
    <w:p w14:paraId="000001D8">
      <w:pPr>
        <w:spacing w:before="180" w:after="180" w:line="480" w:lineRule="auto"/>
        <w:ind w:firstLine="708"/>
        <w:jc w:val="left"/>
        <w:rPr/>
      </w:pPr>
      <w:r>
        <w:rPr>
          <w:rFonts w:ascii="Times New Roman" w:cs="Times New Roman" w:eastAsia="Times New Roman" w:hAnsi="Times New Roman"/>
          <w:sz w:val="24"/>
          <w:szCs w:val="24"/>
          <w:lang w:val="en-US"/>
        </w:rPr>
        <w:t>While the Logistic Regression model provides high utility, it is not without limitations:</w:t>
      </w:r>
    </w:p>
    <w:p w14:paraId="000001D9">
      <w:pPr>
        <w:pStyle w:val="ListParagraph"/>
        <w:numPr>
          <w:ilvl w:val="0"/>
          <w:numId w:val="14"/>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Static Nature of Data: The IBM dataset provides a cross-sectional snapshot. Future iterations should incorporate Time-Series analysis to track how an employee’s risk score fluctuates over their entire tenure.</w:t>
      </w:r>
    </w:p>
    <w:p w14:paraId="000001DA">
      <w:pPr>
        <w:pStyle w:val="ListParagraph"/>
        <w:spacing w:before="180" w:after="180" w:line="480" w:lineRule="auto"/>
        <w:ind w:left="720"/>
        <w:jc w:val="left"/>
        <w:rPr/>
      </w:pPr>
    </w:p>
    <w:p w14:paraId="000001DB">
      <w:pPr>
        <w:pStyle w:val="ListParagraph"/>
        <w:numPr>
          <w:ilvl w:val="0"/>
          <w:numId w:val="14"/>
        </w:numPr>
        <w:spacing w:before="180" w:after="180" w:line="480" w:lineRule="auto"/>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Qualitative Gaps: Quantitative data</w:t>
      </w:r>
      <w:r>
        <w:rPr>
          <w:rFonts w:ascii="Times New Roman" w:cs="Times New Roman" w:eastAsia="Times New Roman" w:hAnsi="Times New Roman"/>
          <w:sz w:val="24"/>
          <w:szCs w:val="24"/>
          <w:lang w:val="en-US"/>
        </w:rPr>
        <w:t xml:space="preserve"> cannot fully capture the nuances of human emotion. Future research should integrate Natural Language Processing (NLP) of internal survey comments to provide a "Sentiment Score" alongside the behavioral metrics.</w:t>
      </w:r>
    </w:p>
    <w:p w14:paraId="000001DC">
      <w:pPr>
        <w:pStyle w:val="ListParagraph"/>
        <w:spacing w:before="180" w:after="180" w:line="480" w:lineRule="auto"/>
        <w:ind w:left="720"/>
        <w:jc w:val="left"/>
        <w:rPr/>
      </w:pPr>
    </w:p>
    <w:p w14:paraId="000001DD">
      <w:pPr>
        <w:pStyle w:val="ListParagraph"/>
        <w:numPr>
          <w:ilvl w:val="0"/>
          <w:numId w:val="14"/>
        </w:numPr>
        <w:spacing w:before="180" w:after="180" w:line="480" w:lineRule="auto"/>
        <w:jc w:val="left"/>
        <w:rPr/>
      </w:pPr>
      <w:r>
        <w:rPr>
          <w:rFonts w:ascii="Times New Roman" w:cs="Times New Roman" w:eastAsia="Times New Roman" w:hAnsi="Times New Roman"/>
          <w:sz w:val="24"/>
          <w:szCs w:val="24"/>
          <w:lang w:val="en-US"/>
        </w:rPr>
        <w:t xml:space="preserve">Model Drift: As </w:t>
      </w:r>
      <w:r>
        <w:rPr>
          <w:rFonts w:ascii="Times New Roman" w:cs="Times New Roman" w:eastAsia="Times New Roman" w:hAnsi="Times New Roman"/>
          <w:sz w:val="24"/>
          <w:szCs w:val="24"/>
          <w:lang w:val="en-US"/>
        </w:rPr>
        <w:t>TechCorp’s</w:t>
      </w:r>
      <w:r>
        <w:rPr>
          <w:rFonts w:ascii="Times New Roman" w:cs="Times New Roman" w:eastAsia="Times New Roman" w:hAnsi="Times New Roman"/>
          <w:sz w:val="24"/>
          <w:szCs w:val="24"/>
          <w:lang w:val="en-US"/>
        </w:rPr>
        <w:t xml:space="preserve"> culture evolves, the variables that predict attrition today may not be relevant in 2027. A quarterly retraining schedule is essential to </w:t>
      </w:r>
      <w:r>
        <w:rPr>
          <w:rFonts w:ascii="Times New Roman" w:cs="Times New Roman" w:eastAsia="Times New Roman" w:hAnsi="Times New Roman"/>
          <w:sz w:val="24"/>
          <w:szCs w:val="24"/>
          <w:lang w:val="en-US"/>
        </w:rPr>
        <w:t>maintain</w:t>
      </w:r>
      <w:r>
        <w:rPr>
          <w:rFonts w:ascii="Times New Roman" w:cs="Times New Roman" w:eastAsia="Times New Roman" w:hAnsi="Times New Roman"/>
          <w:sz w:val="24"/>
          <w:szCs w:val="24"/>
          <w:lang w:val="en-US"/>
        </w:rPr>
        <w:t xml:space="preserve"> an AUROC above 0.75.</w:t>
      </w:r>
    </w:p>
    <w:p w14:paraId="000001DE">
      <w:pPr>
        <w:spacing w:before="180" w:after="180" w:line="480" w:lineRule="auto"/>
        <w:jc w:val="left"/>
        <w:rPr>
          <w:rFonts w:ascii="Times New Roman" w:cs="Times New Roman" w:eastAsia="Times New Roman" w:hAnsi="Times New Roman"/>
          <w:i/>
          <w:iCs/>
          <w:sz w:val="36"/>
          <w:szCs w:val="36"/>
          <w:u w:val="single"/>
          <w:lang w:val="en-US"/>
        </w:rPr>
      </w:pPr>
    </w:p>
    <w:p w14:paraId="000001DF">
      <w:pPr>
        <w:spacing w:before="180" w:after="180" w:line="480" w:lineRule="auto"/>
        <w:jc w:val="left"/>
        <w:rPr>
          <w:rFonts w:ascii="Times New Roman" w:cs="Times New Roman" w:eastAsia="Times New Roman" w:hAnsi="Times New Roman"/>
          <w:i/>
          <w:iCs/>
          <w:sz w:val="36"/>
          <w:szCs w:val="36"/>
          <w:u w:val="single"/>
          <w:lang w:val="en-US"/>
        </w:rPr>
      </w:pPr>
      <w:r>
        <w:rPr>
          <w:rFonts w:ascii="Times New Roman" w:cs="Times New Roman" w:eastAsia="Times New Roman" w:hAnsi="Times New Roman"/>
          <w:i/>
          <w:iCs/>
          <w:sz w:val="36"/>
          <w:szCs w:val="36"/>
          <w:u w:val="single"/>
          <w:lang w:val="en-US"/>
        </w:rPr>
        <w:t>9.5 Final Reflection</w:t>
      </w:r>
    </w:p>
    <w:p w14:paraId="000001E0">
      <w:pPr>
        <w:spacing w:before="180" w:after="180" w:line="480" w:lineRule="auto"/>
        <w:ind w:firstLine="708"/>
        <w:jc w:val="left"/>
        <w:rPr/>
      </w:pPr>
      <w:r>
        <w:rPr>
          <w:rFonts w:ascii="Times New Roman" w:cs="Times New Roman" w:eastAsia="Times New Roman" w:hAnsi="Times New Roman"/>
          <w:sz w:val="24"/>
          <w:szCs w:val="24"/>
          <w:lang w:val="en-US"/>
        </w:rPr>
        <w:t xml:space="preserve">In summary, through this Capstone project, it becomes </w:t>
      </w:r>
      <w:r>
        <w:rPr>
          <w:rFonts w:ascii="Times New Roman" w:cs="Times New Roman" w:eastAsia="Times New Roman" w:hAnsi="Times New Roman"/>
          <w:sz w:val="24"/>
          <w:szCs w:val="24"/>
          <w:lang w:val="en-US"/>
        </w:rPr>
        <w:t>apparent</w:t>
      </w:r>
      <w:r>
        <w:rPr>
          <w:rFonts w:ascii="Times New Roman" w:cs="Times New Roman" w:eastAsia="Times New Roman" w:hAnsi="Times New Roman"/>
          <w:sz w:val="24"/>
          <w:szCs w:val="24"/>
          <w:lang w:val="en-US"/>
        </w:rPr>
        <w:t xml:space="preserve"> that the merging of operations research and HR informatics is not an option but a necessity for business sustainability in the technology industry. Through adoption of a proactive data-driven strategy, </w:t>
      </w:r>
      <w:r>
        <w:rPr>
          <w:rFonts w:ascii="Times New Roman" w:cs="Times New Roman" w:eastAsia="Times New Roman" w:hAnsi="Times New Roman"/>
          <w:sz w:val="24"/>
          <w:szCs w:val="24"/>
          <w:lang w:val="en-US"/>
        </w:rPr>
        <w:t>TechCorp</w:t>
      </w:r>
      <w:r>
        <w:rPr>
          <w:rFonts w:ascii="Times New Roman" w:cs="Times New Roman" w:eastAsia="Times New Roman" w:hAnsi="Times New Roman"/>
          <w:sz w:val="24"/>
          <w:szCs w:val="24"/>
          <w:lang w:val="en-US"/>
        </w:rPr>
        <w:t xml:space="preserve"> Solutions will be able to ensure its employee stability, sustain its $30M EBITDA yearly, and </w:t>
      </w:r>
      <w:r>
        <w:rPr>
          <w:rFonts w:ascii="Times New Roman" w:cs="Times New Roman" w:eastAsia="Times New Roman" w:hAnsi="Times New Roman"/>
          <w:sz w:val="24"/>
          <w:szCs w:val="24"/>
          <w:lang w:val="en-US"/>
        </w:rPr>
        <w:t>retain</w:t>
      </w:r>
      <w:r>
        <w:rPr>
          <w:rFonts w:ascii="Times New Roman" w:cs="Times New Roman" w:eastAsia="Times New Roman" w:hAnsi="Times New Roman"/>
          <w:sz w:val="24"/>
          <w:szCs w:val="24"/>
          <w:lang w:val="en-US"/>
        </w:rPr>
        <w:t xml:space="preserve"> its status as a player in the "War for Talent."</w:t>
      </w:r>
    </w:p>
    <w:p w14:paraId="000001E1">
      <w:pPr>
        <w:spacing w:before="180" w:after="180" w:line="480" w:lineRule="auto"/>
        <w:ind w:firstLine="0"/>
        <w:jc w:val="left"/>
        <w:rPr>
          <w:rFonts w:ascii="Times New Roman" w:cs="Times New Roman" w:eastAsia="Times New Roman" w:hAnsi="Times New Roman"/>
          <w:sz w:val="24"/>
          <w:szCs w:val="24"/>
          <w:lang w:val="en-US"/>
        </w:rPr>
      </w:pPr>
    </w:p>
    <w:p w14:paraId="000001E2">
      <w:pPr>
        <w:spacing w:before="180" w:after="180" w:line="480" w:lineRule="auto"/>
        <w:ind w:firstLine="0"/>
        <w:jc w:val="left"/>
        <w:rPr>
          <w:rFonts w:ascii="Times New Roman" w:cs="Times New Roman" w:eastAsia="Times New Roman" w:hAnsi="Times New Roman"/>
          <w:b/>
          <w:bCs/>
          <w:sz w:val="48"/>
          <w:szCs w:val="48"/>
          <w:lang w:val="en-US"/>
        </w:rPr>
      </w:pPr>
      <w:r>
        <w:rPr>
          <w:rFonts w:ascii="Times New Roman" w:cs="Times New Roman" w:eastAsia="Times New Roman" w:hAnsi="Times New Roman"/>
          <w:b/>
          <w:bCs/>
          <w:sz w:val="48"/>
          <w:szCs w:val="48"/>
          <w:lang w:val="en-US"/>
        </w:rPr>
        <w:t xml:space="preserve">10. </w:t>
      </w:r>
      <w:r>
        <w:rPr>
          <w:rFonts w:ascii="Times New Roman" w:cs="Times New Roman" w:eastAsia="Times New Roman" w:hAnsi="Times New Roman"/>
          <w:b/>
          <w:bCs/>
          <w:sz w:val="48"/>
          <w:szCs w:val="48"/>
          <w:lang w:val="en-US"/>
        </w:rPr>
        <w:t>Revision Note</w:t>
      </w:r>
    </w:p>
    <w:p w14:paraId="000001E3">
      <w:pPr>
        <w:spacing w:before="180" w:after="180" w:line="480" w:lineRule="auto"/>
        <w:ind w:firstLine="708"/>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This section outlines the specific modifications made to the final report in response to the faculty evaluation and technical audit conducted on the capstone project.</w:t>
      </w:r>
    </w:p>
    <w:p w14:paraId="000001E4">
      <w:pPr>
        <w:pStyle w:val="ListParagraph"/>
        <w:numPr>
          <w:ilvl w:val="0"/>
          <w:numId w:val="1"/>
        </w:numPr>
        <w:spacing w:before="180" w:after="180"/>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Technical Consistency (Methodology vs. Code): </w:t>
      </w:r>
    </w:p>
    <w:p w14:paraId="000001E5">
      <w:pPr>
        <w:pStyle w:val="ListParagraph"/>
        <w:spacing w:before="180" w:after="180"/>
        <w:ind w:left="1440"/>
        <w:jc w:val="left"/>
        <w:rPr>
          <w:rFonts w:ascii="Times New Roman" w:cs="Times New Roman" w:eastAsia="Times New Roman" w:hAnsi="Times New Roman"/>
          <w:sz w:val="24"/>
          <w:szCs w:val="24"/>
          <w:lang w:val="en-US"/>
        </w:rPr>
      </w:pPr>
    </w:p>
    <w:p w14:paraId="000001E6">
      <w:pPr>
        <w:pStyle w:val="ListParagraph"/>
        <w:numPr>
          <w:ilvl w:val="1"/>
          <w:numId w:val="1"/>
        </w:numPr>
        <w:spacing w:before="180" w:after="180"/>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Correction: Removed all references to "SMOTE" (Synthetic Minority Over-sampling Technique) and replaced them with "Random Oversampling."</w:t>
      </w:r>
    </w:p>
    <w:p w14:paraId="000001E7">
      <w:pPr>
        <w:pStyle w:val="ListParagraph"/>
        <w:spacing w:before="180" w:after="180"/>
        <w:ind w:left="1440"/>
        <w:jc w:val="left"/>
        <w:rPr>
          <w:rFonts w:ascii="Times New Roman" w:cs="Times New Roman" w:eastAsia="Times New Roman" w:hAnsi="Times New Roman"/>
          <w:sz w:val="24"/>
          <w:szCs w:val="24"/>
          <w:lang w:val="en-US"/>
        </w:rPr>
      </w:pPr>
    </w:p>
    <w:p w14:paraId="000001E8">
      <w:pPr>
        <w:pStyle w:val="ListParagraph"/>
        <w:numPr>
          <w:ilvl w:val="1"/>
          <w:numId w:val="1"/>
        </w:numPr>
        <w:spacing w:before="180" w:after="180"/>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Justification: This change ensures the written report aligns 1:1 with the Python source code used for the final model execution, as the code </w:t>
      </w:r>
      <w:r>
        <w:rPr>
          <w:rFonts w:ascii="Times New Roman" w:cs="Times New Roman" w:eastAsia="Times New Roman" w:hAnsi="Times New Roman"/>
          <w:sz w:val="24"/>
          <w:szCs w:val="24"/>
          <w:lang w:val="en-US"/>
        </w:rPr>
        <w:t>utilized</w:t>
      </w:r>
      <w:r>
        <w:rPr>
          <w:rFonts w:ascii="Times New Roman" w:cs="Times New Roman" w:eastAsia="Times New Roman" w:hAnsi="Times New Roman"/>
          <w:sz w:val="24"/>
          <w:szCs w:val="24"/>
          <w:lang w:val="en-US"/>
        </w:rPr>
        <w:t xml:space="preserve"> duplication of minority class records rather than synthetic generation.</w:t>
      </w:r>
    </w:p>
    <w:p w14:paraId="000001E9">
      <w:pPr>
        <w:pStyle w:val="ListParagraph"/>
        <w:spacing w:before="180" w:after="180"/>
        <w:ind w:left="720"/>
        <w:jc w:val="left"/>
        <w:rPr/>
      </w:pPr>
    </w:p>
    <w:p w14:paraId="000001EA">
      <w:pPr>
        <w:pStyle w:val="ListParagraph"/>
        <w:numPr>
          <w:ilvl w:val="1"/>
          <w:numId w:val="1"/>
        </w:numPr>
        <w:spacing w:before="180" w:after="180"/>
        <w:jc w:val="left"/>
        <w:rPr>
          <w:rFonts w:ascii="Times New Roman" w:cs="Times New Roman" w:eastAsia="Times New Roman" w:hAnsi="Times New Roman"/>
          <w:sz w:val="24"/>
          <w:szCs w:val="24"/>
          <w:lang w:val="es-ES"/>
        </w:rPr>
      </w:pPr>
      <w:r>
        <w:rPr>
          <w:rFonts w:ascii="Times New Roman" w:cs="Times New Roman" w:eastAsia="Times New Roman" w:hAnsi="Times New Roman"/>
          <w:sz w:val="24"/>
          <w:szCs w:val="24"/>
          <w:lang w:val="es-ES"/>
        </w:rPr>
        <w:t>Affected Sections: Abstract (1.2), Keywords (1.3), Specific Objectives (5.3), and Data Preparation (6.4.3).</w:t>
      </w:r>
    </w:p>
    <w:p w14:paraId="000001EB">
      <w:pPr>
        <w:pStyle w:val="ListParagraph"/>
        <w:spacing w:before="180" w:after="180"/>
        <w:ind w:left="720"/>
        <w:jc w:val="left"/>
        <w:rPr/>
      </w:pPr>
    </w:p>
    <w:p w14:paraId="000001EC">
      <w:pPr>
        <w:pStyle w:val="ListParagraph"/>
        <w:numPr>
          <w:ilvl w:val="0"/>
          <w:numId w:val="1"/>
        </w:numPr>
        <w:spacing w:before="180" w:after="180"/>
        <w:jc w:val="left"/>
        <w:rPr>
          <w:sz w:val="24"/>
          <w:szCs w:val="24"/>
        </w:rPr>
      </w:pPr>
      <w:r>
        <w:rPr>
          <w:sz w:val="24"/>
          <w:szCs w:val="24"/>
        </w:rPr>
        <w:t xml:space="preserve">Contextual </w:t>
      </w:r>
      <w:r>
        <w:rPr>
          <w:sz w:val="24"/>
          <w:szCs w:val="24"/>
        </w:rPr>
        <w:t>Validation</w:t>
      </w:r>
      <w:r>
        <w:rPr>
          <w:sz w:val="24"/>
          <w:szCs w:val="24"/>
        </w:rPr>
        <w:t xml:space="preserve"> (IBM </w:t>
      </w:r>
      <w:r>
        <w:rPr>
          <w:sz w:val="24"/>
          <w:szCs w:val="24"/>
        </w:rPr>
        <w:t>Dataset</w:t>
      </w:r>
      <w:r>
        <w:rPr>
          <w:sz w:val="24"/>
          <w:szCs w:val="24"/>
        </w:rPr>
        <w:t xml:space="preserve"> Proxy):</w:t>
      </w:r>
    </w:p>
    <w:p w14:paraId="000001ED">
      <w:pPr>
        <w:pStyle w:val="ListParagraph"/>
        <w:spacing w:before="180" w:after="180"/>
        <w:ind w:left="720"/>
        <w:jc w:val="left"/>
        <w:rPr/>
      </w:pPr>
    </w:p>
    <w:p w14:paraId="000001EE">
      <w:pPr>
        <w:pStyle w:val="ListParagraph"/>
        <w:numPr>
          <w:ilvl w:val="1"/>
          <w:numId w:val="1"/>
        </w:numPr>
        <w:spacing w:before="180" w:after="180"/>
        <w:jc w:val="left"/>
        <w:rPr>
          <w:sz w:val="24"/>
          <w:szCs w:val="24"/>
          <w:lang w:val="en-US"/>
        </w:rPr>
      </w:pPr>
      <w:r>
        <w:rPr>
          <w:sz w:val="24"/>
          <w:szCs w:val="24"/>
          <w:lang w:val="en-US"/>
        </w:rPr>
        <w:t>Correction</w:t>
      </w:r>
      <w:r>
        <w:rPr>
          <w:sz w:val="24"/>
          <w:szCs w:val="24"/>
          <w:lang w:val="en-US"/>
        </w:rPr>
        <w:t xml:space="preserve">: </w:t>
      </w:r>
      <w:r>
        <w:rPr>
          <w:sz w:val="24"/>
          <w:szCs w:val="24"/>
          <w:lang w:val="en-US"/>
        </w:rPr>
        <w:t>Expanded</w:t>
      </w:r>
      <w:r>
        <w:rPr>
          <w:sz w:val="24"/>
          <w:szCs w:val="24"/>
          <w:lang w:val="en-US"/>
        </w:rPr>
        <w:t xml:space="preserve"> </w:t>
      </w:r>
      <w:r>
        <w:rPr>
          <w:sz w:val="24"/>
          <w:szCs w:val="24"/>
          <w:lang w:val="en-US"/>
        </w:rPr>
        <w:t>Section</w:t>
      </w:r>
      <w:r>
        <w:rPr>
          <w:sz w:val="24"/>
          <w:szCs w:val="24"/>
          <w:lang w:val="en-US"/>
        </w:rPr>
        <w:t xml:space="preserve"> 4.4 (Data </w:t>
      </w:r>
      <w:r>
        <w:rPr>
          <w:sz w:val="24"/>
          <w:szCs w:val="24"/>
          <w:lang w:val="en-US"/>
        </w:rPr>
        <w:t>Source</w:t>
      </w:r>
      <w:r>
        <w:rPr>
          <w:sz w:val="24"/>
          <w:szCs w:val="24"/>
          <w:lang w:val="en-US"/>
        </w:rPr>
        <w:t xml:space="preserve">) </w:t>
      </w:r>
      <w:r>
        <w:rPr>
          <w:sz w:val="24"/>
          <w:szCs w:val="24"/>
          <w:lang w:val="en-US"/>
        </w:rPr>
        <w:t>to</w:t>
      </w:r>
      <w:r>
        <w:rPr>
          <w:sz w:val="24"/>
          <w:szCs w:val="24"/>
          <w:lang w:val="en-US"/>
        </w:rPr>
        <w:t xml:space="preserve"> </w:t>
      </w:r>
      <w:r>
        <w:rPr>
          <w:sz w:val="24"/>
          <w:szCs w:val="24"/>
          <w:lang w:val="en-US"/>
        </w:rPr>
        <w:t>explicitly</w:t>
      </w:r>
      <w:r>
        <w:rPr>
          <w:sz w:val="24"/>
          <w:szCs w:val="24"/>
          <w:lang w:val="en-US"/>
        </w:rPr>
        <w:t xml:space="preserve"> define </w:t>
      </w:r>
      <w:r>
        <w:rPr>
          <w:sz w:val="24"/>
          <w:szCs w:val="24"/>
          <w:lang w:val="en-US"/>
        </w:rPr>
        <w:t>the</w:t>
      </w:r>
      <w:r>
        <w:rPr>
          <w:sz w:val="24"/>
          <w:szCs w:val="24"/>
          <w:lang w:val="en-US"/>
        </w:rPr>
        <w:t xml:space="preserve"> IBM HR </w:t>
      </w:r>
      <w:r>
        <w:rPr>
          <w:sz w:val="24"/>
          <w:szCs w:val="24"/>
          <w:lang w:val="en-US"/>
        </w:rPr>
        <w:t>Analytics</w:t>
      </w:r>
      <w:r>
        <w:rPr>
          <w:sz w:val="24"/>
          <w:szCs w:val="24"/>
          <w:lang w:val="en-US"/>
        </w:rPr>
        <w:t xml:space="preserve"> </w:t>
      </w:r>
      <w:r>
        <w:rPr>
          <w:sz w:val="24"/>
          <w:szCs w:val="24"/>
          <w:lang w:val="en-US"/>
        </w:rPr>
        <w:t>dataset</w:t>
      </w:r>
      <w:r>
        <w:rPr>
          <w:sz w:val="24"/>
          <w:szCs w:val="24"/>
          <w:lang w:val="en-US"/>
        </w:rPr>
        <w:t xml:space="preserve"> as a </w:t>
      </w:r>
      <w:r>
        <w:rPr>
          <w:sz w:val="24"/>
          <w:szCs w:val="24"/>
          <w:lang w:val="en-US"/>
        </w:rPr>
        <w:t>high-fidelity</w:t>
      </w:r>
      <w:r>
        <w:rPr>
          <w:sz w:val="24"/>
          <w:szCs w:val="24"/>
          <w:lang w:val="en-US"/>
        </w:rPr>
        <w:t xml:space="preserve"> proxy </w:t>
      </w:r>
      <w:r>
        <w:rPr>
          <w:sz w:val="24"/>
          <w:szCs w:val="24"/>
          <w:lang w:val="en-US"/>
        </w:rPr>
        <w:t>for</w:t>
      </w:r>
      <w:r>
        <w:rPr>
          <w:sz w:val="24"/>
          <w:szCs w:val="24"/>
          <w:lang w:val="en-US"/>
        </w:rPr>
        <w:t xml:space="preserve"> </w:t>
      </w:r>
      <w:r>
        <w:rPr>
          <w:sz w:val="24"/>
          <w:szCs w:val="24"/>
          <w:lang w:val="en-US"/>
        </w:rPr>
        <w:t>TechCorp’s</w:t>
      </w:r>
      <w:r>
        <w:rPr>
          <w:sz w:val="24"/>
          <w:szCs w:val="24"/>
          <w:lang w:val="en-US"/>
        </w:rPr>
        <w:t xml:space="preserve"> </w:t>
      </w:r>
      <w:r>
        <w:rPr>
          <w:sz w:val="24"/>
          <w:szCs w:val="24"/>
          <w:lang w:val="en-US"/>
        </w:rPr>
        <w:t>workforce</w:t>
      </w:r>
      <w:r>
        <w:rPr>
          <w:sz w:val="24"/>
          <w:szCs w:val="24"/>
          <w:lang w:val="en-US"/>
        </w:rPr>
        <w:t>.</w:t>
      </w:r>
    </w:p>
    <w:p w14:paraId="000001EF">
      <w:pPr>
        <w:pStyle w:val="ListParagraph"/>
        <w:spacing w:before="180" w:after="180"/>
        <w:ind w:left="1440"/>
        <w:jc w:val="left"/>
        <w:rPr/>
      </w:pPr>
    </w:p>
    <w:p w14:paraId="000001F0">
      <w:pPr>
        <w:pStyle w:val="ListParagraph"/>
        <w:numPr>
          <w:ilvl w:val="1"/>
          <w:numId w:val="1"/>
        </w:numPr>
        <w:spacing w:before="180" w:after="180"/>
        <w:jc w:val="left"/>
        <w:rPr>
          <w:sz w:val="24"/>
          <w:szCs w:val="24"/>
          <w:lang w:val="en-US"/>
        </w:rPr>
      </w:pPr>
      <w:r>
        <w:rPr>
          <w:sz w:val="24"/>
          <w:szCs w:val="24"/>
          <w:lang w:val="en-US"/>
        </w:rPr>
        <w:t>Justification: Added details linking IBM’s attributes (</w:t>
      </w:r>
      <w:r>
        <w:rPr>
          <w:sz w:val="24"/>
          <w:szCs w:val="24"/>
          <w:lang w:val="en-US"/>
        </w:rPr>
        <w:t>JobLevel</w:t>
      </w:r>
      <w:r>
        <w:rPr>
          <w:sz w:val="24"/>
          <w:szCs w:val="24"/>
          <w:lang w:val="en-US"/>
        </w:rPr>
        <w:t xml:space="preserve"> 4–5, Role, and Overtime) directly to the senior developer profiles currently experiencing high attrition at </w:t>
      </w:r>
      <w:r>
        <w:rPr>
          <w:sz w:val="24"/>
          <w:szCs w:val="24"/>
          <w:lang w:val="en-US"/>
        </w:rPr>
        <w:t>TechCorp</w:t>
      </w:r>
      <w:r>
        <w:rPr>
          <w:sz w:val="24"/>
          <w:szCs w:val="24"/>
          <w:lang w:val="en-US"/>
        </w:rPr>
        <w:t>.</w:t>
      </w:r>
    </w:p>
    <w:p w14:paraId="000001F1">
      <w:pPr>
        <w:pStyle w:val="ListParagraph"/>
        <w:spacing w:before="180" w:after="180"/>
        <w:ind w:left="1440"/>
        <w:jc w:val="left"/>
        <w:rPr/>
      </w:pPr>
    </w:p>
    <w:p w14:paraId="000001F2">
      <w:pPr>
        <w:pStyle w:val="ListParagraph"/>
        <w:numPr>
          <w:ilvl w:val="0"/>
          <w:numId w:val="1"/>
        </w:numPr>
        <w:spacing w:before="180" w:after="180"/>
        <w:jc w:val="left"/>
        <w:rPr>
          <w:sz w:val="24"/>
          <w:szCs w:val="24"/>
          <w:lang w:val="en-US"/>
        </w:rPr>
      </w:pPr>
      <w:r>
        <w:rPr>
          <w:sz w:val="24"/>
          <w:szCs w:val="24"/>
          <w:lang w:val="en-US"/>
        </w:rPr>
        <w:t>Metric Verification:</w:t>
      </w:r>
    </w:p>
    <w:p w14:paraId="000001F3">
      <w:pPr>
        <w:pStyle w:val="ListParagraph"/>
        <w:spacing w:before="180" w:after="180"/>
        <w:ind w:left="720"/>
        <w:jc w:val="left"/>
        <w:rPr/>
      </w:pPr>
    </w:p>
    <w:p w14:paraId="000001F4">
      <w:pPr>
        <w:pStyle w:val="ListParagraph"/>
        <w:numPr>
          <w:ilvl w:val="1"/>
          <w:numId w:val="1"/>
        </w:numPr>
        <w:spacing w:before="180" w:after="180"/>
        <w:jc w:val="left"/>
        <w:rPr>
          <w:sz w:val="24"/>
          <w:szCs w:val="24"/>
          <w:lang w:val="en-US"/>
        </w:rPr>
      </w:pPr>
      <w:r>
        <w:rPr>
          <w:sz w:val="24"/>
          <w:szCs w:val="24"/>
          <w:lang w:val="en-US"/>
        </w:rPr>
        <w:t>Correction: Audited all performance metrics in Section 7 (Results) to ensure Recall (66.0%) and Accuracy (85.2%) strictly match the mathematical output of the Confusion Matrix and AUC-ROC curves provided in Annex B.</w:t>
      </w:r>
    </w:p>
    <w:p w14:paraId="000001F5">
      <w:pPr>
        <w:pStyle w:val="ListParagraph"/>
        <w:spacing w:before="180" w:after="180"/>
        <w:ind w:left="1440"/>
        <w:jc w:val="left"/>
        <w:rPr/>
      </w:pPr>
    </w:p>
    <w:p w14:paraId="000001F6">
      <w:pPr>
        <w:pStyle w:val="ListParagraph"/>
        <w:numPr>
          <w:ilvl w:val="0"/>
          <w:numId w:val="1"/>
        </w:numPr>
        <w:spacing w:before="180" w:after="180"/>
        <w:jc w:val="left"/>
        <w:rPr>
          <w:sz w:val="24"/>
          <w:szCs w:val="24"/>
          <w:lang w:val="en-US"/>
        </w:rPr>
      </w:pPr>
      <w:r>
        <w:rPr>
          <w:sz w:val="24"/>
          <w:szCs w:val="24"/>
          <w:lang w:val="en-US"/>
        </w:rPr>
        <w:t>Bibliography Audit:</w:t>
      </w:r>
    </w:p>
    <w:p w14:paraId="000001F7">
      <w:pPr>
        <w:pStyle w:val="ListParagraph"/>
        <w:spacing w:before="180" w:after="180"/>
        <w:ind w:left="720"/>
        <w:jc w:val="left"/>
        <w:rPr/>
      </w:pPr>
    </w:p>
    <w:p w14:paraId="000001F8">
      <w:pPr>
        <w:pStyle w:val="ListParagraph"/>
        <w:numPr>
          <w:ilvl w:val="1"/>
          <w:numId w:val="1"/>
        </w:numPr>
        <w:spacing w:before="180" w:after="180"/>
        <w:jc w:val="left"/>
        <w:rPr/>
      </w:pPr>
      <w:r>
        <w:rPr>
          <w:sz w:val="24"/>
          <w:szCs w:val="24"/>
          <w:lang w:val="en-US"/>
        </w:rPr>
        <w:t xml:space="preserve">Correction: Removed the reference for Chawla et al. (2002) </w:t>
      </w:r>
      <w:r>
        <w:rPr>
          <w:sz w:val="24"/>
          <w:szCs w:val="24"/>
          <w:lang w:val="en-US"/>
        </w:rPr>
        <w:t>regarding</w:t>
      </w:r>
      <w:r>
        <w:rPr>
          <w:sz w:val="24"/>
          <w:szCs w:val="24"/>
          <w:lang w:val="en-US"/>
        </w:rPr>
        <w:t xml:space="preserve"> SMOTE and updated the reference list to </w:t>
      </w:r>
      <w:r>
        <w:rPr>
          <w:sz w:val="24"/>
          <w:szCs w:val="24"/>
          <w:lang w:val="en-US"/>
        </w:rPr>
        <w:t>maintain</w:t>
      </w:r>
      <w:r>
        <w:rPr>
          <w:sz w:val="24"/>
          <w:szCs w:val="24"/>
          <w:lang w:val="en-US"/>
        </w:rPr>
        <w:t xml:space="preserve"> academic integrity based on the revised oversampling </w:t>
      </w:r>
      <w:r>
        <w:rPr>
          <w:sz w:val="24"/>
          <w:szCs w:val="24"/>
          <w:lang w:val="en-US"/>
        </w:rPr>
        <w:t>methodology</w:t>
      </w:r>
      <w:r>
        <w:rPr>
          <w:sz w:val="24"/>
          <w:szCs w:val="24"/>
          <w:lang w:val="en-US"/>
        </w:rPr>
        <w:t>.</w:t>
      </w:r>
    </w:p>
    <w:p w14:paraId="000001F9">
      <w:pPr>
        <w:spacing w:before="180" w:after="180" w:line="480" w:lineRule="auto"/>
        <w:ind w:firstLine="0"/>
        <w:jc w:val="left"/>
        <w:rPr>
          <w:rFonts w:ascii="Times New Roman" w:cs="Times New Roman" w:eastAsia="Times New Roman" w:hAnsi="Times New Roman"/>
          <w:sz w:val="24"/>
          <w:szCs w:val="24"/>
          <w:lang w:val="en-US"/>
        </w:rPr>
      </w:pPr>
    </w:p>
    <w:p w14:paraId="000001FA">
      <w:r>
        <w:rPr/>
        <w:br w:type="page"/>
      </w:r>
    </w:p>
    <w:p w14:paraId="000001FB">
      <w:pPr>
        <w:pStyle w:val="Normal"/>
        <w:spacing w:before="180" w:after="180" w:line="480" w:lineRule="auto"/>
        <w:ind w:firstLine="708"/>
        <w:jc w:val="center"/>
        <w:rPr>
          <w:rFonts w:ascii="Times New Roman" w:cs="Times New Roman" w:eastAsia="Times New Roman" w:hAnsi="Times New Roman"/>
          <w:sz w:val="24"/>
          <w:szCs w:val="24"/>
          <w:lang w:val="en-US"/>
        </w:rPr>
      </w:pPr>
      <w:r>
        <w:rPr>
          <w:rFonts w:ascii="Times New Roman" w:cs="Times New Roman" w:eastAsia="Times New Roman" w:hAnsi="Times New Roman"/>
          <w:b/>
          <w:bCs/>
          <w:sz w:val="48"/>
          <w:szCs w:val="48"/>
          <w:lang w:val="en-US"/>
        </w:rPr>
        <w:t>References</w:t>
      </w:r>
    </w:p>
    <w:p w14:paraId="000001FC">
      <w:pPr>
        <w:spacing w:before="180" w:after="180" w:line="480" w:lineRule="auto"/>
        <w:ind w:left="720" w:hanging="720"/>
        <w:jc w:val="left"/>
        <w:rPr/>
      </w:pPr>
      <w:r>
        <w:rPr>
          <w:rFonts w:ascii="Times New Roman" w:cs="Times New Roman" w:eastAsia="Times New Roman" w:hAnsi="Times New Roman"/>
          <w:sz w:val="24"/>
          <w:szCs w:val="24"/>
          <w:lang w:val="es-ES"/>
        </w:rPr>
        <w:t>Abassi</w:t>
      </w:r>
      <w:r>
        <w:rPr>
          <w:rFonts w:ascii="Times New Roman" w:cs="Times New Roman" w:eastAsia="Times New Roman" w:hAnsi="Times New Roman"/>
          <w:sz w:val="24"/>
          <w:szCs w:val="24"/>
          <w:lang w:val="es-ES"/>
        </w:rPr>
        <w:t xml:space="preserve">, S. M., &amp; Hollman, K. W. (2000). </w:t>
      </w:r>
      <w:r>
        <w:rPr>
          <w:rFonts w:ascii="Times New Roman" w:cs="Times New Roman" w:eastAsia="Times New Roman" w:hAnsi="Times New Roman"/>
          <w:sz w:val="24"/>
          <w:szCs w:val="24"/>
          <w:lang w:val="es-ES"/>
        </w:rPr>
        <w:t>Turnover</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real bottom line. </w:t>
      </w:r>
      <w:r>
        <w:rPr>
          <w:rFonts w:ascii="Times New Roman" w:cs="Times New Roman" w:eastAsia="Times New Roman" w:hAnsi="Times New Roman"/>
          <w:i/>
          <w:iCs/>
          <w:sz w:val="24"/>
          <w:szCs w:val="24"/>
          <w:lang w:val="es-ES"/>
        </w:rPr>
        <w:t>Public</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Personnel</w:t>
      </w:r>
      <w:r>
        <w:rPr>
          <w:rFonts w:ascii="Times New Roman" w:cs="Times New Roman" w:eastAsia="Times New Roman" w:hAnsi="Times New Roman"/>
          <w:i/>
          <w:iCs/>
          <w:sz w:val="24"/>
          <w:szCs w:val="24"/>
          <w:lang w:val="es-ES"/>
        </w:rPr>
        <w:t xml:space="preserve"> Management</w:t>
      </w:r>
      <w:r>
        <w:rPr>
          <w:rFonts w:ascii="Times New Roman" w:cs="Times New Roman" w:eastAsia="Times New Roman" w:hAnsi="Times New Roman"/>
          <w:sz w:val="24"/>
          <w:szCs w:val="24"/>
          <w:lang w:val="es-ES"/>
        </w:rPr>
        <w:t>, 29(3), 333–342.</w:t>
      </w:r>
    </w:p>
    <w:p w14:paraId="000001FD">
      <w:pPr>
        <w:spacing w:before="180" w:after="180" w:line="480" w:lineRule="auto"/>
        <w:ind w:left="720" w:hanging="720"/>
        <w:jc w:val="left"/>
        <w:rPr/>
      </w:pPr>
      <w:r>
        <w:rPr>
          <w:rFonts w:ascii="Times New Roman" w:cs="Times New Roman" w:eastAsia="Times New Roman" w:hAnsi="Times New Roman"/>
          <w:sz w:val="24"/>
          <w:szCs w:val="24"/>
          <w:lang w:val="es-ES"/>
        </w:rPr>
        <w:t xml:space="preserve">American </w:t>
      </w:r>
      <w:r>
        <w:rPr>
          <w:rFonts w:ascii="Times New Roman" w:cs="Times New Roman" w:eastAsia="Times New Roman" w:hAnsi="Times New Roman"/>
          <w:sz w:val="24"/>
          <w:szCs w:val="24"/>
          <w:lang w:val="es-ES"/>
        </w:rPr>
        <w:t>Psychological</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Association</w:t>
      </w:r>
      <w:r>
        <w:rPr>
          <w:rFonts w:ascii="Times New Roman" w:cs="Times New Roman" w:eastAsia="Times New Roman" w:hAnsi="Times New Roman"/>
          <w:sz w:val="24"/>
          <w:szCs w:val="24"/>
          <w:lang w:val="es-ES"/>
        </w:rPr>
        <w:t xml:space="preserve">. (2020). </w:t>
      </w:r>
      <w:r>
        <w:rPr>
          <w:rFonts w:ascii="Times New Roman" w:cs="Times New Roman" w:eastAsia="Times New Roman" w:hAnsi="Times New Roman"/>
          <w:i/>
          <w:iCs/>
          <w:sz w:val="24"/>
          <w:szCs w:val="24"/>
          <w:lang w:val="es-ES"/>
        </w:rPr>
        <w:t>Publication</w:t>
      </w:r>
      <w:r>
        <w:rPr>
          <w:rFonts w:ascii="Times New Roman" w:cs="Times New Roman" w:eastAsia="Times New Roman" w:hAnsi="Times New Roman"/>
          <w:i/>
          <w:iCs/>
          <w:sz w:val="24"/>
          <w:szCs w:val="24"/>
          <w:lang w:val="es-ES"/>
        </w:rPr>
        <w:t xml:space="preserve"> manual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the</w:t>
      </w:r>
      <w:r>
        <w:rPr>
          <w:rFonts w:ascii="Times New Roman" w:cs="Times New Roman" w:eastAsia="Times New Roman" w:hAnsi="Times New Roman"/>
          <w:i/>
          <w:iCs/>
          <w:sz w:val="24"/>
          <w:szCs w:val="24"/>
          <w:lang w:val="es-ES"/>
        </w:rPr>
        <w:t xml:space="preserve"> American </w:t>
      </w:r>
      <w:r>
        <w:rPr>
          <w:rFonts w:ascii="Times New Roman" w:cs="Times New Roman" w:eastAsia="Times New Roman" w:hAnsi="Times New Roman"/>
          <w:i/>
          <w:iCs/>
          <w:sz w:val="24"/>
          <w:szCs w:val="24"/>
          <w:lang w:val="es-ES"/>
        </w:rPr>
        <w:t>Psychological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Association</w:t>
      </w:r>
      <w:r>
        <w:rPr>
          <w:rFonts w:ascii="Times New Roman" w:cs="Times New Roman" w:eastAsia="Times New Roman" w:hAnsi="Times New Roman"/>
          <w:sz w:val="24"/>
          <w:szCs w:val="24"/>
          <w:lang w:val="es-ES"/>
        </w:rPr>
        <w:t xml:space="preserve"> (7th ed.). </w:t>
      </w:r>
      <w:r>
        <w:rPr>
          <w:rStyle w:val="Hyperlink"/>
          <w:rFonts w:ascii="Times New Roman" w:cs="Times New Roman" w:eastAsia="Times New Roman" w:hAnsi="Times New Roman"/>
          <w:sz w:val="24"/>
          <w:szCs w:val="24"/>
          <w:lang w:val="es-ES"/>
        </w:rPr>
        <w:fldChar w:fldCharType="begin"/>
      </w:r>
      <w:r>
        <w:rPr>
          <w:rStyle w:val="Hyperlink"/>
          <w:rFonts w:ascii="Times New Roman" w:cs="Times New Roman" w:eastAsia="Times New Roman" w:hAnsi="Times New Roman"/>
          <w:sz w:val="24"/>
          <w:szCs w:val="24"/>
          <w:lang w:val="es-ES"/>
        </w:rPr>
        <w:instrText xml:space="preserve">HYPERLINK "https://www.google.com/search?q=https://doi.org/10.1031/0000165-000" </w:instrText>
      </w:r>
      <w:r>
        <w:rPr>
          <w:rStyle w:val="Hyperlink"/>
          <w:rFonts w:ascii="Times New Roman" w:cs="Times New Roman" w:eastAsia="Times New Roman" w:hAnsi="Times New Roman"/>
          <w:sz w:val="24"/>
          <w:szCs w:val="24"/>
          <w:lang w:val="es-ES"/>
        </w:rPr>
        <w:fldChar w:fldCharType="separate"/>
      </w:r>
      <w:r>
        <w:rPr>
          <w:rStyle w:val="Hyperlink"/>
          <w:rFonts w:ascii="Times New Roman" w:cs="Times New Roman" w:eastAsia="Times New Roman" w:hAnsi="Times New Roman"/>
          <w:sz w:val="24"/>
          <w:szCs w:val="24"/>
          <w:lang w:val="es-ES"/>
        </w:rPr>
        <w:t>https://doi.org/10.1031/0000165-000</w:t>
      </w:r>
      <w:r>
        <w:fldChar w:fldCharType="end"/>
      </w:r>
    </w:p>
    <w:p w14:paraId="000001FE">
      <w:pPr>
        <w:spacing w:before="180" w:after="180" w:line="480" w:lineRule="auto"/>
        <w:ind w:left="720" w:hanging="720"/>
        <w:jc w:val="left"/>
        <w:rPr/>
      </w:pPr>
      <w:r>
        <w:rPr>
          <w:rFonts w:ascii="Times New Roman" w:cs="Times New Roman" w:eastAsia="Times New Roman" w:hAnsi="Times New Roman"/>
          <w:sz w:val="24"/>
          <w:szCs w:val="24"/>
          <w:lang w:val="es-ES"/>
        </w:rPr>
        <w:t xml:space="preserve">Azeroual, O., et al. (2025). Data Mining in HR: Frameworks for </w:t>
      </w:r>
      <w:r>
        <w:rPr>
          <w:rFonts w:ascii="Times New Roman" w:cs="Times New Roman" w:eastAsia="Times New Roman" w:hAnsi="Times New Roman"/>
          <w:sz w:val="24"/>
          <w:szCs w:val="24"/>
          <w:lang w:val="es-ES"/>
        </w:rPr>
        <w:t>Success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Journal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Applied</w:t>
      </w:r>
      <w:r>
        <w:rPr>
          <w:rFonts w:ascii="Times New Roman" w:cs="Times New Roman" w:eastAsia="Times New Roman" w:hAnsi="Times New Roman"/>
          <w:i/>
          <w:iCs/>
          <w:sz w:val="24"/>
          <w:szCs w:val="24"/>
          <w:lang w:val="es-ES"/>
        </w:rPr>
        <w:t xml:space="preserve"> Data </w:t>
      </w:r>
      <w:r>
        <w:rPr>
          <w:rFonts w:ascii="Times New Roman" w:cs="Times New Roman" w:eastAsia="Times New Roman" w:hAnsi="Times New Roman"/>
          <w:i/>
          <w:iCs/>
          <w:sz w:val="24"/>
          <w:szCs w:val="24"/>
          <w:lang w:val="es-ES"/>
        </w:rPr>
        <w:t>Science</w:t>
      </w:r>
      <w:r>
        <w:rPr>
          <w:rFonts w:ascii="Times New Roman" w:cs="Times New Roman" w:eastAsia="Times New Roman" w:hAnsi="Times New Roman"/>
          <w:sz w:val="24"/>
          <w:szCs w:val="24"/>
          <w:lang w:val="es-ES"/>
        </w:rPr>
        <w:t>, 14(2), 112–125.</w:t>
      </w:r>
    </w:p>
    <w:p w14:paraId="000001FF">
      <w:pPr>
        <w:spacing w:before="180" w:after="180" w:line="480" w:lineRule="auto"/>
        <w:ind w:left="720" w:hanging="720"/>
        <w:jc w:val="left"/>
        <w:rPr/>
      </w:pPr>
      <w:r>
        <w:rPr>
          <w:rFonts w:ascii="Times New Roman" w:cs="Times New Roman" w:eastAsia="Times New Roman" w:hAnsi="Times New Roman"/>
          <w:sz w:val="24"/>
          <w:szCs w:val="24"/>
          <w:lang w:val="es-ES"/>
        </w:rPr>
        <w:t>Breiman</w:t>
      </w:r>
      <w:r>
        <w:rPr>
          <w:rFonts w:ascii="Times New Roman" w:cs="Times New Roman" w:eastAsia="Times New Roman" w:hAnsi="Times New Roman"/>
          <w:sz w:val="24"/>
          <w:szCs w:val="24"/>
          <w:lang w:val="es-ES"/>
        </w:rPr>
        <w:t xml:space="preserve">, L. (2001). </w:t>
      </w:r>
      <w:r>
        <w:rPr>
          <w:rFonts w:ascii="Times New Roman" w:cs="Times New Roman" w:eastAsia="Times New Roman" w:hAnsi="Times New Roman"/>
          <w:sz w:val="24"/>
          <w:szCs w:val="24"/>
          <w:lang w:val="es-ES"/>
        </w:rPr>
        <w:t>Random</w:t>
      </w:r>
      <w:r>
        <w:rPr>
          <w:rFonts w:ascii="Times New Roman" w:cs="Times New Roman" w:eastAsia="Times New Roman" w:hAnsi="Times New Roman"/>
          <w:sz w:val="24"/>
          <w:szCs w:val="24"/>
          <w:lang w:val="es-ES"/>
        </w:rPr>
        <w:t xml:space="preserve"> Forests. </w:t>
      </w:r>
      <w:r>
        <w:rPr>
          <w:rFonts w:ascii="Times New Roman" w:cs="Times New Roman" w:eastAsia="Times New Roman" w:hAnsi="Times New Roman"/>
          <w:i/>
          <w:iCs/>
          <w:sz w:val="24"/>
          <w:szCs w:val="24"/>
          <w:lang w:val="es-ES"/>
        </w:rPr>
        <w:t xml:space="preserve">Machine </w:t>
      </w:r>
      <w:r>
        <w:rPr>
          <w:rFonts w:ascii="Times New Roman" w:cs="Times New Roman" w:eastAsia="Times New Roman" w:hAnsi="Times New Roman"/>
          <w:i/>
          <w:iCs/>
          <w:sz w:val="24"/>
          <w:szCs w:val="24"/>
          <w:lang w:val="es-ES"/>
        </w:rPr>
        <w:t>Learning</w:t>
      </w:r>
      <w:r>
        <w:rPr>
          <w:rFonts w:ascii="Times New Roman" w:cs="Times New Roman" w:eastAsia="Times New Roman" w:hAnsi="Times New Roman"/>
          <w:sz w:val="24"/>
          <w:szCs w:val="24"/>
          <w:lang w:val="es-ES"/>
        </w:rPr>
        <w:t>, 45(1), 5–32.</w:t>
      </w:r>
    </w:p>
    <w:p w14:paraId="00000200">
      <w:pPr>
        <w:spacing w:before="180" w:after="180" w:line="480" w:lineRule="auto"/>
        <w:ind w:left="720" w:hanging="720"/>
        <w:jc w:val="left"/>
        <w:rPr/>
      </w:pPr>
      <w:r>
        <w:rPr>
          <w:rFonts w:ascii="Times New Roman" w:cs="Times New Roman" w:eastAsia="Times New Roman" w:hAnsi="Times New Roman"/>
          <w:sz w:val="24"/>
          <w:szCs w:val="24"/>
          <w:lang w:val="es-ES"/>
        </w:rPr>
        <w:t>Cascio</w:t>
      </w:r>
      <w:r>
        <w:rPr>
          <w:rFonts w:ascii="Times New Roman" w:cs="Times New Roman" w:eastAsia="Times New Roman" w:hAnsi="Times New Roman"/>
          <w:sz w:val="24"/>
          <w:szCs w:val="24"/>
          <w:lang w:val="es-ES"/>
        </w:rPr>
        <w:t xml:space="preserve">, W. F. (2006). </w:t>
      </w:r>
      <w:r>
        <w:rPr>
          <w:rFonts w:ascii="Times New Roman" w:cs="Times New Roman" w:eastAsia="Times New Roman" w:hAnsi="Times New Roman"/>
          <w:i/>
          <w:iCs/>
          <w:sz w:val="24"/>
          <w:szCs w:val="24"/>
          <w:lang w:val="es-ES"/>
        </w:rPr>
        <w:t xml:space="preserve">Managing Human Resources: Productivity, </w:t>
      </w:r>
      <w:r>
        <w:rPr>
          <w:rFonts w:ascii="Times New Roman" w:cs="Times New Roman" w:eastAsia="Times New Roman" w:hAnsi="Times New Roman"/>
          <w:i/>
          <w:iCs/>
          <w:sz w:val="24"/>
          <w:szCs w:val="24"/>
          <w:lang w:val="es-ES"/>
        </w:rPr>
        <w:t>Quality</w:t>
      </w:r>
      <w:r>
        <w:rPr>
          <w:rFonts w:ascii="Times New Roman" w:cs="Times New Roman" w:eastAsia="Times New Roman" w:hAnsi="Times New Roman"/>
          <w:i/>
          <w:iCs/>
          <w:sz w:val="24"/>
          <w:szCs w:val="24"/>
          <w:lang w:val="es-ES"/>
        </w:rPr>
        <w:t xml:space="preserve"> of </w:t>
      </w:r>
      <w:r>
        <w:rPr>
          <w:rFonts w:ascii="Times New Roman" w:cs="Times New Roman" w:eastAsia="Times New Roman" w:hAnsi="Times New Roman"/>
          <w:i/>
          <w:iCs/>
          <w:sz w:val="24"/>
          <w:szCs w:val="24"/>
          <w:lang w:val="es-ES"/>
        </w:rPr>
        <w:t>Work</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Life</w:t>
      </w:r>
      <w:r>
        <w:rPr>
          <w:rFonts w:ascii="Times New Roman" w:cs="Times New Roman" w:eastAsia="Times New Roman" w:hAnsi="Times New Roman"/>
          <w:i/>
          <w:iCs/>
          <w:sz w:val="24"/>
          <w:szCs w:val="24"/>
          <w:lang w:val="es-ES"/>
        </w:rPr>
        <w:t>, Profits</w:t>
      </w:r>
      <w:r>
        <w:rPr>
          <w:rFonts w:ascii="Times New Roman" w:cs="Times New Roman" w:eastAsia="Times New Roman" w:hAnsi="Times New Roman"/>
          <w:sz w:val="24"/>
          <w:szCs w:val="24"/>
          <w:lang w:val="es-ES"/>
        </w:rPr>
        <w:t>. McGraw-Hill.</w:t>
      </w:r>
    </w:p>
    <w:p w14:paraId="00000201">
      <w:pPr>
        <w:spacing w:before="180" w:after="180" w:line="480" w:lineRule="auto"/>
        <w:ind w:left="720" w:hanging="720"/>
        <w:jc w:val="left"/>
        <w:rPr/>
      </w:pPr>
      <w:r>
        <w:rPr>
          <w:rFonts w:ascii="Times New Roman" w:cs="Times New Roman" w:eastAsia="Times New Roman" w:hAnsi="Times New Roman"/>
          <w:sz w:val="24"/>
          <w:szCs w:val="24"/>
          <w:lang w:val="es-ES"/>
        </w:rPr>
        <w:t xml:space="preserve">Chapman, P., Clinton, J., Kerber, R., </w:t>
      </w:r>
      <w:r>
        <w:rPr>
          <w:rFonts w:ascii="Times New Roman" w:cs="Times New Roman" w:eastAsia="Times New Roman" w:hAnsi="Times New Roman"/>
          <w:sz w:val="24"/>
          <w:szCs w:val="24"/>
          <w:lang w:val="es-ES"/>
        </w:rPr>
        <w:t>Khabaza</w:t>
      </w:r>
      <w:r>
        <w:rPr>
          <w:rFonts w:ascii="Times New Roman" w:cs="Times New Roman" w:eastAsia="Times New Roman" w:hAnsi="Times New Roman"/>
          <w:sz w:val="24"/>
          <w:szCs w:val="24"/>
          <w:lang w:val="es-ES"/>
        </w:rPr>
        <w:t xml:space="preserve">, T., Reinartz, T., Shearer, C., &amp; Wirth, R. (2000). </w:t>
      </w:r>
      <w:r>
        <w:rPr>
          <w:rFonts w:ascii="Times New Roman" w:cs="Times New Roman" w:eastAsia="Times New Roman" w:hAnsi="Times New Roman"/>
          <w:i/>
          <w:iCs/>
          <w:sz w:val="24"/>
          <w:szCs w:val="24"/>
          <w:lang w:val="es-ES"/>
        </w:rPr>
        <w:t>CRISP-DM 1.0: Step-by-step data mining guide</w:t>
      </w:r>
      <w:r>
        <w:rPr>
          <w:rFonts w:ascii="Times New Roman" w:cs="Times New Roman" w:eastAsia="Times New Roman" w:hAnsi="Times New Roman"/>
          <w:sz w:val="24"/>
          <w:szCs w:val="24"/>
          <w:lang w:val="es-ES"/>
        </w:rPr>
        <w:t>. SPSS.</w:t>
      </w:r>
    </w:p>
    <w:p w14:paraId="00000202">
      <w:pPr>
        <w:spacing w:before="180" w:after="180" w:line="480" w:lineRule="auto"/>
        <w:ind w:left="720" w:hanging="720"/>
        <w:jc w:val="left"/>
        <w:rPr/>
      </w:pPr>
      <w:r>
        <w:rPr>
          <w:rFonts w:ascii="Times New Roman" w:cs="Times New Roman" w:eastAsia="Times New Roman" w:hAnsi="Times New Roman"/>
          <w:sz w:val="24"/>
          <w:szCs w:val="24"/>
          <w:lang w:val="es-ES"/>
        </w:rPr>
        <w:t xml:space="preserve">Davenport, T. H., Harris, J., &amp; Shapiro, J. (2010). </w:t>
      </w:r>
      <w:r>
        <w:rPr>
          <w:rFonts w:ascii="Times New Roman" w:cs="Times New Roman" w:eastAsia="Times New Roman" w:hAnsi="Times New Roman"/>
          <w:sz w:val="24"/>
          <w:szCs w:val="24"/>
          <w:lang w:val="es-ES"/>
        </w:rPr>
        <w:t>Competing</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on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Talent</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Analytics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 xml:space="preserve">Harvard Business </w:t>
      </w:r>
      <w:r>
        <w:rPr>
          <w:rFonts w:ascii="Times New Roman" w:cs="Times New Roman" w:eastAsia="Times New Roman" w:hAnsi="Times New Roman"/>
          <w:i/>
          <w:iCs/>
          <w:sz w:val="24"/>
          <w:szCs w:val="24"/>
          <w:lang w:val="es-ES"/>
        </w:rPr>
        <w:t>Review</w:t>
      </w:r>
      <w:r>
        <w:rPr>
          <w:rFonts w:ascii="Times New Roman" w:cs="Times New Roman" w:eastAsia="Times New Roman" w:hAnsi="Times New Roman"/>
          <w:sz w:val="24"/>
          <w:szCs w:val="24"/>
          <w:lang w:val="es-ES"/>
        </w:rPr>
        <w:t>, 88(10), 52–58.</w:t>
      </w:r>
    </w:p>
    <w:p w14:paraId="00000203">
      <w:pPr>
        <w:spacing w:before="180" w:after="180" w:line="480" w:lineRule="auto"/>
        <w:ind w:left="720" w:hanging="720"/>
        <w:jc w:val="left"/>
        <w:rPr/>
      </w:pPr>
      <w:r>
        <w:rPr>
          <w:rFonts w:ascii="Times New Roman" w:cs="Times New Roman" w:eastAsia="Times New Roman" w:hAnsi="Times New Roman"/>
          <w:sz w:val="24"/>
          <w:szCs w:val="24"/>
          <w:lang w:val="es-ES"/>
        </w:rPr>
        <w:t>Fitz-</w:t>
      </w:r>
      <w:r>
        <w:rPr>
          <w:rFonts w:ascii="Times New Roman" w:cs="Times New Roman" w:eastAsia="Times New Roman" w:hAnsi="Times New Roman"/>
          <w:sz w:val="24"/>
          <w:szCs w:val="24"/>
          <w:lang w:val="es-ES"/>
        </w:rPr>
        <w:t>Enz</w:t>
      </w:r>
      <w:r>
        <w:rPr>
          <w:rFonts w:ascii="Times New Roman" w:cs="Times New Roman" w:eastAsia="Times New Roman" w:hAnsi="Times New Roman"/>
          <w:sz w:val="24"/>
          <w:szCs w:val="24"/>
          <w:lang w:val="es-ES"/>
        </w:rPr>
        <w:t xml:space="preserve">, J. (2010). </w:t>
      </w:r>
      <w:r>
        <w:rPr>
          <w:rFonts w:ascii="Times New Roman" w:cs="Times New Roman" w:eastAsia="Times New Roman" w:hAnsi="Times New Roman"/>
          <w:i/>
          <w:iCs/>
          <w:sz w:val="24"/>
          <w:szCs w:val="24"/>
          <w:lang w:val="es-ES"/>
        </w:rPr>
        <w:t>The</w:t>
      </w:r>
      <w:r>
        <w:rPr>
          <w:rFonts w:ascii="Times New Roman" w:cs="Times New Roman" w:eastAsia="Times New Roman" w:hAnsi="Times New Roman"/>
          <w:i/>
          <w:iCs/>
          <w:sz w:val="24"/>
          <w:szCs w:val="24"/>
          <w:lang w:val="es-ES"/>
        </w:rPr>
        <w:t xml:space="preserve"> New HR </w:t>
      </w:r>
      <w:r>
        <w:rPr>
          <w:rFonts w:ascii="Times New Roman" w:cs="Times New Roman" w:eastAsia="Times New Roman" w:hAnsi="Times New Roman"/>
          <w:i/>
          <w:iCs/>
          <w:sz w:val="24"/>
          <w:szCs w:val="24"/>
          <w:lang w:val="es-ES"/>
        </w:rPr>
        <w:t>Analytics</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Predicting</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the</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Economic</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Value</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Your </w:t>
      </w:r>
      <w:r>
        <w:rPr>
          <w:rFonts w:ascii="Times New Roman" w:cs="Times New Roman" w:eastAsia="Times New Roman" w:hAnsi="Times New Roman"/>
          <w:i/>
          <w:iCs/>
          <w:sz w:val="24"/>
          <w:szCs w:val="24"/>
          <w:lang w:val="es-ES"/>
        </w:rPr>
        <w:t>Company's</w:t>
      </w:r>
      <w:r>
        <w:rPr>
          <w:rFonts w:ascii="Times New Roman" w:cs="Times New Roman" w:eastAsia="Times New Roman" w:hAnsi="Times New Roman"/>
          <w:i/>
          <w:iCs/>
          <w:sz w:val="24"/>
          <w:szCs w:val="24"/>
          <w:lang w:val="es-ES"/>
        </w:rPr>
        <w:t xml:space="preserve"> Human Capital</w:t>
      </w:r>
      <w:r>
        <w:rPr>
          <w:rFonts w:ascii="Times New Roman" w:cs="Times New Roman" w:eastAsia="Times New Roman" w:hAnsi="Times New Roman"/>
          <w:sz w:val="24"/>
          <w:szCs w:val="24"/>
          <w:lang w:val="es-ES"/>
        </w:rPr>
        <w:t>. AMACOM.</w:t>
      </w:r>
    </w:p>
    <w:p w14:paraId="00000204">
      <w:pPr>
        <w:spacing w:before="180" w:after="180" w:line="480" w:lineRule="auto"/>
        <w:ind w:left="720" w:hanging="720"/>
        <w:jc w:val="left"/>
        <w:rPr/>
      </w:pPr>
      <w:r>
        <w:rPr>
          <w:rFonts w:ascii="Times New Roman" w:cs="Times New Roman" w:eastAsia="Times New Roman" w:hAnsi="Times New Roman"/>
          <w:sz w:val="24"/>
          <w:szCs w:val="24"/>
          <w:lang w:val="es-ES"/>
        </w:rPr>
        <w:t>Garnett</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Lopez</w:t>
      </w:r>
      <w:r>
        <w:rPr>
          <w:rFonts w:ascii="Times New Roman" w:cs="Times New Roman" w:eastAsia="Times New Roman" w:hAnsi="Times New Roman"/>
          <w:sz w:val="24"/>
          <w:szCs w:val="24"/>
          <w:lang w:val="es-ES"/>
        </w:rPr>
        <w:t xml:space="preserve">, M. M. B. (2026). </w:t>
      </w:r>
      <w:r>
        <w:rPr>
          <w:rFonts w:ascii="Times New Roman" w:cs="Times New Roman" w:eastAsia="Times New Roman" w:hAnsi="Times New Roman"/>
          <w:i/>
          <w:iCs/>
          <w:sz w:val="24"/>
          <w:szCs w:val="24"/>
          <w:lang w:val="es-ES"/>
        </w:rPr>
        <w:t xml:space="preserve">Predictive modeling for voluntary employee </w:t>
      </w:r>
      <w:r>
        <w:rPr>
          <w:rFonts w:ascii="Times New Roman" w:cs="Times New Roman" w:eastAsia="Times New Roman" w:hAnsi="Times New Roman"/>
          <w:i/>
          <w:iCs/>
          <w:sz w:val="24"/>
          <w:szCs w:val="24"/>
          <w:lang w:val="es-ES"/>
        </w:rPr>
        <w:t>turnover</w:t>
      </w:r>
      <w:r>
        <w:rPr>
          <w:rFonts w:ascii="Times New Roman" w:cs="Times New Roman" w:eastAsia="Times New Roman" w:hAnsi="Times New Roman"/>
          <w:i/>
          <w:iCs/>
          <w:sz w:val="24"/>
          <w:szCs w:val="24"/>
          <w:lang w:val="es-ES"/>
        </w:rPr>
        <w:t xml:space="preserve">: Phase 1-5 </w:t>
      </w:r>
      <w:r>
        <w:rPr>
          <w:rFonts w:ascii="Times New Roman" w:cs="Times New Roman" w:eastAsia="Times New Roman" w:hAnsi="Times New Roman"/>
          <w:i/>
          <w:iCs/>
          <w:sz w:val="24"/>
          <w:szCs w:val="24"/>
          <w:lang w:val="es-ES"/>
        </w:rPr>
        <w:t>technical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reports</w:t>
      </w:r>
      <w:r>
        <w:rPr>
          <w:rFonts w:ascii="Times New Roman" w:cs="Times New Roman" w:eastAsia="Times New Roman" w:hAnsi="Times New Roman"/>
          <w:sz w:val="24"/>
          <w:szCs w:val="24"/>
          <w:lang w:val="es-ES"/>
        </w:rPr>
        <w:t xml:space="preserve">. Florida </w:t>
      </w:r>
      <w:r>
        <w:rPr>
          <w:rFonts w:ascii="Times New Roman" w:cs="Times New Roman" w:eastAsia="Times New Roman" w:hAnsi="Times New Roman"/>
          <w:sz w:val="24"/>
          <w:szCs w:val="24"/>
          <w:lang w:val="es-ES"/>
        </w:rPr>
        <w:t>National</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University</w:t>
      </w:r>
      <w:r>
        <w:rPr>
          <w:rFonts w:ascii="Times New Roman" w:cs="Times New Roman" w:eastAsia="Times New Roman" w:hAnsi="Times New Roman"/>
          <w:sz w:val="24"/>
          <w:szCs w:val="24"/>
          <w:lang w:val="es-ES"/>
        </w:rPr>
        <w:t>.</w:t>
      </w:r>
    </w:p>
    <w:p w14:paraId="00000205">
      <w:pPr>
        <w:spacing w:before="180" w:after="180" w:line="480" w:lineRule="auto"/>
        <w:ind w:left="720" w:hanging="720"/>
        <w:jc w:val="left"/>
        <w:rPr/>
      </w:pPr>
      <w:r>
        <w:rPr>
          <w:rFonts w:ascii="Times New Roman" w:cs="Times New Roman" w:eastAsia="Times New Roman" w:hAnsi="Times New Roman"/>
          <w:sz w:val="24"/>
          <w:szCs w:val="24"/>
          <w:lang w:val="es-ES"/>
        </w:rPr>
        <w:t xml:space="preserve">Hand, D. J. (2009). </w:t>
      </w:r>
      <w:r>
        <w:rPr>
          <w:rFonts w:ascii="Times New Roman" w:cs="Times New Roman" w:eastAsia="Times New Roman" w:hAnsi="Times New Roman"/>
          <w:sz w:val="24"/>
          <w:szCs w:val="24"/>
          <w:lang w:val="es-ES"/>
        </w:rPr>
        <w:t>Measuring</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classifier</w:t>
      </w:r>
      <w:r>
        <w:rPr>
          <w:rFonts w:ascii="Times New Roman" w:cs="Times New Roman" w:eastAsia="Times New Roman" w:hAnsi="Times New Roman"/>
          <w:sz w:val="24"/>
          <w:szCs w:val="24"/>
          <w:lang w:val="es-ES"/>
        </w:rPr>
        <w:t xml:space="preserve"> performance: A </w:t>
      </w:r>
      <w:r>
        <w:rPr>
          <w:rFonts w:ascii="Times New Roman" w:cs="Times New Roman" w:eastAsia="Times New Roman" w:hAnsi="Times New Roman"/>
          <w:sz w:val="24"/>
          <w:szCs w:val="24"/>
          <w:lang w:val="es-ES"/>
        </w:rPr>
        <w:t>coherent</w:t>
      </w:r>
      <w:r>
        <w:rPr>
          <w:rFonts w:ascii="Times New Roman" w:cs="Times New Roman" w:eastAsia="Times New Roman" w:hAnsi="Times New Roman"/>
          <w:sz w:val="24"/>
          <w:szCs w:val="24"/>
          <w:lang w:val="es-ES"/>
        </w:rPr>
        <w:t xml:space="preserve"> alternative </w:t>
      </w:r>
      <w:r>
        <w:rPr>
          <w:rFonts w:ascii="Times New Roman" w:cs="Times New Roman" w:eastAsia="Times New Roman" w:hAnsi="Times New Roman"/>
          <w:sz w:val="24"/>
          <w:szCs w:val="24"/>
          <w:lang w:val="es-ES"/>
        </w:rPr>
        <w:t>to</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AUC. </w:t>
      </w:r>
      <w:r>
        <w:rPr>
          <w:rFonts w:ascii="Times New Roman" w:cs="Times New Roman" w:eastAsia="Times New Roman" w:hAnsi="Times New Roman"/>
          <w:i/>
          <w:iCs/>
          <w:sz w:val="24"/>
          <w:szCs w:val="24"/>
          <w:lang w:val="es-ES"/>
        </w:rPr>
        <w:t xml:space="preserve">Machine </w:t>
      </w:r>
      <w:r>
        <w:rPr>
          <w:rFonts w:ascii="Times New Roman" w:cs="Times New Roman" w:eastAsia="Times New Roman" w:hAnsi="Times New Roman"/>
          <w:i/>
          <w:iCs/>
          <w:sz w:val="24"/>
          <w:szCs w:val="24"/>
          <w:lang w:val="es-ES"/>
        </w:rPr>
        <w:t>Learning</w:t>
      </w:r>
      <w:r>
        <w:rPr>
          <w:rFonts w:ascii="Times New Roman" w:cs="Times New Roman" w:eastAsia="Times New Roman" w:hAnsi="Times New Roman"/>
          <w:sz w:val="24"/>
          <w:szCs w:val="24"/>
          <w:lang w:val="es-ES"/>
        </w:rPr>
        <w:t>, 77(1), 103–123.</w:t>
      </w:r>
    </w:p>
    <w:p w14:paraId="00000206">
      <w:pPr>
        <w:spacing w:before="180" w:after="180" w:line="480" w:lineRule="auto"/>
        <w:ind w:left="720" w:hanging="720"/>
        <w:jc w:val="left"/>
        <w:rPr/>
      </w:pPr>
      <w:r>
        <w:rPr>
          <w:rFonts w:ascii="Times New Roman" w:cs="Times New Roman" w:eastAsia="Times New Roman" w:hAnsi="Times New Roman"/>
          <w:sz w:val="24"/>
          <w:szCs w:val="24"/>
          <w:lang w:val="es-ES"/>
        </w:rPr>
        <w:t xml:space="preserve">He, H., &amp; </w:t>
      </w:r>
      <w:r>
        <w:rPr>
          <w:rFonts w:ascii="Times New Roman" w:cs="Times New Roman" w:eastAsia="Times New Roman" w:hAnsi="Times New Roman"/>
          <w:sz w:val="24"/>
          <w:szCs w:val="24"/>
          <w:lang w:val="es-ES"/>
        </w:rPr>
        <w:t>Garcia</w:t>
      </w:r>
      <w:r>
        <w:rPr>
          <w:rFonts w:ascii="Times New Roman" w:cs="Times New Roman" w:eastAsia="Times New Roman" w:hAnsi="Times New Roman"/>
          <w:sz w:val="24"/>
          <w:szCs w:val="24"/>
          <w:lang w:val="es-ES"/>
        </w:rPr>
        <w:t xml:space="preserve">, E. A. (2009). Learning from Imbalanced Data. </w:t>
      </w:r>
      <w:r>
        <w:rPr>
          <w:rFonts w:ascii="Times New Roman" w:cs="Times New Roman" w:eastAsia="Times New Roman" w:hAnsi="Times New Roman"/>
          <w:i/>
          <w:iCs/>
          <w:sz w:val="24"/>
          <w:szCs w:val="24"/>
          <w:lang w:val="es-ES"/>
        </w:rPr>
        <w:t>IEEE Transactions on Knowledge and Data Engineering</w:t>
      </w:r>
      <w:r>
        <w:rPr>
          <w:rFonts w:ascii="Times New Roman" w:cs="Times New Roman" w:eastAsia="Times New Roman" w:hAnsi="Times New Roman"/>
          <w:sz w:val="24"/>
          <w:szCs w:val="24"/>
          <w:lang w:val="es-ES"/>
        </w:rPr>
        <w:t>, 21(9), 1263–1284.</w:t>
      </w:r>
    </w:p>
    <w:p w14:paraId="00000207">
      <w:pPr>
        <w:spacing w:before="180" w:after="180" w:line="480" w:lineRule="auto"/>
        <w:ind w:left="720" w:hanging="720"/>
        <w:jc w:val="left"/>
        <w:rPr/>
      </w:pPr>
      <w:r>
        <w:rPr>
          <w:rFonts w:ascii="Times New Roman" w:cs="Times New Roman" w:eastAsia="Times New Roman" w:hAnsi="Times New Roman"/>
          <w:sz w:val="24"/>
          <w:szCs w:val="24"/>
          <w:lang w:val="es-ES"/>
        </w:rPr>
        <w:t xml:space="preserve">Hosmer, D. W., &amp; Lemeshow, S. (2013). </w:t>
      </w:r>
      <w:r>
        <w:rPr>
          <w:rFonts w:ascii="Times New Roman" w:cs="Times New Roman" w:eastAsia="Times New Roman" w:hAnsi="Times New Roman"/>
          <w:i/>
          <w:iCs/>
          <w:sz w:val="24"/>
          <w:szCs w:val="24"/>
          <w:lang w:val="es-ES"/>
        </w:rPr>
        <w:t>Applied Logistic Regression</w:t>
      </w:r>
      <w:r>
        <w:rPr>
          <w:rFonts w:ascii="Times New Roman" w:cs="Times New Roman" w:eastAsia="Times New Roman" w:hAnsi="Times New Roman"/>
          <w:sz w:val="24"/>
          <w:szCs w:val="24"/>
          <w:lang w:val="es-ES"/>
        </w:rPr>
        <w:t xml:space="preserve"> (3rd ed.). Wiley.</w:t>
      </w:r>
    </w:p>
    <w:p w14:paraId="00000208">
      <w:pPr>
        <w:spacing w:before="180" w:after="180" w:line="480" w:lineRule="auto"/>
        <w:ind w:left="720" w:hanging="720"/>
        <w:jc w:val="left"/>
        <w:rPr/>
      </w:pPr>
      <w:r>
        <w:rPr>
          <w:rFonts w:ascii="Times New Roman" w:cs="Times New Roman" w:eastAsia="Times New Roman" w:hAnsi="Times New Roman"/>
          <w:sz w:val="24"/>
          <w:szCs w:val="24"/>
          <w:lang w:val="es-ES"/>
        </w:rPr>
        <w:t xml:space="preserve">IBM Corp. (2021). </w:t>
      </w:r>
      <w:r>
        <w:rPr>
          <w:rFonts w:ascii="Times New Roman" w:cs="Times New Roman" w:eastAsia="Times New Roman" w:hAnsi="Times New Roman"/>
          <w:i/>
          <w:iCs/>
          <w:sz w:val="24"/>
          <w:szCs w:val="24"/>
          <w:lang w:val="es-ES"/>
        </w:rPr>
        <w:t>CRISP-DM help guide</w:t>
      </w:r>
      <w:r>
        <w:rPr>
          <w:rFonts w:ascii="Times New Roman" w:cs="Times New Roman" w:eastAsia="Times New Roman" w:hAnsi="Times New Roman"/>
          <w:sz w:val="24"/>
          <w:szCs w:val="24"/>
          <w:lang w:val="es-ES"/>
        </w:rPr>
        <w:t xml:space="preserve">. IBM Knowledge Center. </w:t>
      </w:r>
      <w:r>
        <w:rPr>
          <w:rStyle w:val="Hyperlink"/>
          <w:rFonts w:ascii="Times New Roman" w:cs="Times New Roman" w:eastAsia="Times New Roman" w:hAnsi="Times New Roman"/>
          <w:sz w:val="24"/>
          <w:szCs w:val="24"/>
          <w:lang w:val="es-ES"/>
        </w:rPr>
        <w:fldChar w:fldCharType="begin"/>
      </w:r>
      <w:r>
        <w:rPr>
          <w:rStyle w:val="Hyperlink"/>
          <w:rFonts w:ascii="Times New Roman" w:cs="Times New Roman" w:eastAsia="Times New Roman" w:hAnsi="Times New Roman"/>
          <w:sz w:val="24"/>
          <w:szCs w:val="24"/>
          <w:lang w:val="es-ES"/>
        </w:rPr>
        <w:instrText xml:space="preserve">HYPERLINK "https://www.google.com/search?q=https://www.ibm.com/docs/en/spss-modeler/18.3.0%3Ftopic%3Ddm-crisp-help-overview" </w:instrText>
      </w:r>
      <w:r>
        <w:rPr>
          <w:rStyle w:val="Hyperlink"/>
          <w:rFonts w:ascii="Times New Roman" w:cs="Times New Roman" w:eastAsia="Times New Roman" w:hAnsi="Times New Roman"/>
          <w:sz w:val="24"/>
          <w:szCs w:val="24"/>
          <w:lang w:val="es-ES"/>
        </w:rPr>
        <w:fldChar w:fldCharType="separate"/>
      </w:r>
      <w:r>
        <w:rPr>
          <w:rStyle w:val="Hyperlink"/>
          <w:rFonts w:ascii="Times New Roman" w:cs="Times New Roman" w:eastAsia="Times New Roman" w:hAnsi="Times New Roman"/>
          <w:sz w:val="24"/>
          <w:szCs w:val="24"/>
          <w:lang w:val="es-ES"/>
        </w:rPr>
        <w:t>https://www.ibm.com/docs/en/spss-modeler/18.3.0?topic=dm-crisp-help-overview</w:t>
      </w:r>
      <w:r>
        <w:fldChar w:fldCharType="end"/>
      </w:r>
    </w:p>
    <w:p w14:paraId="00000209">
      <w:pPr>
        <w:spacing w:before="180" w:after="180" w:line="480" w:lineRule="auto"/>
        <w:ind w:left="720" w:hanging="720"/>
        <w:jc w:val="left"/>
        <w:rPr/>
      </w:pPr>
      <w:r>
        <w:rPr>
          <w:rFonts w:ascii="Times New Roman" w:cs="Times New Roman" w:eastAsia="Times New Roman" w:hAnsi="Times New Roman"/>
          <w:sz w:val="24"/>
          <w:szCs w:val="24"/>
          <w:lang w:val="es-ES"/>
        </w:rPr>
        <w:t>Kuean</w:t>
      </w:r>
      <w:r>
        <w:rPr>
          <w:rFonts w:ascii="Times New Roman" w:cs="Times New Roman" w:eastAsia="Times New Roman" w:hAnsi="Times New Roman"/>
          <w:sz w:val="24"/>
          <w:szCs w:val="24"/>
          <w:lang w:val="es-ES"/>
        </w:rPr>
        <w:t xml:space="preserve">, W. L., et al. (2010).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relationship </w:t>
      </w:r>
      <w:r>
        <w:rPr>
          <w:rFonts w:ascii="Times New Roman" w:cs="Times New Roman" w:eastAsia="Times New Roman" w:hAnsi="Times New Roman"/>
          <w:sz w:val="24"/>
          <w:szCs w:val="24"/>
          <w:lang w:val="es-ES"/>
        </w:rPr>
        <w:t>between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organizational</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commitment</w:t>
      </w:r>
      <w:r>
        <w:rPr>
          <w:rFonts w:ascii="Times New Roman" w:cs="Times New Roman" w:eastAsia="Times New Roman" w:hAnsi="Times New Roman"/>
          <w:sz w:val="24"/>
          <w:szCs w:val="24"/>
          <w:lang w:val="es-ES"/>
        </w:rPr>
        <w:t xml:space="preserve"> and </w:t>
      </w:r>
      <w:r>
        <w:rPr>
          <w:rFonts w:ascii="Times New Roman" w:cs="Times New Roman" w:eastAsia="Times New Roman" w:hAnsi="Times New Roman"/>
          <w:sz w:val="24"/>
          <w:szCs w:val="24"/>
          <w:lang w:val="es-ES"/>
        </w:rPr>
        <w:t>turnover</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intention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European</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Journal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Social Sciences</w:t>
      </w:r>
      <w:r>
        <w:rPr>
          <w:rFonts w:ascii="Times New Roman" w:cs="Times New Roman" w:eastAsia="Times New Roman" w:hAnsi="Times New Roman"/>
          <w:sz w:val="24"/>
          <w:szCs w:val="24"/>
          <w:lang w:val="es-ES"/>
        </w:rPr>
        <w:t>, 15(3), 328–341.</w:t>
      </w:r>
    </w:p>
    <w:p w14:paraId="0000020A">
      <w:pPr>
        <w:spacing w:before="180" w:after="180" w:line="480" w:lineRule="auto"/>
        <w:ind w:left="720" w:hanging="720"/>
        <w:jc w:val="left"/>
        <w:rPr/>
      </w:pPr>
      <w:r>
        <w:rPr>
          <w:rFonts w:ascii="Times New Roman" w:cs="Times New Roman" w:eastAsia="Times New Roman" w:hAnsi="Times New Roman"/>
          <w:sz w:val="24"/>
          <w:szCs w:val="24"/>
          <w:lang w:val="es-ES"/>
        </w:rPr>
        <w:t xml:space="preserve">Maslach, C., &amp; Leiter, M. P. (2001). Job burnout. </w:t>
      </w:r>
      <w:r>
        <w:rPr>
          <w:rFonts w:ascii="Times New Roman" w:cs="Times New Roman" w:eastAsia="Times New Roman" w:hAnsi="Times New Roman"/>
          <w:i/>
          <w:iCs/>
          <w:sz w:val="24"/>
          <w:szCs w:val="24"/>
          <w:lang w:val="es-ES"/>
        </w:rPr>
        <w:t>Annual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Review</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Psychology</w:t>
      </w:r>
      <w:r>
        <w:rPr>
          <w:rFonts w:ascii="Times New Roman" w:cs="Times New Roman" w:eastAsia="Times New Roman" w:hAnsi="Times New Roman"/>
          <w:sz w:val="24"/>
          <w:szCs w:val="24"/>
          <w:lang w:val="es-ES"/>
        </w:rPr>
        <w:t>, 52(1), 397–422.</w:t>
      </w:r>
    </w:p>
    <w:p w14:paraId="0000020B">
      <w:pPr>
        <w:spacing w:before="180" w:after="180" w:line="480" w:lineRule="auto"/>
        <w:ind w:left="720" w:hanging="720"/>
        <w:jc w:val="left"/>
        <w:rPr/>
      </w:pPr>
      <w:r>
        <w:rPr>
          <w:rFonts w:ascii="Times New Roman" w:cs="Times New Roman" w:eastAsia="Times New Roman" w:hAnsi="Times New Roman"/>
          <w:sz w:val="24"/>
          <w:szCs w:val="24"/>
          <w:lang w:val="es-ES"/>
        </w:rPr>
        <w:t>McKinney</w:t>
      </w:r>
      <w:r>
        <w:rPr>
          <w:rFonts w:ascii="Times New Roman" w:cs="Times New Roman" w:eastAsia="Times New Roman" w:hAnsi="Times New Roman"/>
          <w:sz w:val="24"/>
          <w:szCs w:val="24"/>
          <w:lang w:val="es-ES"/>
        </w:rPr>
        <w:t xml:space="preserve">, W. (2010). Data structures </w:t>
      </w:r>
      <w:r>
        <w:rPr>
          <w:rFonts w:ascii="Times New Roman" w:cs="Times New Roman" w:eastAsia="Times New Roman" w:hAnsi="Times New Roman"/>
          <w:sz w:val="24"/>
          <w:szCs w:val="24"/>
          <w:lang w:val="es-ES"/>
        </w:rPr>
        <w:t>for</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statistical</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computing</w:t>
      </w:r>
      <w:r>
        <w:rPr>
          <w:rFonts w:ascii="Times New Roman" w:cs="Times New Roman" w:eastAsia="Times New Roman" w:hAnsi="Times New Roman"/>
          <w:sz w:val="24"/>
          <w:szCs w:val="24"/>
          <w:lang w:val="es-ES"/>
        </w:rPr>
        <w:t xml:space="preserve"> in Python. </w:t>
      </w:r>
      <w:r>
        <w:rPr>
          <w:rFonts w:ascii="Times New Roman" w:cs="Times New Roman" w:eastAsia="Times New Roman" w:hAnsi="Times New Roman"/>
          <w:i/>
          <w:iCs/>
          <w:sz w:val="24"/>
          <w:szCs w:val="24"/>
          <w:lang w:val="es-ES"/>
        </w:rPr>
        <w:t xml:space="preserve">Proceedings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the</w:t>
      </w:r>
      <w:r>
        <w:rPr>
          <w:rFonts w:ascii="Times New Roman" w:cs="Times New Roman" w:eastAsia="Times New Roman" w:hAnsi="Times New Roman"/>
          <w:i/>
          <w:iCs/>
          <w:sz w:val="24"/>
          <w:szCs w:val="24"/>
          <w:lang w:val="es-ES"/>
        </w:rPr>
        <w:t xml:space="preserve"> 9th Python in </w:t>
      </w:r>
      <w:r>
        <w:rPr>
          <w:rFonts w:ascii="Times New Roman" w:cs="Times New Roman" w:eastAsia="Times New Roman" w:hAnsi="Times New Roman"/>
          <w:i/>
          <w:iCs/>
          <w:sz w:val="24"/>
          <w:szCs w:val="24"/>
          <w:lang w:val="es-ES"/>
        </w:rPr>
        <w:t>Science</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Conference</w:t>
      </w:r>
      <w:r>
        <w:rPr>
          <w:rFonts w:ascii="Times New Roman" w:cs="Times New Roman" w:eastAsia="Times New Roman" w:hAnsi="Times New Roman"/>
          <w:sz w:val="24"/>
          <w:szCs w:val="24"/>
          <w:lang w:val="es-ES"/>
        </w:rPr>
        <w:t xml:space="preserve">, 51–56. </w:t>
      </w:r>
      <w:r>
        <w:rPr>
          <w:rStyle w:val="Hyperlink"/>
          <w:rFonts w:ascii="Times New Roman" w:cs="Times New Roman" w:eastAsia="Times New Roman" w:hAnsi="Times New Roman"/>
          <w:sz w:val="24"/>
          <w:szCs w:val="24"/>
          <w:lang w:val="es-ES"/>
        </w:rPr>
        <w:fldChar w:fldCharType="begin"/>
      </w:r>
      <w:r>
        <w:rPr>
          <w:rStyle w:val="Hyperlink"/>
          <w:rFonts w:ascii="Times New Roman" w:cs="Times New Roman" w:eastAsia="Times New Roman" w:hAnsi="Times New Roman"/>
          <w:sz w:val="24"/>
          <w:szCs w:val="24"/>
          <w:lang w:val="es-ES"/>
        </w:rPr>
        <w:instrText xml:space="preserve">HYPERLINK "https://www.google.com/search?q=https://doi.org/10.25080/Majora-92bf1841-00a" </w:instrText>
      </w:r>
      <w:r>
        <w:rPr>
          <w:rStyle w:val="Hyperlink"/>
          <w:rFonts w:ascii="Times New Roman" w:cs="Times New Roman" w:eastAsia="Times New Roman" w:hAnsi="Times New Roman"/>
          <w:sz w:val="24"/>
          <w:szCs w:val="24"/>
          <w:lang w:val="es-ES"/>
        </w:rPr>
        <w:fldChar w:fldCharType="separate"/>
      </w:r>
      <w:r>
        <w:rPr>
          <w:rStyle w:val="Hyperlink"/>
          <w:rFonts w:ascii="Times New Roman" w:cs="Times New Roman" w:eastAsia="Times New Roman" w:hAnsi="Times New Roman"/>
          <w:sz w:val="24"/>
          <w:szCs w:val="24"/>
          <w:lang w:val="es-ES"/>
        </w:rPr>
        <w:t>https://doi.org/10.25080/Majora-92bf1841-00a</w:t>
      </w:r>
      <w:r>
        <w:fldChar w:fldCharType="end"/>
      </w:r>
    </w:p>
    <w:p w14:paraId="0000020C">
      <w:pPr>
        <w:spacing w:before="180" w:after="180" w:line="480" w:lineRule="auto"/>
        <w:ind w:left="720" w:hanging="720"/>
        <w:jc w:val="left"/>
        <w:rPr/>
      </w:pPr>
      <w:r>
        <w:rPr>
          <w:rFonts w:ascii="Times New Roman" w:cs="Times New Roman" w:eastAsia="Times New Roman" w:hAnsi="Times New Roman"/>
          <w:sz w:val="24"/>
          <w:szCs w:val="24"/>
          <w:lang w:val="es-ES"/>
        </w:rPr>
        <w:t xml:space="preserve">Mitchell, T. R., </w:t>
      </w:r>
      <w:r>
        <w:rPr>
          <w:rFonts w:ascii="Times New Roman" w:cs="Times New Roman" w:eastAsia="Times New Roman" w:hAnsi="Times New Roman"/>
          <w:sz w:val="24"/>
          <w:szCs w:val="24"/>
          <w:lang w:val="es-ES"/>
        </w:rPr>
        <w:t>Holtom</w:t>
      </w:r>
      <w:r>
        <w:rPr>
          <w:rFonts w:ascii="Times New Roman" w:cs="Times New Roman" w:eastAsia="Times New Roman" w:hAnsi="Times New Roman"/>
          <w:sz w:val="24"/>
          <w:szCs w:val="24"/>
          <w:lang w:val="es-ES"/>
        </w:rPr>
        <w:t xml:space="preserve">, B. C., Lee, T. W., Sablynski, C. J., &amp; Erez, M. (2001). Why </w:t>
      </w:r>
      <w:r>
        <w:rPr>
          <w:rFonts w:ascii="Times New Roman" w:cs="Times New Roman" w:eastAsia="Times New Roman" w:hAnsi="Times New Roman"/>
          <w:sz w:val="24"/>
          <w:szCs w:val="24"/>
          <w:lang w:val="es-ES"/>
        </w:rPr>
        <w:t>people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stay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Using</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job</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embeddedness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to</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predict</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voluntary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turnover</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Academy</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Management </w:t>
      </w:r>
      <w:r>
        <w:rPr>
          <w:rFonts w:ascii="Times New Roman" w:cs="Times New Roman" w:eastAsia="Times New Roman" w:hAnsi="Times New Roman"/>
          <w:i/>
          <w:iCs/>
          <w:sz w:val="24"/>
          <w:szCs w:val="24"/>
          <w:lang w:val="es-ES"/>
        </w:rPr>
        <w:t>Journal</w:t>
      </w:r>
      <w:r>
        <w:rPr>
          <w:rFonts w:ascii="Times New Roman" w:cs="Times New Roman" w:eastAsia="Times New Roman" w:hAnsi="Times New Roman"/>
          <w:sz w:val="24"/>
          <w:szCs w:val="24"/>
          <w:lang w:val="es-ES"/>
        </w:rPr>
        <w:t>, 44(6), 1102–1121.</w:t>
      </w:r>
    </w:p>
    <w:p w14:paraId="0000020D">
      <w:pPr>
        <w:spacing w:before="180" w:after="180" w:line="480" w:lineRule="auto"/>
        <w:ind w:left="720" w:hanging="720"/>
        <w:jc w:val="left"/>
        <w:rPr/>
      </w:pPr>
      <w:r>
        <w:rPr>
          <w:rFonts w:ascii="Times New Roman" w:cs="Times New Roman" w:eastAsia="Times New Roman" w:hAnsi="Times New Roman"/>
          <w:sz w:val="24"/>
          <w:szCs w:val="24"/>
          <w:lang w:val="es-ES"/>
        </w:rPr>
        <w:t xml:space="preserve">Pedregosa, F., </w:t>
      </w:r>
      <w:r>
        <w:rPr>
          <w:rFonts w:ascii="Times New Roman" w:cs="Times New Roman" w:eastAsia="Times New Roman" w:hAnsi="Times New Roman"/>
          <w:sz w:val="24"/>
          <w:szCs w:val="24"/>
          <w:lang w:val="es-ES"/>
        </w:rPr>
        <w:t>Varoquaux</w:t>
      </w:r>
      <w:r>
        <w:rPr>
          <w:rFonts w:ascii="Times New Roman" w:cs="Times New Roman" w:eastAsia="Times New Roman" w:hAnsi="Times New Roman"/>
          <w:sz w:val="24"/>
          <w:szCs w:val="24"/>
          <w:lang w:val="es-ES"/>
        </w:rPr>
        <w:t xml:space="preserve">, G., </w:t>
      </w:r>
      <w:r>
        <w:rPr>
          <w:rFonts w:ascii="Times New Roman" w:cs="Times New Roman" w:eastAsia="Times New Roman" w:hAnsi="Times New Roman"/>
          <w:sz w:val="24"/>
          <w:szCs w:val="24"/>
          <w:lang w:val="es-ES"/>
        </w:rPr>
        <w:t>Gramfort</w:t>
      </w:r>
      <w:r>
        <w:rPr>
          <w:rFonts w:ascii="Times New Roman" w:cs="Times New Roman" w:eastAsia="Times New Roman" w:hAnsi="Times New Roman"/>
          <w:sz w:val="24"/>
          <w:szCs w:val="24"/>
          <w:lang w:val="es-ES"/>
        </w:rPr>
        <w:t xml:space="preserve">, A., Michel, V., </w:t>
      </w:r>
      <w:r>
        <w:rPr>
          <w:rFonts w:ascii="Times New Roman" w:cs="Times New Roman" w:eastAsia="Times New Roman" w:hAnsi="Times New Roman"/>
          <w:sz w:val="24"/>
          <w:szCs w:val="24"/>
          <w:lang w:val="es-ES"/>
        </w:rPr>
        <w:t>Thirion</w:t>
      </w:r>
      <w:r>
        <w:rPr>
          <w:rFonts w:ascii="Times New Roman" w:cs="Times New Roman" w:eastAsia="Times New Roman" w:hAnsi="Times New Roman"/>
          <w:sz w:val="24"/>
          <w:szCs w:val="24"/>
          <w:lang w:val="es-ES"/>
        </w:rPr>
        <w:t xml:space="preserve">, B., Grisel, O., ... &amp; </w:t>
      </w:r>
      <w:r>
        <w:rPr>
          <w:rFonts w:ascii="Times New Roman" w:cs="Times New Roman" w:eastAsia="Times New Roman" w:hAnsi="Times New Roman"/>
          <w:sz w:val="24"/>
          <w:szCs w:val="24"/>
          <w:lang w:val="es-ES"/>
        </w:rPr>
        <w:t>Duchesnay</w:t>
      </w:r>
      <w:r>
        <w:rPr>
          <w:rFonts w:ascii="Times New Roman" w:cs="Times New Roman" w:eastAsia="Times New Roman" w:hAnsi="Times New Roman"/>
          <w:sz w:val="24"/>
          <w:szCs w:val="24"/>
          <w:lang w:val="es-ES"/>
        </w:rPr>
        <w:t xml:space="preserve">, E. (2011). </w:t>
      </w:r>
      <w:r>
        <w:rPr>
          <w:rFonts w:ascii="Times New Roman" w:cs="Times New Roman" w:eastAsia="Times New Roman" w:hAnsi="Times New Roman"/>
          <w:sz w:val="24"/>
          <w:szCs w:val="24"/>
          <w:lang w:val="es-ES"/>
        </w:rPr>
        <w:t>Scikit-learn</w:t>
      </w:r>
      <w:r>
        <w:rPr>
          <w:rFonts w:ascii="Times New Roman" w:cs="Times New Roman" w:eastAsia="Times New Roman" w:hAnsi="Times New Roman"/>
          <w:sz w:val="24"/>
          <w:szCs w:val="24"/>
          <w:lang w:val="es-ES"/>
        </w:rPr>
        <w:t xml:space="preserve">: Machine </w:t>
      </w:r>
      <w:r>
        <w:rPr>
          <w:rFonts w:ascii="Times New Roman" w:cs="Times New Roman" w:eastAsia="Times New Roman" w:hAnsi="Times New Roman"/>
          <w:sz w:val="24"/>
          <w:szCs w:val="24"/>
          <w:lang w:val="es-ES"/>
        </w:rPr>
        <w:t>learning</w:t>
      </w:r>
      <w:r>
        <w:rPr>
          <w:rFonts w:ascii="Times New Roman" w:cs="Times New Roman" w:eastAsia="Times New Roman" w:hAnsi="Times New Roman"/>
          <w:sz w:val="24"/>
          <w:szCs w:val="24"/>
          <w:lang w:val="es-ES"/>
        </w:rPr>
        <w:t xml:space="preserve"> in Python. </w:t>
      </w:r>
      <w:r>
        <w:rPr>
          <w:rFonts w:ascii="Times New Roman" w:cs="Times New Roman" w:eastAsia="Times New Roman" w:hAnsi="Times New Roman"/>
          <w:i/>
          <w:iCs/>
          <w:sz w:val="24"/>
          <w:szCs w:val="24"/>
          <w:lang w:val="es-ES"/>
        </w:rPr>
        <w:t>Journal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Machine </w:t>
      </w:r>
      <w:r>
        <w:rPr>
          <w:rFonts w:ascii="Times New Roman" w:cs="Times New Roman" w:eastAsia="Times New Roman" w:hAnsi="Times New Roman"/>
          <w:i/>
          <w:iCs/>
          <w:sz w:val="24"/>
          <w:szCs w:val="24"/>
          <w:lang w:val="es-ES"/>
        </w:rPr>
        <w:t>Learning</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Research</w:t>
      </w:r>
      <w:r>
        <w:rPr>
          <w:rFonts w:ascii="Times New Roman" w:cs="Times New Roman" w:eastAsia="Times New Roman" w:hAnsi="Times New Roman"/>
          <w:sz w:val="24"/>
          <w:szCs w:val="24"/>
          <w:lang w:val="es-ES"/>
        </w:rPr>
        <w:t>, 12, 2825–2830.</w:t>
      </w:r>
    </w:p>
    <w:p w14:paraId="0000020E">
      <w:pPr>
        <w:spacing w:before="180" w:after="180" w:line="480" w:lineRule="auto"/>
        <w:ind w:left="720" w:hanging="720"/>
        <w:jc w:val="left"/>
        <w:rPr/>
      </w:pPr>
      <w:r>
        <w:rPr>
          <w:rFonts w:ascii="Times New Roman" w:cs="Times New Roman" w:eastAsia="Times New Roman" w:hAnsi="Times New Roman"/>
          <w:sz w:val="24"/>
          <w:szCs w:val="24"/>
          <w:lang w:val="es-ES"/>
        </w:rPr>
        <w:t>Qutub</w:t>
      </w:r>
      <w:r>
        <w:rPr>
          <w:rFonts w:ascii="Times New Roman" w:cs="Times New Roman" w:eastAsia="Times New Roman" w:hAnsi="Times New Roman"/>
          <w:sz w:val="24"/>
          <w:szCs w:val="24"/>
          <w:lang w:val="es-ES"/>
        </w:rPr>
        <w:t xml:space="preserve">, A., et al. (2021). </w:t>
      </w:r>
      <w:r>
        <w:rPr>
          <w:rFonts w:ascii="Times New Roman" w:cs="Times New Roman" w:eastAsia="Times New Roman" w:hAnsi="Times New Roman"/>
          <w:sz w:val="24"/>
          <w:szCs w:val="24"/>
          <w:lang w:val="es-ES"/>
        </w:rPr>
        <w:t>Prediction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of</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Employee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Attrition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Using</w:t>
      </w:r>
      <w:r>
        <w:rPr>
          <w:rFonts w:ascii="Times New Roman" w:cs="Times New Roman" w:eastAsia="Times New Roman" w:hAnsi="Times New Roman"/>
          <w:sz w:val="24"/>
          <w:szCs w:val="24"/>
          <w:lang w:val="es-ES"/>
        </w:rPr>
        <w:t xml:space="preserve"> Machine </w:t>
      </w:r>
      <w:r>
        <w:rPr>
          <w:rFonts w:ascii="Times New Roman" w:cs="Times New Roman" w:eastAsia="Times New Roman" w:hAnsi="Times New Roman"/>
          <w:sz w:val="24"/>
          <w:szCs w:val="24"/>
          <w:lang w:val="es-ES"/>
        </w:rPr>
        <w:t>Learning</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Applied</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Sciences</w:t>
      </w:r>
      <w:r>
        <w:rPr>
          <w:rFonts w:ascii="Times New Roman" w:cs="Times New Roman" w:eastAsia="Times New Roman" w:hAnsi="Times New Roman"/>
          <w:sz w:val="24"/>
          <w:szCs w:val="24"/>
          <w:lang w:val="es-ES"/>
        </w:rPr>
        <w:t>, 11(19), 9245.</w:t>
      </w:r>
    </w:p>
    <w:p w14:paraId="0000020F">
      <w:pPr>
        <w:spacing w:before="180" w:after="180" w:line="480" w:lineRule="auto"/>
        <w:ind w:left="720" w:hanging="720"/>
        <w:jc w:val="left"/>
        <w:rPr/>
      </w:pPr>
      <w:r>
        <w:rPr>
          <w:rFonts w:ascii="Times New Roman" w:cs="Times New Roman" w:eastAsia="Times New Roman" w:hAnsi="Times New Roman"/>
          <w:sz w:val="24"/>
          <w:szCs w:val="24"/>
          <w:lang w:val="es-ES"/>
        </w:rPr>
        <w:t>Ruangyarn</w:t>
      </w:r>
      <w:r>
        <w:rPr>
          <w:rFonts w:ascii="Times New Roman" w:cs="Times New Roman" w:eastAsia="Times New Roman" w:hAnsi="Times New Roman"/>
          <w:sz w:val="24"/>
          <w:szCs w:val="24"/>
          <w:lang w:val="es-ES"/>
        </w:rPr>
        <w:t xml:space="preserve">, S., &amp; </w:t>
      </w:r>
      <w:r>
        <w:rPr>
          <w:rFonts w:ascii="Times New Roman" w:cs="Times New Roman" w:eastAsia="Times New Roman" w:hAnsi="Times New Roman"/>
          <w:sz w:val="24"/>
          <w:szCs w:val="24"/>
          <w:lang w:val="es-ES"/>
        </w:rPr>
        <w:t>Sitthisak</w:t>
      </w:r>
      <w:r>
        <w:rPr>
          <w:rFonts w:ascii="Times New Roman" w:cs="Times New Roman" w:eastAsia="Times New Roman" w:hAnsi="Times New Roman"/>
          <w:sz w:val="24"/>
          <w:szCs w:val="24"/>
          <w:lang w:val="es-ES"/>
        </w:rPr>
        <w:t xml:space="preserve">, O. (2025). Comparative </w:t>
      </w:r>
      <w:r>
        <w:rPr>
          <w:rFonts w:ascii="Times New Roman" w:cs="Times New Roman" w:eastAsia="Times New Roman" w:hAnsi="Times New Roman"/>
          <w:sz w:val="24"/>
          <w:szCs w:val="24"/>
          <w:lang w:val="es-ES"/>
        </w:rPr>
        <w:t>Analysis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of</w:t>
      </w:r>
      <w:r>
        <w:rPr>
          <w:rFonts w:ascii="Times New Roman" w:cs="Times New Roman" w:eastAsia="Times New Roman" w:hAnsi="Times New Roman"/>
          <w:sz w:val="24"/>
          <w:szCs w:val="24"/>
          <w:lang w:val="es-ES"/>
        </w:rPr>
        <w:t xml:space="preserve"> Ensemble </w:t>
      </w:r>
      <w:r>
        <w:rPr>
          <w:rFonts w:ascii="Times New Roman" w:cs="Times New Roman" w:eastAsia="Times New Roman" w:hAnsi="Times New Roman"/>
          <w:sz w:val="24"/>
          <w:szCs w:val="24"/>
          <w:lang w:val="es-ES"/>
        </w:rPr>
        <w:t>Learning</w:t>
      </w:r>
      <w:r>
        <w:rPr>
          <w:rFonts w:ascii="Times New Roman" w:cs="Times New Roman" w:eastAsia="Times New Roman" w:hAnsi="Times New Roman"/>
          <w:sz w:val="24"/>
          <w:szCs w:val="24"/>
          <w:lang w:val="es-ES"/>
        </w:rPr>
        <w:t xml:space="preserve"> in HR. </w:t>
      </w:r>
      <w:r>
        <w:rPr>
          <w:rFonts w:ascii="Times New Roman" w:cs="Times New Roman" w:eastAsia="Times New Roman" w:hAnsi="Times New Roman"/>
          <w:i/>
          <w:iCs/>
          <w:sz w:val="24"/>
          <w:szCs w:val="24"/>
          <w:lang w:val="es-ES"/>
        </w:rPr>
        <w:t xml:space="preserve">Data </w:t>
      </w:r>
      <w:r>
        <w:rPr>
          <w:rFonts w:ascii="Times New Roman" w:cs="Times New Roman" w:eastAsia="Times New Roman" w:hAnsi="Times New Roman"/>
          <w:i/>
          <w:iCs/>
          <w:sz w:val="24"/>
          <w:szCs w:val="24"/>
          <w:lang w:val="es-ES"/>
        </w:rPr>
        <w:t>Science</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Review</w:t>
      </w:r>
      <w:r>
        <w:rPr>
          <w:rFonts w:ascii="Times New Roman" w:cs="Times New Roman" w:eastAsia="Times New Roman" w:hAnsi="Times New Roman"/>
          <w:sz w:val="24"/>
          <w:szCs w:val="24"/>
          <w:lang w:val="es-ES"/>
        </w:rPr>
        <w:t>, 9(1), 45–60.</w:t>
      </w:r>
    </w:p>
    <w:p w14:paraId="00000210">
      <w:pPr>
        <w:spacing w:before="180" w:after="180" w:line="480" w:lineRule="auto"/>
        <w:ind w:left="720" w:hanging="720"/>
        <w:jc w:val="left"/>
        <w:rPr/>
      </w:pPr>
      <w:r>
        <w:rPr>
          <w:rFonts w:ascii="Times New Roman" w:cs="Times New Roman" w:eastAsia="Times New Roman" w:hAnsi="Times New Roman"/>
          <w:sz w:val="24"/>
          <w:szCs w:val="24"/>
          <w:lang w:val="es-ES"/>
        </w:rPr>
        <w:t>Sethi</w:t>
      </w:r>
      <w:r>
        <w:rPr>
          <w:rFonts w:ascii="Times New Roman" w:cs="Times New Roman" w:eastAsia="Times New Roman" w:hAnsi="Times New Roman"/>
          <w:sz w:val="24"/>
          <w:szCs w:val="24"/>
          <w:lang w:val="es-ES"/>
        </w:rPr>
        <w:t xml:space="preserve">, A. (2013). Predictive </w:t>
      </w:r>
      <w:r>
        <w:rPr>
          <w:rFonts w:ascii="Times New Roman" w:cs="Times New Roman" w:eastAsia="Times New Roman" w:hAnsi="Times New Roman"/>
          <w:sz w:val="24"/>
          <w:szCs w:val="24"/>
          <w:lang w:val="es-ES"/>
        </w:rPr>
        <w:t>analytics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in human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resources</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 xml:space="preserve">International </w:t>
      </w:r>
      <w:r>
        <w:rPr>
          <w:rFonts w:ascii="Times New Roman" w:cs="Times New Roman" w:eastAsia="Times New Roman" w:hAnsi="Times New Roman"/>
          <w:i/>
          <w:iCs/>
          <w:sz w:val="24"/>
          <w:szCs w:val="24"/>
          <w:lang w:val="es-ES"/>
        </w:rPr>
        <w:t>Journal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Computer</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Applications</w:t>
      </w:r>
      <w:r>
        <w:rPr>
          <w:rFonts w:ascii="Times New Roman" w:cs="Times New Roman" w:eastAsia="Times New Roman" w:hAnsi="Times New Roman"/>
          <w:sz w:val="24"/>
          <w:szCs w:val="24"/>
          <w:lang w:val="es-ES"/>
        </w:rPr>
        <w:t>, 63(1), 1–5.</w:t>
      </w:r>
    </w:p>
    <w:p w14:paraId="00000211">
      <w:pPr>
        <w:spacing w:before="180" w:after="180" w:line="480" w:lineRule="auto"/>
        <w:ind w:left="720" w:hanging="720"/>
        <w:jc w:val="left"/>
        <w:rPr/>
      </w:pPr>
      <w:r>
        <w:rPr>
          <w:rFonts w:ascii="Times New Roman" w:cs="Times New Roman" w:eastAsia="Times New Roman" w:hAnsi="Times New Roman"/>
          <w:sz w:val="24"/>
          <w:szCs w:val="24"/>
          <w:lang w:val="es-ES"/>
        </w:rPr>
        <w:t>TechCorp</w:t>
      </w:r>
      <w:r>
        <w:rPr>
          <w:rFonts w:ascii="Times New Roman" w:cs="Times New Roman" w:eastAsia="Times New Roman" w:hAnsi="Times New Roman"/>
          <w:sz w:val="24"/>
          <w:szCs w:val="24"/>
          <w:lang w:val="es-ES"/>
        </w:rPr>
        <w:t xml:space="preserve"> HR </w:t>
      </w:r>
      <w:r>
        <w:rPr>
          <w:rFonts w:ascii="Times New Roman" w:cs="Times New Roman" w:eastAsia="Times New Roman" w:hAnsi="Times New Roman"/>
          <w:sz w:val="24"/>
          <w:szCs w:val="24"/>
          <w:lang w:val="es-ES"/>
        </w:rPr>
        <w:t>Department</w:t>
      </w:r>
      <w:r>
        <w:rPr>
          <w:rFonts w:ascii="Times New Roman" w:cs="Times New Roman" w:eastAsia="Times New Roman" w:hAnsi="Times New Roman"/>
          <w:sz w:val="24"/>
          <w:szCs w:val="24"/>
          <w:lang w:val="es-ES"/>
        </w:rPr>
        <w:t xml:space="preserve">. (2025). </w:t>
      </w:r>
      <w:r>
        <w:rPr>
          <w:rFonts w:ascii="Times New Roman" w:cs="Times New Roman" w:eastAsia="Times New Roman" w:hAnsi="Times New Roman"/>
          <w:i/>
          <w:iCs/>
          <w:sz w:val="24"/>
          <w:szCs w:val="24"/>
          <w:lang w:val="es-ES"/>
        </w:rPr>
        <w:t>Employee</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Attrition</w:t>
      </w:r>
      <w:r>
        <w:rPr>
          <w:rFonts w:ascii="Times New Roman" w:cs="Times New Roman" w:eastAsia="Times New Roman" w:hAnsi="Times New Roman"/>
          <w:i/>
          <w:iCs/>
          <w:sz w:val="24"/>
          <w:szCs w:val="24"/>
          <w:lang w:val="es-ES"/>
        </w:rPr>
        <w:t xml:space="preserve"> and Performance </w:t>
      </w:r>
      <w:r>
        <w:rPr>
          <w:rFonts w:ascii="Times New Roman" w:cs="Times New Roman" w:eastAsia="Times New Roman" w:hAnsi="Times New Roman"/>
          <w:i/>
          <w:iCs/>
          <w:sz w:val="24"/>
          <w:szCs w:val="24"/>
          <w:lang w:val="es-ES"/>
        </w:rPr>
        <w:t>Dataset</w:t>
      </w:r>
      <w:r>
        <w:rPr>
          <w:rFonts w:ascii="Times New Roman" w:cs="Times New Roman" w:eastAsia="Times New Roman" w:hAnsi="Times New Roman"/>
          <w:sz w:val="24"/>
          <w:szCs w:val="24"/>
          <w:lang w:val="es-ES"/>
        </w:rPr>
        <w:t xml:space="preserve"> [Internal Data].</w:t>
      </w:r>
    </w:p>
    <w:p w14:paraId="00000212">
      <w:pPr>
        <w:spacing w:before="180" w:after="180" w:line="480" w:lineRule="auto"/>
        <w:ind w:left="720" w:hanging="720"/>
        <w:jc w:val="left"/>
        <w:rPr/>
      </w:pPr>
      <w:r>
        <w:rPr>
          <w:rFonts w:ascii="Times New Roman" w:cs="Times New Roman" w:eastAsia="Times New Roman" w:hAnsi="Times New Roman"/>
          <w:sz w:val="24"/>
          <w:szCs w:val="24"/>
          <w:lang w:val="es-ES"/>
        </w:rPr>
        <w:t xml:space="preserve">Uday, K., &amp; S., D. (2022). </w:t>
      </w:r>
      <w:r>
        <w:rPr>
          <w:rFonts w:ascii="Times New Roman" w:cs="Times New Roman" w:eastAsia="Times New Roman" w:hAnsi="Times New Roman"/>
          <w:sz w:val="24"/>
          <w:szCs w:val="24"/>
          <w:lang w:val="es-ES"/>
        </w:rPr>
        <w:t>Random</w:t>
      </w:r>
      <w:r>
        <w:rPr>
          <w:rFonts w:ascii="Times New Roman" w:cs="Times New Roman" w:eastAsia="Times New Roman" w:hAnsi="Times New Roman"/>
          <w:sz w:val="24"/>
          <w:szCs w:val="24"/>
          <w:lang w:val="es-ES"/>
        </w:rPr>
        <w:t xml:space="preserve"> Forest </w:t>
      </w:r>
      <w:r>
        <w:rPr>
          <w:rFonts w:ascii="Times New Roman" w:cs="Times New Roman" w:eastAsia="Times New Roman" w:hAnsi="Times New Roman"/>
          <w:sz w:val="24"/>
          <w:szCs w:val="24"/>
          <w:lang w:val="es-ES"/>
        </w:rPr>
        <w:t>for</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Employee</w:t>
      </w:r>
      <w:r>
        <w:rPr>
          <w:rFonts w:ascii="Times New Roman" w:cs="Times New Roman" w:eastAsia="Times New Roman" w:hAnsi="Times New Roman"/>
          <w:sz w:val="24"/>
          <w:szCs w:val="24"/>
          <w:lang w:val="es-ES"/>
        </w:rPr>
        <w:t xml:space="preserve"> Attrition </w:t>
      </w:r>
      <w:r>
        <w:rPr>
          <w:rFonts w:ascii="Times New Roman" w:cs="Times New Roman" w:eastAsia="Times New Roman" w:hAnsi="Times New Roman"/>
          <w:sz w:val="24"/>
          <w:szCs w:val="24"/>
          <w:lang w:val="es-ES"/>
        </w:rPr>
        <w:t>Prediction</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 xml:space="preserve">International </w:t>
      </w:r>
      <w:r>
        <w:rPr>
          <w:rFonts w:ascii="Times New Roman" w:cs="Times New Roman" w:eastAsia="Times New Roman" w:hAnsi="Times New Roman"/>
          <w:i/>
          <w:iCs/>
          <w:sz w:val="24"/>
          <w:szCs w:val="24"/>
          <w:lang w:val="es-ES"/>
        </w:rPr>
        <w:t>Journal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Engineering</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Research</w:t>
      </w:r>
      <w:r>
        <w:rPr>
          <w:rFonts w:ascii="Times New Roman" w:cs="Times New Roman" w:eastAsia="Times New Roman" w:hAnsi="Times New Roman"/>
          <w:sz w:val="24"/>
          <w:szCs w:val="24"/>
          <w:lang w:val="es-ES"/>
        </w:rPr>
        <w:t>, 11(4), 210–215.</w:t>
      </w:r>
    </w:p>
    <w:p w14:paraId="00000213">
      <w:pPr>
        <w:spacing w:before="180" w:after="180" w:line="480" w:lineRule="auto"/>
        <w:ind w:left="720" w:hanging="720"/>
        <w:jc w:val="left"/>
        <w:rPr/>
      </w:pPr>
      <w:r>
        <w:rPr>
          <w:rFonts w:ascii="Times New Roman" w:cs="Times New Roman" w:eastAsia="Times New Roman" w:hAnsi="Times New Roman"/>
          <w:sz w:val="24"/>
          <w:szCs w:val="24"/>
          <w:lang w:val="es-ES"/>
        </w:rPr>
        <w:t>Zeffane</w:t>
      </w:r>
      <w:r>
        <w:rPr>
          <w:rFonts w:ascii="Times New Roman" w:cs="Times New Roman" w:eastAsia="Times New Roman" w:hAnsi="Times New Roman"/>
          <w:sz w:val="24"/>
          <w:szCs w:val="24"/>
          <w:lang w:val="es-ES"/>
        </w:rPr>
        <w:t xml:space="preserve">, R. (1994). Understanding Employee Turnover: </w:t>
      </w:r>
      <w:r>
        <w:rPr>
          <w:rFonts w:ascii="Times New Roman" w:cs="Times New Roman" w:eastAsia="Times New Roman" w:hAnsi="Times New Roman"/>
          <w:sz w:val="24"/>
          <w:szCs w:val="24"/>
          <w:lang w:val="es-ES"/>
        </w:rPr>
        <w:t>The</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Need</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for</w:t>
      </w:r>
      <w:r>
        <w:rPr>
          <w:rFonts w:ascii="Times New Roman" w:cs="Times New Roman" w:eastAsia="Times New Roman" w:hAnsi="Times New Roman"/>
          <w:sz w:val="24"/>
          <w:szCs w:val="24"/>
          <w:lang w:val="es-ES"/>
        </w:rPr>
        <w:t xml:space="preserve"> a </w:t>
      </w:r>
      <w:r>
        <w:rPr>
          <w:rFonts w:ascii="Times New Roman" w:cs="Times New Roman" w:eastAsia="Times New Roman" w:hAnsi="Times New Roman"/>
          <w:sz w:val="24"/>
          <w:szCs w:val="24"/>
          <w:lang w:val="es-ES"/>
        </w:rPr>
        <w:t>Contingency</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sz w:val="24"/>
          <w:szCs w:val="24"/>
          <w:lang w:val="es-ES"/>
        </w:rPr>
        <w:t>Approach</w:t>
      </w:r>
      <w:r>
        <w:rPr>
          <w:rFonts w:ascii="Times New Roman" w:cs="Times New Roman" w:eastAsia="Times New Roman" w:hAnsi="Times New Roman"/>
          <w:sz w:val="24"/>
          <w:szCs w:val="24"/>
          <w:lang w:val="es-ES"/>
        </w:rPr>
        <w:t xml:space="preserve">. </w:t>
      </w:r>
      <w:r>
        <w:rPr>
          <w:rFonts w:ascii="Times New Roman" w:cs="Times New Roman" w:eastAsia="Times New Roman" w:hAnsi="Times New Roman"/>
          <w:i/>
          <w:iCs/>
          <w:sz w:val="24"/>
          <w:szCs w:val="24"/>
          <w:lang w:val="es-ES"/>
        </w:rPr>
        <w:t xml:space="preserve">International </w:t>
      </w:r>
      <w:r>
        <w:rPr>
          <w:rFonts w:ascii="Times New Roman" w:cs="Times New Roman" w:eastAsia="Times New Roman" w:hAnsi="Times New Roman"/>
          <w:i/>
          <w:iCs/>
          <w:sz w:val="24"/>
          <w:szCs w:val="24"/>
          <w:lang w:val="es-ES"/>
        </w:rPr>
        <w:t>Journal</w:t>
      </w:r>
      <w:r>
        <w:rPr>
          <w:rFonts w:ascii="Times New Roman" w:cs="Times New Roman" w:eastAsia="Times New Roman" w:hAnsi="Times New Roman"/>
          <w:i/>
          <w:iCs/>
          <w:sz w:val="24"/>
          <w:szCs w:val="24"/>
          <w:lang w:val="es-ES"/>
        </w:rPr>
        <w:t xml:space="preserve"> </w:t>
      </w:r>
      <w:r>
        <w:rPr>
          <w:rFonts w:ascii="Times New Roman" w:cs="Times New Roman" w:eastAsia="Times New Roman" w:hAnsi="Times New Roman"/>
          <w:i/>
          <w:iCs/>
          <w:sz w:val="24"/>
          <w:szCs w:val="24"/>
          <w:lang w:val="es-ES"/>
        </w:rPr>
        <w:t>of</w:t>
      </w:r>
      <w:r>
        <w:rPr>
          <w:rFonts w:ascii="Times New Roman" w:cs="Times New Roman" w:eastAsia="Times New Roman" w:hAnsi="Times New Roman"/>
          <w:i/>
          <w:iCs/>
          <w:sz w:val="24"/>
          <w:szCs w:val="24"/>
          <w:lang w:val="es-ES"/>
        </w:rPr>
        <w:t xml:space="preserve"> Manpower</w:t>
      </w:r>
      <w:r>
        <w:rPr>
          <w:rFonts w:ascii="Times New Roman" w:cs="Times New Roman" w:eastAsia="Times New Roman" w:hAnsi="Times New Roman"/>
          <w:sz w:val="24"/>
          <w:szCs w:val="24"/>
          <w:lang w:val="es-ES"/>
        </w:rPr>
        <w:t>, 15(9), 22–37.</w:t>
      </w:r>
    </w:p>
    <w:p w14:paraId="00000214">
      <w:pPr>
        <w:pStyle w:val="Normal"/>
        <w:spacing w:before="180" w:after="180" w:line="480" w:lineRule="auto"/>
        <w:ind w:left="720" w:hanging="720"/>
        <w:jc w:val="left"/>
        <w:rPr>
          <w:rFonts w:ascii="Times New Roman" w:cs="Times New Roman" w:eastAsia="Times New Roman" w:hAnsi="Times New Roman"/>
          <w:sz w:val="24"/>
          <w:szCs w:val="24"/>
          <w:lang w:val="es-ES"/>
        </w:rPr>
      </w:pPr>
    </w:p>
    <w:p w14:paraId="00000215">
      <w:pPr>
        <w:spacing w:line="480" w:lineRule="auto"/>
        <w:rPr/>
      </w:pPr>
      <w:r>
        <w:rPr/>
        <w:br w:type="page"/>
      </w:r>
    </w:p>
    <w:p w14:paraId="00000216">
      <w:pPr>
        <w:pStyle w:val="Normal"/>
        <w:spacing w:before="180" w:after="180" w:line="480" w:lineRule="auto"/>
        <w:ind w:left="720" w:hanging="720"/>
        <w:jc w:val="center"/>
        <w:rPr>
          <w:rFonts w:ascii="Times New Roman" w:cs="Times New Roman" w:eastAsia="Times New Roman" w:hAnsi="Times New Roman"/>
          <w:b/>
          <w:bCs/>
          <w:sz w:val="48"/>
          <w:szCs w:val="48"/>
          <w:lang w:val="es-ES"/>
        </w:rPr>
      </w:pPr>
      <w:r>
        <w:rPr>
          <w:rFonts w:ascii="Times New Roman" w:cs="Times New Roman" w:eastAsia="Times New Roman" w:hAnsi="Times New Roman"/>
          <w:b/>
          <w:bCs/>
          <w:sz w:val="48"/>
          <w:szCs w:val="48"/>
          <w:lang w:val="es-ES"/>
        </w:rPr>
        <w:t>Annexes</w:t>
      </w:r>
    </w:p>
    <w:p w14:paraId="00000217">
      <w:pPr>
        <w:pStyle w:val="Normal"/>
        <w:spacing w:before="180" w:after="180" w:line="480" w:lineRule="auto"/>
        <w:ind w:left="720" w:hanging="720"/>
        <w:jc w:val="left"/>
        <w:rPr>
          <w:rFonts w:ascii="Times New Roman" w:cs="Times New Roman" w:eastAsia="Times New Roman" w:hAnsi="Times New Roman"/>
          <w:b w:val="off"/>
          <w:bCs w:val="off"/>
          <w:i/>
          <w:iCs/>
          <w:sz w:val="24"/>
          <w:szCs w:val="24"/>
          <w:lang w:val="es-ES"/>
        </w:rPr>
      </w:pPr>
      <w:r>
        <w:rPr>
          <w:rFonts w:ascii="Times New Roman" w:cs="Times New Roman" w:eastAsia="Times New Roman" w:hAnsi="Times New Roman"/>
          <w:b w:val="off"/>
          <w:bCs w:val="off"/>
          <w:i/>
          <w:iCs/>
          <w:sz w:val="24"/>
          <w:szCs w:val="24"/>
          <w:lang w:val="es-ES"/>
        </w:rPr>
        <w:t>Annex</w:t>
      </w:r>
      <w:r>
        <w:rPr>
          <w:rFonts w:ascii="Times New Roman" w:cs="Times New Roman" w:eastAsia="Times New Roman" w:hAnsi="Times New Roman"/>
          <w:b w:val="off"/>
          <w:bCs w:val="off"/>
          <w:i/>
          <w:iCs/>
          <w:sz w:val="24"/>
          <w:szCs w:val="24"/>
          <w:lang w:val="es-ES"/>
        </w:rPr>
        <w:t xml:space="preserve"> A: </w:t>
      </w:r>
      <w:r>
        <w:rPr>
          <w:rFonts w:ascii="Times New Roman" w:cs="Times New Roman" w:eastAsia="Times New Roman" w:hAnsi="Times New Roman"/>
          <w:b w:val="off"/>
          <w:bCs w:val="off"/>
          <w:i/>
          <w:iCs/>
          <w:sz w:val="24"/>
          <w:szCs w:val="24"/>
          <w:lang w:val="es-ES"/>
        </w:rPr>
        <w:t xml:space="preserve">Python </w:t>
      </w:r>
      <w:r>
        <w:rPr>
          <w:rFonts w:ascii="Times New Roman" w:cs="Times New Roman" w:eastAsia="Times New Roman" w:hAnsi="Times New Roman"/>
          <w:b w:val="off"/>
          <w:bCs w:val="off"/>
          <w:i/>
          <w:iCs/>
          <w:sz w:val="24"/>
          <w:szCs w:val="24"/>
          <w:lang w:val="es-ES"/>
        </w:rPr>
        <w:t>Source</w:t>
      </w:r>
      <w:r>
        <w:rPr>
          <w:rFonts w:ascii="Times New Roman" w:cs="Times New Roman" w:eastAsia="Times New Roman" w:hAnsi="Times New Roman"/>
          <w:b w:val="off"/>
          <w:bCs w:val="off"/>
          <w:i/>
          <w:iCs/>
          <w:sz w:val="24"/>
          <w:szCs w:val="24"/>
          <w:lang w:val="es-ES"/>
        </w:rPr>
        <w:t xml:space="preserve"> </w:t>
      </w:r>
      <w:r>
        <w:rPr>
          <w:rFonts w:ascii="Times New Roman" w:cs="Times New Roman" w:eastAsia="Times New Roman" w:hAnsi="Times New Roman"/>
          <w:b w:val="off"/>
          <w:bCs w:val="off"/>
          <w:i/>
          <w:iCs/>
          <w:sz w:val="24"/>
          <w:szCs w:val="24"/>
          <w:lang w:val="es-ES"/>
        </w:rPr>
        <w:t>Code</w:t>
      </w:r>
    </w:p>
    <w:p w14:paraId="00000218">
      <w:pPr>
        <w:pStyle w:val="Normal"/>
        <w:spacing w:before="180" w:after="180" w:line="480" w:lineRule="auto"/>
        <w:ind w:left="0" w:firstLine="0"/>
        <w:jc w:val="left"/>
        <w:rPr>
          <w:rFonts w:ascii="Times New Roman" w:cs="Times New Roman" w:eastAsia="Times New Roman" w:hAnsi="Times New Roman"/>
          <w:b/>
          <w:bCs/>
          <w:sz w:val="24"/>
          <w:szCs w:val="24"/>
          <w:lang w:val="es-ES"/>
        </w:rPr>
      </w:pPr>
      <w:r>
        <w:rPr/>
        <w:drawing xmlns:mc="http://schemas.openxmlformats.org/markup-compatibility/2006">
          <wp:inline distT="0" distB="0" distL="0" distR="0">
            <wp:extent cx="4770266" cy="7524750"/>
            <wp:effectExtent l="0" t="0" r="0" b="0"/>
            <wp:docPr id="1434469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52108" name="drawing"/>
                    <pic:cNvPicPr/>
                  </pic:nvPicPr>
                  <pic:blipFill>
                    <a:blip r:embed="rId2074123231"/>
                    <a:srcRect/>
                    <a:stretch>
                      <a:fillRect/>
                    </a:stretch>
                  </pic:blipFill>
                  <pic:spPr>
                    <a:xfrm>
                      <a:off x="0" y="0"/>
                      <a:ext cx="4770266" cy="7524750"/>
                    </a:xfrm>
                    <a:prstGeom prst="rect">
                      <a:avLst/>
                    </a:prstGeom>
                  </pic:spPr>
                </pic:pic>
              </a:graphicData>
            </a:graphic>
          </wp:inline>
        </w:drawing>
      </w:r>
    </w:p>
    <w:p w14:paraId="00000219">
      <w:pPr>
        <w:pStyle w:val="Normal"/>
        <w:spacing w:before="180" w:after="180" w:line="480" w:lineRule="auto"/>
        <w:ind w:left="0" w:firstLine="0"/>
        <w:jc w:val="left"/>
        <w:rPr>
          <w:rFonts w:ascii="Times New Roman" w:cs="Times New Roman" w:eastAsia="Times New Roman" w:hAnsi="Times New Roman"/>
          <w:b/>
          <w:bCs/>
          <w:sz w:val="24"/>
          <w:szCs w:val="24"/>
          <w:lang w:val="es-ES"/>
        </w:rPr>
      </w:pPr>
      <w:r>
        <w:rPr/>
        <w:drawing xmlns:mc="http://schemas.openxmlformats.org/markup-compatibility/2006">
          <wp:inline distT="0" distB="0" distL="0" distR="0">
            <wp:extent cx="5494166" cy="5568287"/>
            <wp:effectExtent l="0" t="0" r="0" b="0"/>
            <wp:docPr id="1434469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9945" name="drawing"/>
                    <pic:cNvPicPr/>
                  </pic:nvPicPr>
                  <pic:blipFill>
                    <a:blip r:embed="rId2074123232"/>
                    <a:srcRect/>
                    <a:stretch>
                      <a:fillRect/>
                    </a:stretch>
                  </pic:blipFill>
                  <pic:spPr>
                    <a:xfrm>
                      <a:off x="0" y="0"/>
                      <a:ext cx="5494166" cy="5568287"/>
                    </a:xfrm>
                    <a:prstGeom prst="rect">
                      <a:avLst/>
                    </a:prstGeom>
                  </pic:spPr>
                </pic:pic>
              </a:graphicData>
            </a:graphic>
          </wp:inline>
        </w:drawing>
      </w:r>
    </w:p>
    <w:p w14:paraId="0000021A">
      <w:pPr>
        <w:pStyle w:val="Normal"/>
        <w:spacing w:before="180" w:after="180" w:line="480" w:lineRule="auto"/>
        <w:ind w:left="0" w:firstLine="0"/>
        <w:jc w:val="left"/>
        <w:rPr>
          <w:rFonts w:ascii="Times New Roman" w:cs="Times New Roman" w:eastAsia="Times New Roman" w:hAnsi="Times New Roman"/>
          <w:b/>
          <w:bCs/>
          <w:sz w:val="24"/>
          <w:szCs w:val="24"/>
          <w:lang w:val="es-ES"/>
        </w:rPr>
      </w:pPr>
    </w:p>
    <w:p w14:paraId="0000021B">
      <w:pPr>
        <w:spacing w:line="480" w:lineRule="auto"/>
        <w:rPr/>
      </w:pPr>
      <w:r>
        <w:rPr/>
        <w:br w:type="page"/>
      </w:r>
    </w:p>
    <w:p w14:paraId="0000021C">
      <w:pPr>
        <w:pStyle w:val="Normal"/>
        <w:spacing w:before="180" w:after="180" w:line="480" w:lineRule="auto"/>
        <w:ind w:left="0" w:firstLine="0"/>
        <w:jc w:val="left"/>
        <w:rPr>
          <w:rFonts w:ascii="Times New Roman" w:cs="Times New Roman" w:eastAsia="Times New Roman" w:hAnsi="Times New Roman"/>
          <w:b w:val="off"/>
          <w:bCs w:val="off"/>
          <w:i/>
          <w:iCs/>
          <w:sz w:val="24"/>
          <w:szCs w:val="24"/>
          <w:lang w:val="es-ES"/>
        </w:rPr>
      </w:pPr>
      <w:r>
        <w:rPr>
          <w:rFonts w:ascii="Times New Roman" w:cs="Times New Roman" w:eastAsia="Times New Roman" w:hAnsi="Times New Roman"/>
          <w:b w:val="off"/>
          <w:bCs w:val="off"/>
          <w:i/>
          <w:iCs/>
          <w:sz w:val="24"/>
          <w:szCs w:val="24"/>
          <w:lang w:val="es-ES"/>
        </w:rPr>
        <w:t>Annex</w:t>
      </w:r>
      <w:r>
        <w:rPr>
          <w:rFonts w:ascii="Times New Roman" w:cs="Times New Roman" w:eastAsia="Times New Roman" w:hAnsi="Times New Roman"/>
          <w:b w:val="off"/>
          <w:bCs w:val="off"/>
          <w:i/>
          <w:iCs/>
          <w:sz w:val="24"/>
          <w:szCs w:val="24"/>
          <w:lang w:val="es-ES"/>
        </w:rPr>
        <w:t xml:space="preserve"> B</w:t>
      </w:r>
      <w:r>
        <w:rPr>
          <w:rFonts w:ascii="Times New Roman" w:cs="Times New Roman" w:eastAsia="Times New Roman" w:hAnsi="Times New Roman"/>
          <w:b w:val="off"/>
          <w:bCs w:val="off"/>
          <w:i/>
          <w:iCs/>
          <w:sz w:val="24"/>
          <w:szCs w:val="24"/>
          <w:lang w:val="es-ES"/>
        </w:rPr>
        <w:t>.1</w:t>
      </w:r>
      <w:r>
        <w:rPr>
          <w:rFonts w:ascii="Times New Roman" w:cs="Times New Roman" w:eastAsia="Times New Roman" w:hAnsi="Times New Roman"/>
          <w:b w:val="off"/>
          <w:bCs w:val="off"/>
          <w:i/>
          <w:iCs/>
          <w:sz w:val="24"/>
          <w:szCs w:val="24"/>
          <w:lang w:val="es-ES"/>
        </w:rPr>
        <w:t xml:space="preserve">: </w:t>
      </w:r>
      <w:r>
        <w:rPr>
          <w:rFonts w:ascii="Times New Roman" w:cs="Times New Roman" w:eastAsia="Times New Roman" w:hAnsi="Times New Roman"/>
          <w:b w:val="off"/>
          <w:bCs w:val="off"/>
          <w:i/>
          <w:iCs/>
          <w:sz w:val="24"/>
          <w:szCs w:val="24"/>
          <w:lang w:val="es-ES"/>
        </w:rPr>
        <w:t>ROC Curve</w:t>
      </w:r>
    </w:p>
    <w:p w14:paraId="0000021D">
      <w:pPr>
        <w:pStyle w:val="Normal"/>
        <w:spacing w:before="180" w:after="180" w:line="480" w:lineRule="auto"/>
        <w:ind w:left="0" w:firstLine="0"/>
        <w:jc w:val="left"/>
        <w:rPr>
          <w:rFonts w:ascii="Times New Roman" w:cs="Times New Roman" w:eastAsia="Times New Roman" w:hAnsi="Times New Roman"/>
          <w:b/>
          <w:bCs/>
          <w:sz w:val="24"/>
          <w:szCs w:val="24"/>
          <w:lang w:val="es-ES"/>
        </w:rPr>
      </w:pPr>
      <w:r>
        <w:rPr/>
        <w:drawing xmlns:mc="http://schemas.openxmlformats.org/markup-compatibility/2006">
          <wp:inline distT="0" distB="0" distL="0" distR="0">
            <wp:extent cx="4673600" cy="3507146"/>
            <wp:effectExtent l="0" t="0" r="0" b="0"/>
            <wp:docPr id="1434469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93344" name="drawing"/>
                    <pic:cNvPicPr/>
                  </pic:nvPicPr>
                  <pic:blipFill>
                    <a:blip r:embed="rId2074123233"/>
                    <a:srcRect/>
                    <a:stretch>
                      <a:fillRect/>
                    </a:stretch>
                  </pic:blipFill>
                  <pic:spPr>
                    <a:xfrm>
                      <a:off x="0" y="0"/>
                      <a:ext cx="4673600" cy="3507146"/>
                    </a:xfrm>
                    <a:prstGeom prst="rect">
                      <a:avLst/>
                    </a:prstGeom>
                  </pic:spPr>
                </pic:pic>
              </a:graphicData>
            </a:graphic>
          </wp:inline>
        </w:drawing>
      </w:r>
    </w:p>
    <w:p w14:paraId="0000021E">
      <w:pPr>
        <w:pStyle w:val="Normal"/>
        <w:spacing w:before="180" w:after="180" w:line="480" w:lineRule="auto"/>
        <w:ind w:left="0" w:firstLine="0"/>
        <w:jc w:val="left"/>
        <w:rPr>
          <w:rFonts w:ascii="Times New Roman" w:cs="Times New Roman" w:eastAsia="Times New Roman" w:hAnsi="Times New Roman"/>
          <w:b w:val="off"/>
          <w:bCs w:val="off"/>
          <w:i/>
          <w:iCs/>
          <w:sz w:val="24"/>
          <w:szCs w:val="24"/>
          <w:lang w:val="es-ES"/>
        </w:rPr>
      </w:pPr>
      <w:r>
        <w:rPr>
          <w:rFonts w:ascii="Times New Roman" w:cs="Times New Roman" w:eastAsia="Times New Roman" w:hAnsi="Times New Roman"/>
          <w:b w:val="off"/>
          <w:bCs w:val="off"/>
          <w:i/>
          <w:iCs/>
          <w:sz w:val="24"/>
          <w:szCs w:val="24"/>
          <w:lang w:val="es-ES"/>
        </w:rPr>
        <w:t>Annex</w:t>
      </w:r>
      <w:r>
        <w:rPr>
          <w:rFonts w:ascii="Times New Roman" w:cs="Times New Roman" w:eastAsia="Times New Roman" w:hAnsi="Times New Roman"/>
          <w:b w:val="off"/>
          <w:bCs w:val="off"/>
          <w:i/>
          <w:iCs/>
          <w:sz w:val="24"/>
          <w:szCs w:val="24"/>
          <w:lang w:val="es-ES"/>
        </w:rPr>
        <w:t xml:space="preserve"> B.2</w:t>
      </w:r>
      <w:r>
        <w:rPr>
          <w:rFonts w:ascii="Times New Roman" w:cs="Times New Roman" w:eastAsia="Times New Roman" w:hAnsi="Times New Roman"/>
          <w:b w:val="off"/>
          <w:bCs w:val="off"/>
          <w:i/>
          <w:iCs/>
          <w:sz w:val="24"/>
          <w:szCs w:val="24"/>
          <w:lang w:val="es-ES"/>
        </w:rPr>
        <w:t xml:space="preserve">: </w:t>
      </w:r>
      <w:r>
        <w:rPr>
          <w:rFonts w:ascii="Times New Roman" w:cs="Times New Roman" w:eastAsia="Times New Roman" w:hAnsi="Times New Roman"/>
          <w:b w:val="off"/>
          <w:bCs w:val="off"/>
          <w:i/>
          <w:iCs/>
          <w:sz w:val="24"/>
          <w:szCs w:val="24"/>
          <w:lang w:val="es-ES"/>
        </w:rPr>
        <w:t>Confusion</w:t>
      </w:r>
      <w:r>
        <w:rPr>
          <w:rFonts w:ascii="Times New Roman" w:cs="Times New Roman" w:eastAsia="Times New Roman" w:hAnsi="Times New Roman"/>
          <w:b w:val="off"/>
          <w:bCs w:val="off"/>
          <w:i/>
          <w:iCs/>
          <w:sz w:val="24"/>
          <w:szCs w:val="24"/>
          <w:lang w:val="es-ES"/>
        </w:rPr>
        <w:t xml:space="preserve"> Matrix</w:t>
      </w:r>
    </w:p>
    <w:p w14:paraId="0000021F">
      <w:pPr>
        <w:pStyle w:val="Normal"/>
        <w:spacing w:before="180" w:after="180" w:line="480" w:lineRule="auto"/>
        <w:ind w:left="0" w:firstLine="0"/>
        <w:jc w:val="left"/>
        <w:rPr>
          <w:rFonts w:ascii="Times New Roman" w:cs="Times New Roman" w:eastAsia="Times New Roman" w:hAnsi="Times New Roman"/>
          <w:b/>
          <w:bCs/>
          <w:sz w:val="24"/>
          <w:szCs w:val="24"/>
          <w:lang w:val="es-ES"/>
        </w:rPr>
      </w:pPr>
      <w:r>
        <w:rPr/>
        <w:drawing xmlns:mc="http://schemas.openxmlformats.org/markup-compatibility/2006">
          <wp:inline distT="0" distB="0" distL="0" distR="0">
            <wp:extent cx="4694084" cy="3522516"/>
            <wp:effectExtent l="0" t="0" r="0" b="0"/>
            <wp:docPr id="1434469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28028" name="drawing"/>
                    <pic:cNvPicPr/>
                  </pic:nvPicPr>
                  <pic:blipFill>
                    <a:blip r:embed="rId2074123234"/>
                    <a:srcRect/>
                    <a:stretch>
                      <a:fillRect/>
                    </a:stretch>
                  </pic:blipFill>
                  <pic:spPr>
                    <a:xfrm>
                      <a:off x="0" y="0"/>
                      <a:ext cx="4694084" cy="3522516"/>
                    </a:xfrm>
                    <a:prstGeom prst="rect">
                      <a:avLst/>
                    </a:prstGeom>
                  </pic:spPr>
                </pic:pic>
              </a:graphicData>
            </a:graphic>
          </wp:inline>
        </w:drawing>
      </w:r>
    </w:p>
    <w:p w14:paraId="00000220">
      <w:pPr>
        <w:pStyle w:val="Normal"/>
        <w:spacing w:before="180" w:after="180" w:line="480" w:lineRule="auto"/>
        <w:ind w:left="0" w:firstLine="0"/>
        <w:jc w:val="left"/>
        <w:rPr>
          <w:rFonts w:ascii="Times New Roman" w:cs="Times New Roman" w:eastAsia="Times New Roman" w:hAnsi="Times New Roman"/>
          <w:b/>
          <w:bCs/>
          <w:sz w:val="24"/>
          <w:szCs w:val="24"/>
          <w:lang w:val="es-ES"/>
        </w:rPr>
      </w:pPr>
    </w:p>
    <w:p w14:paraId="00000221">
      <w:pPr>
        <w:pStyle w:val="Normal"/>
        <w:spacing w:before="180" w:after="180" w:line="480" w:lineRule="auto"/>
        <w:ind w:left="0" w:firstLine="0"/>
        <w:jc w:val="left"/>
        <w:rPr>
          <w:rFonts w:ascii="Times New Roman" w:cs="Times New Roman" w:eastAsia="Times New Roman" w:hAnsi="Times New Roman"/>
          <w:b w:val="off"/>
          <w:bCs w:val="off"/>
          <w:i/>
          <w:iCs/>
          <w:sz w:val="24"/>
          <w:szCs w:val="24"/>
          <w:lang w:val="es-ES"/>
        </w:rPr>
      </w:pPr>
      <w:r>
        <w:rPr>
          <w:rFonts w:ascii="Times New Roman" w:cs="Times New Roman" w:eastAsia="Times New Roman" w:hAnsi="Times New Roman"/>
          <w:b w:val="off"/>
          <w:bCs w:val="off"/>
          <w:i/>
          <w:iCs/>
          <w:sz w:val="24"/>
          <w:szCs w:val="24"/>
          <w:lang w:val="es-ES"/>
        </w:rPr>
        <w:t>Annex</w:t>
      </w:r>
      <w:r>
        <w:rPr>
          <w:rFonts w:ascii="Times New Roman" w:cs="Times New Roman" w:eastAsia="Times New Roman" w:hAnsi="Times New Roman"/>
          <w:b w:val="off"/>
          <w:bCs w:val="off"/>
          <w:i/>
          <w:iCs/>
          <w:sz w:val="24"/>
          <w:szCs w:val="24"/>
          <w:lang w:val="es-ES"/>
        </w:rPr>
        <w:t xml:space="preserve"> B.3.1: </w:t>
      </w:r>
      <w:r>
        <w:rPr>
          <w:rFonts w:ascii="Times New Roman" w:cs="Times New Roman" w:eastAsia="Times New Roman" w:hAnsi="Times New Roman"/>
          <w:b w:val="off"/>
          <w:bCs w:val="off"/>
          <w:i/>
          <w:iCs/>
          <w:sz w:val="24"/>
          <w:szCs w:val="24"/>
          <w:lang w:val="es-ES"/>
        </w:rPr>
        <w:t>The</w:t>
      </w:r>
      <w:r>
        <w:rPr>
          <w:rFonts w:ascii="Times New Roman" w:cs="Times New Roman" w:eastAsia="Times New Roman" w:hAnsi="Times New Roman"/>
          <w:b w:val="off"/>
          <w:bCs w:val="off"/>
          <w:i/>
          <w:iCs/>
          <w:sz w:val="24"/>
          <w:szCs w:val="24"/>
          <w:lang w:val="es-ES"/>
        </w:rPr>
        <w:t xml:space="preserve"> </w:t>
      </w:r>
      <w:r>
        <w:rPr>
          <w:rFonts w:ascii="Times New Roman" w:cs="Times New Roman" w:eastAsia="Times New Roman" w:hAnsi="Times New Roman"/>
          <w:b w:val="off"/>
          <w:bCs w:val="off"/>
          <w:i/>
          <w:iCs/>
          <w:sz w:val="24"/>
          <w:szCs w:val="24"/>
          <w:lang w:val="es-ES"/>
        </w:rPr>
        <w:t>Exploratory</w:t>
      </w:r>
      <w:r>
        <w:rPr>
          <w:rFonts w:ascii="Times New Roman" w:cs="Times New Roman" w:eastAsia="Times New Roman" w:hAnsi="Times New Roman"/>
          <w:b w:val="off"/>
          <w:bCs w:val="off"/>
          <w:i/>
          <w:iCs/>
          <w:sz w:val="24"/>
          <w:szCs w:val="24"/>
          <w:lang w:val="es-ES"/>
        </w:rPr>
        <w:t xml:space="preserve"> </w:t>
      </w:r>
      <w:r>
        <w:rPr>
          <w:rFonts w:ascii="Times New Roman" w:cs="Times New Roman" w:eastAsia="Times New Roman" w:hAnsi="Times New Roman"/>
          <w:b w:val="off"/>
          <w:bCs w:val="off"/>
          <w:i/>
          <w:iCs/>
          <w:sz w:val="24"/>
          <w:szCs w:val="24"/>
          <w:lang w:val="es-ES"/>
        </w:rPr>
        <w:t>Correlation</w:t>
      </w:r>
      <w:r>
        <w:rPr>
          <w:rFonts w:ascii="Times New Roman" w:cs="Times New Roman" w:eastAsia="Times New Roman" w:hAnsi="Times New Roman"/>
          <w:b w:val="off"/>
          <w:bCs w:val="off"/>
          <w:i/>
          <w:iCs/>
          <w:sz w:val="24"/>
          <w:szCs w:val="24"/>
          <w:lang w:val="es-ES"/>
        </w:rPr>
        <w:t xml:space="preserve"> </w:t>
      </w:r>
      <w:r>
        <w:rPr>
          <w:rFonts w:ascii="Times New Roman" w:cs="Times New Roman" w:eastAsia="Times New Roman" w:hAnsi="Times New Roman"/>
          <w:b w:val="off"/>
          <w:bCs w:val="off"/>
          <w:i/>
          <w:iCs/>
          <w:sz w:val="24"/>
          <w:szCs w:val="24"/>
          <w:lang w:val="es-ES"/>
        </w:rPr>
        <w:t>Matrix (Full)</w:t>
      </w:r>
    </w:p>
    <w:p w14:paraId="00000222">
      <w:pPr>
        <w:pStyle w:val="Normal"/>
        <w:spacing w:before="180" w:after="180" w:line="480" w:lineRule="auto"/>
        <w:ind w:left="0" w:firstLine="0"/>
        <w:jc w:val="left"/>
        <w:rPr>
          <w:rFonts w:ascii="Times New Roman" w:cs="Times New Roman" w:eastAsia="Times New Roman" w:hAnsi="Times New Roman"/>
          <w:b/>
          <w:bCs/>
          <w:sz w:val="24"/>
          <w:szCs w:val="24"/>
          <w:lang w:val="es-ES"/>
        </w:rPr>
      </w:pPr>
      <w:r>
        <w:rPr/>
        <w:drawing xmlns:mc="http://schemas.openxmlformats.org/markup-compatibility/2006">
          <wp:inline distT="0" distB="0" distL="0" distR="0">
            <wp:extent cx="5378187" cy="4623695"/>
            <wp:effectExtent l="0" t="0" r="0" b="0"/>
            <wp:docPr id="1434469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0038" name="drawing"/>
                    <pic:cNvPicPr/>
                  </pic:nvPicPr>
                  <pic:blipFill>
                    <a:blip r:embed="rId2074123235"/>
                    <a:srcRect/>
                    <a:stretch>
                      <a:fillRect/>
                    </a:stretch>
                  </pic:blipFill>
                  <pic:spPr>
                    <a:xfrm>
                      <a:off x="0" y="0"/>
                      <a:ext cx="5378187" cy="4623695"/>
                    </a:xfrm>
                    <a:prstGeom prst="rect">
                      <a:avLst/>
                    </a:prstGeom>
                  </pic:spPr>
                </pic:pic>
              </a:graphicData>
            </a:graphic>
          </wp:inline>
        </w:drawing>
      </w:r>
    </w:p>
    <w:p w14:paraId="00000223">
      <w:pPr>
        <w:pStyle w:val="Normal"/>
        <w:spacing w:before="180" w:after="180" w:line="480" w:lineRule="auto"/>
        <w:ind w:left="0" w:firstLine="0"/>
        <w:jc w:val="left"/>
        <w:rPr>
          <w:rFonts w:ascii="Times New Roman" w:cs="Times New Roman" w:eastAsia="Times New Roman" w:hAnsi="Times New Roman"/>
          <w:b w:val="off"/>
          <w:bCs w:val="off"/>
          <w:sz w:val="24"/>
          <w:szCs w:val="24"/>
          <w:lang w:val="en-US"/>
        </w:rPr>
      </w:pPr>
      <w:r>
        <w:rPr>
          <w:rFonts w:ascii="Times New Roman" w:cs="Times New Roman" w:eastAsia="Times New Roman" w:hAnsi="Times New Roman"/>
          <w:b w:val="off"/>
          <w:bCs w:val="off"/>
          <w:sz w:val="24"/>
          <w:szCs w:val="24"/>
          <w:lang w:val="en-US"/>
        </w:rPr>
        <w:t xml:space="preserve">Explanation: The "Exploratory Correlation Matrix" represents the </w:t>
      </w:r>
      <w:r>
        <w:rPr>
          <w:rFonts w:ascii="Times New Roman" w:cs="Times New Roman" w:eastAsia="Times New Roman" w:hAnsi="Times New Roman"/>
          <w:b w:val="off"/>
          <w:bCs w:val="off"/>
          <w:sz w:val="24"/>
          <w:szCs w:val="24"/>
          <w:lang w:val="en-US"/>
        </w:rPr>
        <w:t>initial</w:t>
      </w:r>
      <w:r>
        <w:rPr>
          <w:rFonts w:ascii="Times New Roman" w:cs="Times New Roman" w:eastAsia="Times New Roman" w:hAnsi="Times New Roman"/>
          <w:b w:val="off"/>
          <w:bCs w:val="off"/>
          <w:sz w:val="24"/>
          <w:szCs w:val="24"/>
          <w:lang w:val="en-US"/>
        </w:rPr>
        <w:t xml:space="preserve"> state of the study object. It includes all 35 original variables from the IBM HR dataset.</w:t>
      </w:r>
    </w:p>
    <w:p w14:paraId="00000224">
      <w:pPr>
        <w:pStyle w:val="Normal"/>
        <w:spacing w:before="180" w:after="180" w:line="480" w:lineRule="auto"/>
        <w:ind w:left="0" w:firstLine="0"/>
        <w:jc w:val="left"/>
        <w:rPr>
          <w:rFonts w:ascii="Times New Roman" w:cs="Times New Roman" w:eastAsia="Times New Roman" w:hAnsi="Times New Roman"/>
          <w:b w:val="off"/>
          <w:bCs w:val="off"/>
          <w:i/>
          <w:iCs/>
          <w:sz w:val="24"/>
          <w:szCs w:val="24"/>
          <w:lang w:val="en-US"/>
        </w:rPr>
      </w:pPr>
    </w:p>
    <w:p w14:paraId="00000225">
      <w:pPr>
        <w:spacing w:before="180" w:after="180" w:line="480" w:lineRule="auto"/>
        <w:rPr/>
      </w:pPr>
      <w:r>
        <w:rPr/>
        <w:br w:type="page"/>
      </w:r>
    </w:p>
    <w:p w14:paraId="00000226">
      <w:pPr>
        <w:pStyle w:val="Normal"/>
        <w:spacing w:before="180" w:after="180" w:line="480" w:lineRule="auto"/>
        <w:ind w:left="0" w:firstLine="0"/>
        <w:jc w:val="left"/>
        <w:rPr>
          <w:rFonts w:ascii="Times New Roman" w:cs="Times New Roman" w:eastAsia="Times New Roman" w:hAnsi="Times New Roman"/>
          <w:b w:val="off"/>
          <w:bCs w:val="off"/>
          <w:i/>
          <w:iCs/>
          <w:sz w:val="24"/>
          <w:szCs w:val="24"/>
          <w:lang w:val="en-US"/>
        </w:rPr>
      </w:pPr>
      <w:r>
        <w:rPr>
          <w:rFonts w:ascii="Times New Roman" w:cs="Times New Roman" w:eastAsia="Times New Roman" w:hAnsi="Times New Roman"/>
          <w:b w:val="off"/>
          <w:bCs w:val="off"/>
          <w:i/>
          <w:iCs/>
          <w:sz w:val="24"/>
          <w:szCs w:val="24"/>
          <w:lang w:val="en-US"/>
        </w:rPr>
        <w:t>Annex B.3.2: The Refined Predictive Heatmap (Targeted)</w:t>
      </w:r>
    </w:p>
    <w:p w14:paraId="00000227">
      <w:pPr>
        <w:pStyle w:val="Normal"/>
        <w:spacing w:before="180" w:after="180" w:line="480" w:lineRule="auto"/>
        <w:ind w:left="0" w:firstLine="0"/>
        <w:jc w:val="left"/>
        <w:rPr>
          <w:rFonts w:ascii="Times New Roman" w:cs="Times New Roman" w:eastAsia="Times New Roman" w:hAnsi="Times New Roman"/>
          <w:b w:val="off"/>
          <w:bCs w:val="off"/>
          <w:sz w:val="24"/>
          <w:szCs w:val="24"/>
          <w:lang w:val="en-US"/>
        </w:rPr>
      </w:pPr>
      <w:r>
        <w:rPr/>
        <w:drawing xmlns:mc="http://schemas.openxmlformats.org/markup-compatibility/2006">
          <wp:inline distT="0" distB="0" distL="0" distR="0">
            <wp:extent cx="5536442" cy="4430996"/>
            <wp:effectExtent l="0" t="0" r="0" b="0"/>
            <wp:docPr id="1434469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47215" name="drawing"/>
                    <pic:cNvPicPr/>
                  </pic:nvPicPr>
                  <pic:blipFill>
                    <a:blip r:embed="rId2074123236"/>
                    <a:srcRect/>
                    <a:stretch>
                      <a:fillRect/>
                    </a:stretch>
                  </pic:blipFill>
                  <pic:spPr>
                    <a:xfrm>
                      <a:off x="0" y="0"/>
                      <a:ext cx="5536442" cy="4430996"/>
                    </a:xfrm>
                    <a:prstGeom prst="rect">
                      <a:avLst/>
                    </a:prstGeom>
                  </pic:spPr>
                </pic:pic>
              </a:graphicData>
            </a:graphic>
          </wp:inline>
        </w:drawing>
      </w:r>
    </w:p>
    <w:p w14:paraId="00000228">
      <w:pPr>
        <w:pStyle w:val="Normal"/>
        <w:spacing w:before="180" w:after="180" w:line="480" w:lineRule="auto"/>
        <w:ind w:left="0" w:firstLine="708"/>
        <w:jc w:val="left"/>
        <w:rPr>
          <w:lang w:val="en-US"/>
        </w:rPr>
      </w:pPr>
      <w:r>
        <w:rPr>
          <w:rFonts w:ascii="Times New Roman" w:cs="Times New Roman" w:eastAsia="Times New Roman" w:hAnsi="Times New Roman"/>
          <w:sz w:val="24"/>
          <w:szCs w:val="24"/>
          <w:lang w:val="en-US"/>
        </w:rPr>
        <w:t>This exhibit highlights the last set of features employed in the Logistic Regression Champion Model.</w:t>
      </w:r>
      <w:r>
        <w:rPr>
          <w:rFonts w:ascii="Times New Roman" w:cs="Times New Roman" w:eastAsia="Times New Roman" w:hAnsi="Times New Roman"/>
          <w:sz w:val="24"/>
          <w:szCs w:val="24"/>
          <w:lang w:val="en-US"/>
        </w:rPr>
        <w:t xml:space="preserve"> Unlike the original exploratory matrix shown above (Exhibit B2), the refined matrix concentrates exclusively on the encoded features that affect the “Attrition” variable.</w:t>
      </w:r>
    </w:p>
    <w:p w14:paraId="00000229">
      <w:pPr>
        <w:pStyle w:val="ListParagraph"/>
        <w:numPr>
          <w:ilvl w:val="0"/>
          <w:numId w:val="13"/>
        </w:numPr>
        <w:spacing w:before="180" w:after="180" w:line="480" w:lineRule="auto"/>
        <w:jc w:val="left"/>
        <w:rPr>
          <w:lang w:val="en-US"/>
        </w:rPr>
      </w:pPr>
      <w:r>
        <w:rPr>
          <w:lang w:val="en-US"/>
        </w:rPr>
        <w:t>Dimensionality Reduction: The matrix filters out unnecessary or constant variables (noise) and includes only the top 10</w:t>
      </w:r>
      <w:r>
        <w:rPr>
          <w:lang w:val="en-US"/>
        </w:rPr>
        <w:t xml:space="preserve"> </w:t>
      </w:r>
      <w:r>
        <w:rPr>
          <w:lang w:val="en-US"/>
        </w:rPr>
        <w:t>-</w:t>
      </w:r>
      <w:r>
        <w:rPr>
          <w:lang w:val="en-US"/>
        </w:rPr>
        <w:t xml:space="preserve"> </w:t>
      </w:r>
      <w:r>
        <w:rPr>
          <w:lang w:val="en-US"/>
        </w:rPr>
        <w:t>12 behavioral and demographic features affecting the target “Attrition.”</w:t>
      </w:r>
    </w:p>
    <w:p w14:paraId="0000022A">
      <w:pPr>
        <w:pStyle w:val="ListParagraph"/>
        <w:spacing w:before="180" w:after="180" w:line="480" w:lineRule="auto"/>
        <w:ind w:left="720"/>
        <w:jc w:val="left"/>
        <w:rPr/>
      </w:pPr>
    </w:p>
    <w:p w14:paraId="0000022B">
      <w:pPr>
        <w:pStyle w:val="ListParagraph"/>
        <w:numPr>
          <w:ilvl w:val="0"/>
          <w:numId w:val="13"/>
        </w:numPr>
        <w:spacing w:before="180" w:after="180" w:line="480" w:lineRule="auto"/>
        <w:jc w:val="left"/>
        <w:rPr>
          <w:lang w:val="en-US"/>
        </w:rPr>
      </w:pPr>
      <w:r>
        <w:rPr>
          <w:lang w:val="en-US"/>
        </w:rPr>
        <w:t>Categorical Encoding: As opposed to the exploratory matrix, the refined heatmap employs one-hot encoding of categorical values (</w:t>
      </w:r>
      <w:r>
        <w:rPr>
          <w:lang w:val="en-US"/>
        </w:rPr>
        <w:t>for example</w:t>
      </w:r>
      <w:r>
        <w:rPr>
          <w:lang w:val="en-US"/>
        </w:rPr>
        <w:t xml:space="preserve">, </w:t>
      </w:r>
      <w:r>
        <w:rPr>
          <w:lang w:val="en-US"/>
        </w:rPr>
        <w:t>OverTime_Yes</w:t>
      </w:r>
      <w:r>
        <w:rPr>
          <w:lang w:val="en-US"/>
        </w:rPr>
        <w:t xml:space="preserve">). The use of such </w:t>
      </w:r>
      <w:r>
        <w:rPr>
          <w:lang w:val="en-US"/>
        </w:rPr>
        <w:t>an approach</w:t>
      </w:r>
      <w:r>
        <w:rPr>
          <w:lang w:val="en-US"/>
        </w:rPr>
        <w:t xml:space="preserve"> makes it easier for the model</w:t>
      </w:r>
      <w:r>
        <w:rPr>
          <w:lang w:val="en-US"/>
        </w:rPr>
        <w:t xml:space="preserve"> </w:t>
      </w:r>
      <w:r>
        <w:rPr>
          <w:lang w:val="en-US"/>
        </w:rPr>
        <w:t>and the reader</w:t>
      </w:r>
      <w:r>
        <w:rPr>
          <w:lang w:val="en-US"/>
        </w:rPr>
        <w:t xml:space="preserve"> </w:t>
      </w:r>
      <w:r>
        <w:rPr>
          <w:lang w:val="en-US"/>
        </w:rPr>
        <w:t>to understand</w:t>
      </w:r>
      <w:r>
        <w:rPr>
          <w:lang w:val="en-US"/>
        </w:rPr>
        <w:t xml:space="preserve"> the specific mathematical correlation between the binary value (overtime work or no </w:t>
      </w:r>
      <w:r>
        <w:rPr>
          <w:lang w:val="en-US"/>
        </w:rPr>
        <w:t>overtime</w:t>
      </w:r>
      <w:r>
        <w:rPr>
          <w:lang w:val="en-US"/>
        </w:rPr>
        <w:t xml:space="preserve"> work) and the probability of leaving.</w:t>
      </w:r>
    </w:p>
    <w:p w14:paraId="0000022C">
      <w:pPr>
        <w:pStyle w:val="ListParagraph"/>
        <w:spacing w:before="180" w:after="180" w:line="480" w:lineRule="auto"/>
        <w:ind w:left="720"/>
        <w:jc w:val="left"/>
        <w:rPr>
          <w:lang w:val="en-US"/>
        </w:rPr>
      </w:pPr>
    </w:p>
    <w:p w14:paraId="0000022D">
      <w:pPr>
        <w:pStyle w:val="ListParagraph"/>
        <w:numPr>
          <w:ilvl w:val="0"/>
          <w:numId w:val="13"/>
        </w:numPr>
        <w:spacing w:before="180" w:after="180" w:line="480" w:lineRule="auto"/>
        <w:jc w:val="left"/>
        <w:rPr>
          <w:lang w:val="en-US"/>
        </w:rPr>
      </w:pPr>
      <w:r>
        <w:rPr>
          <w:lang w:val="en-US"/>
        </w:rPr>
        <w:t xml:space="preserve">Coefficient Alignment: The refined heatmap is an excellent visual example of the correlation between coefficients and features in the regression model. Namely, the model shows </w:t>
      </w:r>
      <w:r>
        <w:rPr>
          <w:lang w:val="en-US"/>
        </w:rPr>
        <w:t>+</w:t>
      </w:r>
      <w:r>
        <w:rPr>
          <w:lang w:val="en-US"/>
        </w:rPr>
        <w:t>0.25</w:t>
      </w:r>
      <w:r>
        <w:rPr>
          <w:lang w:val="en-US"/>
        </w:rPr>
        <w:t xml:space="preserve"> correlation between Overtime and -0.16 correlation between the monthly income of the employee and the likelihood of attrition.</w:t>
      </w:r>
    </w:p>
    <w:p w14:paraId="0000022E">
      <w:pPr>
        <w:pStyle w:val="Normal"/>
        <w:spacing w:before="180" w:after="180" w:line="480" w:lineRule="auto"/>
        <w:ind w:left="0"/>
        <w:jc w:val="left"/>
        <w:rPr>
          <w:lang w:val="en-US"/>
        </w:rPr>
      </w:pPr>
    </w:p>
    <w:p w14:paraId="0000022F">
      <w:pPr>
        <w:pStyle w:val="Normal"/>
        <w:spacing w:before="180" w:after="180" w:line="480" w:lineRule="auto"/>
        <w:ind w:left="0"/>
        <w:jc w:val="left"/>
        <w:rPr>
          <w:i w:val="off"/>
          <w:iCs w:val="off"/>
          <w:lang w:val="en-US"/>
        </w:rPr>
      </w:pPr>
    </w:p>
    <w:p w14:paraId="00000230">
      <w:pPr>
        <w:spacing w:before="180" w:after="180" w:line="480" w:lineRule="auto"/>
        <w:rPr/>
      </w:pPr>
      <w:r>
        <w:rPr/>
        <w:br w:type="page"/>
      </w:r>
    </w:p>
    <w:p w14:paraId="00000231">
      <w:pPr>
        <w:pStyle w:val="Normal"/>
        <w:spacing w:before="180" w:after="180" w:line="480" w:lineRule="auto"/>
        <w:ind w:left="0"/>
        <w:jc w:val="left"/>
        <w:rPr>
          <w:i w:val="off"/>
          <w:iCs w:val="off"/>
          <w:lang w:val="en-US"/>
        </w:rPr>
      </w:pPr>
      <w:r>
        <w:rPr>
          <w:i w:val="off"/>
          <w:iCs w:val="off"/>
          <w:lang w:val="en-US"/>
        </w:rPr>
        <w:t>Annex C: Structural Metadata Table</w:t>
      </w:r>
    </w:p>
    <w:tbl>
      <w:tblPr>
        <w:tblStyle w:val="NormalTable"/>
        <w:bidiVisual w:val="off"/>
        <w:tblW w:w="0" w:type="auto"/>
        <w:tblLook w:val="06A0"/>
      </w:tblPr>
      <w:tblGrid>
        <w:gridCol w:w="2981"/>
        <w:gridCol w:w="1395"/>
        <w:gridCol w:w="1701"/>
        <w:gridCol w:w="2935"/>
      </w:tblGrid>
      <w:tr>
        <w:trPr>
          <w:trHeight w:val="300"/>
        </w:trPr>
        <w:tc>
          <w:tcPr>
            <w:cnfStyle w:val="101000000000"/>
            <w:tcW w:w="2910"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232">
            <w:pPr>
              <w:spacing w:before="0" w:after="0"/>
              <w:rPr/>
            </w:pPr>
            <w:r>
              <w:rPr>
                <w:b/>
                <w:bCs/>
                <w:color w:val="1f1f1f"/>
              </w:rPr>
              <w:t>Variable Name</w:t>
            </w:r>
          </w:p>
        </w:tc>
        <w:tc>
          <w:tcPr>
            <w:cnfStyle w:val="100000000000"/>
            <w:tcW w:w="1575"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233">
            <w:pPr>
              <w:spacing w:before="0" w:after="0"/>
              <w:rPr/>
            </w:pPr>
            <w:r>
              <w:rPr>
                <w:b/>
                <w:bCs/>
                <w:color w:val="1f1f1f"/>
              </w:rPr>
              <w:t>Data Type</w:t>
            </w:r>
          </w:p>
        </w:tc>
        <w:tc>
          <w:tcPr>
            <w:cnfStyle w:val="100000000000"/>
            <w:tcW w:w="1746" w:type="dxa"/>
            <w:tcBorders>
              <w:top w:val="single" w:sz="6" w:space="0"/>
              <w:left w:val="single" w:sz="6" w:space="0"/>
              <w:bottom w:val="single" w:sz="6" w:space="0"/>
              <w:right w:val="single" w:sz="6" w:space="0"/>
            </w:tcBorders>
            <w:shd w:val="clear" w:color="auto" w:fill="efefef"/>
            <w:tcMar>
              <w:top w:w="240" w:type="dxa"/>
              <w:bottom w:w="240" w:type="dxa"/>
              <w:right w:w="180" w:type="dxa"/>
            </w:tcMar>
            <w:vAlign w:val="center"/>
          </w:tcPr>
          <w:p w14:paraId="00000234">
            <w:pPr>
              <w:spacing w:before="0" w:after="0"/>
              <w:rPr/>
            </w:pPr>
            <w:r>
              <w:rPr>
                <w:b/>
                <w:bCs/>
                <w:color w:val="1f1f1f"/>
              </w:rPr>
              <w:t>Measurement Scale</w:t>
            </w:r>
          </w:p>
        </w:tc>
        <w:tc>
          <w:tcPr>
            <w:cnfStyle w:val="100000000000"/>
            <w:tcW w:w="3890" w:type="dxa"/>
            <w:tcBorders>
              <w:top w:val="single" w:sz="6" w:space="0"/>
              <w:left w:val="single" w:sz="6" w:space="0"/>
              <w:bottom w:val="single" w:sz="6" w:space="0"/>
              <w:right w:val="single" w:sz="6" w:space="0"/>
            </w:tcBorders>
            <w:shd w:val="clear" w:color="auto" w:fill="efefef"/>
            <w:tcMar>
              <w:top w:w="240" w:type="dxa"/>
              <w:bottom w:w="240" w:type="dxa"/>
            </w:tcMar>
            <w:vAlign w:val="center"/>
          </w:tcPr>
          <w:p w14:paraId="00000235">
            <w:pPr>
              <w:spacing w:before="0" w:after="0"/>
              <w:rPr/>
            </w:pPr>
            <w:r>
              <w:rPr>
                <w:b/>
                <w:bCs/>
                <w:color w:val="1f1f1f"/>
              </w:rPr>
              <w:t>Description / Values</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36">
            <w:pPr>
              <w:spacing w:before="0" w:after="0"/>
              <w:rPr/>
            </w:pPr>
            <w:r>
              <w:rPr>
                <w:b/>
                <w:bCs/>
                <w:color w:val="1f1f1f"/>
              </w:rPr>
              <w:t>Attrition</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37">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38">
            <w:pPr>
              <w:spacing w:before="0" w:after="0"/>
              <w:rPr/>
            </w:pPr>
            <w:r>
              <w:rPr>
                <w:color w:val="1f1f1f"/>
              </w:rPr>
              <w:t>Binary</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39">
            <w:pPr>
              <w:spacing w:before="0" w:after="0"/>
              <w:rPr/>
            </w:pPr>
            <w:r>
              <w:rPr>
                <w:b/>
                <w:bCs/>
                <w:color w:val="1f1f1f"/>
              </w:rPr>
              <w:t>Target Variable</w:t>
            </w:r>
            <w:r>
              <w:rPr>
                <w:color w:val="1f1f1f"/>
              </w:rPr>
              <w:t>: Yes (1) or No (0).</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3A">
            <w:pPr>
              <w:spacing w:before="0" w:after="0"/>
              <w:rPr/>
            </w:pPr>
            <w:r>
              <w:rPr>
                <w:b/>
                <w:bCs/>
                <w:color w:val="1f1f1f"/>
              </w:rPr>
              <w:t>Age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3B">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3C">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3D">
            <w:pPr>
              <w:spacing w:before="0" w:after="0"/>
              <w:rPr/>
            </w:pPr>
            <w:r>
              <w:rPr>
                <w:color w:val="1f1f1f"/>
              </w:rPr>
              <w:t>Age of the employee (18–60).</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3E">
            <w:pPr>
              <w:spacing w:before="0" w:after="0"/>
              <w:rPr/>
            </w:pPr>
            <w:r>
              <w:rPr>
                <w:b/>
                <w:bCs/>
                <w:color w:val="1f1f1f"/>
              </w:rPr>
              <w:t>BusinessTravel</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3F">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40">
            <w:pPr>
              <w:spacing w:before="0" w:after="0"/>
              <w:rPr/>
            </w:pPr>
            <w:r>
              <w:rPr>
                <w:color w:val="1f1f1f"/>
              </w:rPr>
              <w:t>Nominal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41">
            <w:pPr>
              <w:spacing w:before="0" w:after="0"/>
              <w:rPr/>
            </w:pPr>
            <w:r>
              <w:rPr>
                <w:color w:val="1f1f1f"/>
              </w:rPr>
              <w:t>Frequency of travel: Non-Travel, Travel_Rarely, Travel_Frequently.</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42">
            <w:pPr>
              <w:spacing w:before="0" w:after="0"/>
              <w:rPr/>
            </w:pPr>
            <w:r>
              <w:rPr>
                <w:b/>
                <w:bCs/>
                <w:color w:val="1f1f1f"/>
              </w:rPr>
              <w:t>DailyRate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43">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44">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45">
            <w:pPr>
              <w:spacing w:before="0" w:after="0"/>
              <w:rPr/>
            </w:pPr>
            <w:r>
              <w:rPr>
                <w:color w:val="1f1f1f"/>
              </w:rPr>
              <w:t>Daily salary amount.</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46">
            <w:pPr>
              <w:spacing w:before="0" w:after="0"/>
              <w:rPr/>
            </w:pPr>
            <w:r>
              <w:rPr>
                <w:b/>
                <w:bCs/>
                <w:color w:val="1f1f1f"/>
              </w:rPr>
              <w:t>Department</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47">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48">
            <w:pPr>
              <w:spacing w:before="0" w:after="0"/>
              <w:rPr/>
            </w:pPr>
            <w:r>
              <w:rPr>
                <w:color w:val="1f1f1f"/>
              </w:rPr>
              <w:t>Nominal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49">
            <w:pPr>
              <w:spacing w:before="0" w:after="0"/>
              <w:rPr/>
            </w:pPr>
            <w:r>
              <w:rPr>
                <w:color w:val="1f1f1f"/>
              </w:rPr>
              <w:t>Sales, Research &amp; Development, Human Resources.</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4A">
            <w:pPr>
              <w:spacing w:before="0" w:after="0"/>
              <w:rPr/>
            </w:pPr>
            <w:r>
              <w:rPr>
                <w:b/>
                <w:bCs/>
                <w:color w:val="1f1f1f"/>
              </w:rPr>
              <w:t>DistanceFromHome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4B">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4C">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4D">
            <w:pPr>
              <w:spacing w:before="0" w:after="0"/>
              <w:rPr/>
            </w:pPr>
            <w:r>
              <w:rPr>
                <w:color w:val="1f1f1f"/>
              </w:rPr>
              <w:t>Distance from the office in miles.</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4E">
            <w:pPr>
              <w:spacing w:before="0" w:after="0"/>
              <w:rPr/>
            </w:pPr>
            <w:r>
              <w:rPr>
                <w:b/>
                <w:bCs/>
                <w:color w:val="1f1f1f"/>
              </w:rPr>
              <w:t>Education</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4F">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50">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51">
            <w:pPr>
              <w:spacing w:before="0" w:after="0"/>
              <w:rPr/>
            </w:pPr>
            <w:r>
              <w:rPr>
                <w:color w:val="1f1f1f"/>
              </w:rPr>
              <w:t>1 'Below College', 2 'College', 3 'Bachelor', 4 'Master', 5 'Doctor'.</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52">
            <w:pPr>
              <w:spacing w:before="0" w:after="0"/>
              <w:rPr/>
            </w:pPr>
            <w:r>
              <w:rPr>
                <w:b/>
                <w:bCs/>
                <w:color w:val="1f1f1f"/>
              </w:rPr>
              <w:t>EducationField</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53">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54">
            <w:pPr>
              <w:spacing w:before="0" w:after="0"/>
              <w:rPr/>
            </w:pPr>
            <w:r>
              <w:rPr>
                <w:color w:val="1f1f1f"/>
              </w:rPr>
              <w:t>Nominal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55">
            <w:pPr>
              <w:spacing w:before="0" w:after="0"/>
              <w:rPr/>
            </w:pPr>
            <w:r>
              <w:rPr>
                <w:color w:val="1f1f1f"/>
              </w:rPr>
              <w:t>HR, Life Sciences, Marketing, Medical, Technical Degree, Other.</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56">
            <w:pPr>
              <w:spacing w:before="0" w:after="0"/>
              <w:rPr/>
            </w:pPr>
            <w:r>
              <w:rPr>
                <w:b/>
                <w:bCs/>
                <w:color w:val="1f1f1f"/>
              </w:rPr>
              <w:t>EnvironmentSatisfaction</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57">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58">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59">
            <w:pPr>
              <w:spacing w:before="0" w:after="0"/>
              <w:rPr/>
            </w:pPr>
            <w:r>
              <w:rPr>
                <w:color w:val="1f1f1f"/>
              </w:rPr>
              <w:t>1 'Low', 2 'Medium', 3 'High', 4 'Very High'.</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5A">
            <w:pPr>
              <w:spacing w:before="0" w:after="0"/>
              <w:rPr/>
            </w:pPr>
            <w:r>
              <w:rPr>
                <w:b/>
                <w:bCs/>
                <w:color w:val="1f1f1f"/>
              </w:rPr>
              <w:t>Gender</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5B">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5C">
            <w:pPr>
              <w:spacing w:before="0" w:after="0"/>
              <w:rPr/>
            </w:pPr>
            <w:r>
              <w:rPr>
                <w:color w:val="1f1f1f"/>
              </w:rPr>
              <w:t>Binary</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5D">
            <w:pPr>
              <w:spacing w:before="0" w:after="0"/>
              <w:rPr/>
            </w:pPr>
            <w:r>
              <w:rPr>
                <w:color w:val="1f1f1f"/>
              </w:rPr>
              <w:t>Male, Female.</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5E">
            <w:pPr>
              <w:spacing w:before="0" w:after="0"/>
              <w:rPr/>
            </w:pPr>
            <w:r>
              <w:rPr>
                <w:b/>
                <w:bCs/>
                <w:color w:val="1f1f1f"/>
              </w:rPr>
              <w:t>HourlyRate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5F">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60">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61">
            <w:pPr>
              <w:spacing w:before="0" w:after="0"/>
              <w:rPr/>
            </w:pPr>
            <w:r>
              <w:rPr>
                <w:color w:val="1f1f1f"/>
              </w:rPr>
              <w:t>Hourly salary amount.</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62">
            <w:pPr>
              <w:spacing w:before="0" w:after="0"/>
              <w:rPr/>
            </w:pPr>
            <w:r>
              <w:rPr>
                <w:b/>
                <w:bCs/>
                <w:color w:val="1f1f1f"/>
              </w:rPr>
              <w:t>JobInvolvement</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63">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64">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65">
            <w:pPr>
              <w:spacing w:before="0" w:after="0"/>
              <w:rPr/>
            </w:pPr>
            <w:r>
              <w:rPr>
                <w:color w:val="1f1f1f"/>
              </w:rPr>
              <w:t>1 'Low', 2 'Medium', 3 'High', 4 'Very High'.</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66">
            <w:pPr>
              <w:spacing w:before="0" w:after="0"/>
              <w:rPr/>
            </w:pPr>
            <w:r>
              <w:rPr>
                <w:b/>
                <w:bCs/>
                <w:color w:val="1f1f1f"/>
              </w:rPr>
              <w:t>JobLevel</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67">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68">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69">
            <w:pPr>
              <w:spacing w:before="0" w:after="0"/>
              <w:rPr/>
            </w:pPr>
            <w:r>
              <w:rPr>
                <w:color w:val="1f1f1f"/>
              </w:rPr>
              <w:t>Hierarchy level (1 to 5).</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6A">
            <w:pPr>
              <w:spacing w:before="0" w:after="0"/>
              <w:rPr/>
            </w:pPr>
            <w:r>
              <w:rPr>
                <w:b/>
                <w:bCs/>
                <w:color w:val="1f1f1f"/>
              </w:rPr>
              <w:t>JobRole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6B">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6C">
            <w:pPr>
              <w:spacing w:before="0" w:after="0"/>
              <w:rPr/>
            </w:pPr>
            <w:r>
              <w:rPr>
                <w:color w:val="1f1f1f"/>
              </w:rPr>
              <w:t>Nominal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6D">
            <w:pPr>
              <w:spacing w:before="0" w:after="0"/>
              <w:rPr/>
            </w:pPr>
            <w:r>
              <w:rPr>
                <w:color w:val="1f1f1f"/>
              </w:rPr>
              <w:t>Manager, Developer, Sales Exec, Laboratory Associate, etc.</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6E">
            <w:pPr>
              <w:spacing w:before="0" w:after="0"/>
              <w:rPr/>
            </w:pPr>
            <w:r>
              <w:rPr>
                <w:b/>
                <w:bCs/>
                <w:color w:val="1f1f1f"/>
              </w:rPr>
              <w:t>JobSatisfaction</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6F">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70">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71">
            <w:pPr>
              <w:spacing w:before="0" w:after="0"/>
              <w:rPr/>
            </w:pPr>
            <w:r>
              <w:rPr>
                <w:color w:val="1f1f1f"/>
              </w:rPr>
              <w:t>1 'Low', 2 'Medium', 3 'High', 4 'Very High'.</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72">
            <w:pPr>
              <w:spacing w:before="0" w:after="0"/>
              <w:rPr/>
            </w:pPr>
            <w:r>
              <w:rPr>
                <w:b/>
                <w:bCs/>
                <w:color w:val="1f1f1f"/>
              </w:rPr>
              <w:t>MaritalStatus</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73">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74">
            <w:pPr>
              <w:spacing w:before="0" w:after="0"/>
              <w:rPr/>
            </w:pPr>
            <w:r>
              <w:rPr>
                <w:color w:val="1f1f1f"/>
              </w:rPr>
              <w:t>Nominal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75">
            <w:pPr>
              <w:spacing w:before="0" w:after="0"/>
              <w:rPr/>
            </w:pPr>
            <w:r>
              <w:rPr>
                <w:color w:val="1f1f1f"/>
              </w:rPr>
              <w:t>Single, Married, Divorced.</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76">
            <w:pPr>
              <w:spacing w:before="0" w:after="0"/>
              <w:rPr/>
            </w:pPr>
            <w:r>
              <w:rPr>
                <w:b/>
                <w:bCs/>
                <w:color w:val="1f1f1f"/>
              </w:rPr>
              <w:t>MonthlyIncome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77">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78">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79">
            <w:pPr>
              <w:spacing w:before="0" w:after="0"/>
              <w:rPr/>
            </w:pPr>
            <w:r>
              <w:rPr>
                <w:color w:val="1f1f1f"/>
              </w:rPr>
              <w:t>Monthly salary (Key Attrition Predictor).</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7A">
            <w:pPr>
              <w:spacing w:before="0" w:after="0"/>
              <w:rPr/>
            </w:pPr>
            <w:r>
              <w:rPr>
                <w:b/>
                <w:bCs/>
                <w:color w:val="1f1f1f"/>
              </w:rPr>
              <w:t>MonthlyRate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7B">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7C">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7D">
            <w:pPr>
              <w:spacing w:before="0" w:after="0"/>
              <w:rPr/>
            </w:pPr>
            <w:r>
              <w:rPr>
                <w:color w:val="1f1f1f"/>
              </w:rPr>
              <w:t>Monthly rate calculation.</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7E">
            <w:pPr>
              <w:spacing w:before="0" w:after="0"/>
              <w:rPr/>
            </w:pPr>
            <w:r>
              <w:rPr>
                <w:b/>
                <w:bCs/>
                <w:color w:val="1f1f1f"/>
              </w:rPr>
              <w:t>NumCompaniesWorked</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7F">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80">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81">
            <w:pPr>
              <w:spacing w:before="0" w:after="0"/>
              <w:rPr/>
            </w:pPr>
            <w:r>
              <w:rPr>
                <w:color w:val="1f1f1f"/>
              </w:rPr>
              <w:t>Total companies the employee has worked for.</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82">
            <w:pPr>
              <w:spacing w:before="0" w:after="0"/>
              <w:rPr/>
            </w:pPr>
            <w:r>
              <w:rPr>
                <w:b/>
                <w:bCs/>
                <w:color w:val="1f1f1f"/>
              </w:rPr>
              <w:t>OverTime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83">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84">
            <w:pPr>
              <w:spacing w:before="0" w:after="0"/>
              <w:rPr/>
            </w:pPr>
            <w:r>
              <w:rPr>
                <w:color w:val="1f1f1f"/>
              </w:rPr>
              <w:t>Binary</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85">
            <w:pPr>
              <w:spacing w:before="0" w:after="0"/>
              <w:rPr/>
            </w:pPr>
            <w:r>
              <w:rPr>
                <w:b/>
                <w:bCs/>
                <w:color w:val="1f1f1f"/>
              </w:rPr>
              <w:t>Key Predictor</w:t>
            </w:r>
            <w:r>
              <w:rPr>
                <w:color w:val="1f1f1f"/>
              </w:rPr>
              <w:t>: Yes or No.</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86">
            <w:pPr>
              <w:spacing w:before="0" w:after="0"/>
              <w:rPr/>
            </w:pPr>
            <w:r>
              <w:rPr>
                <w:b/>
                <w:bCs/>
                <w:color w:val="1f1f1f"/>
              </w:rPr>
              <w:t>PercentSalaryHike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87">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88">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89">
            <w:pPr>
              <w:spacing w:before="0" w:after="0"/>
              <w:rPr/>
            </w:pPr>
            <w:r>
              <w:rPr>
                <w:color w:val="1f1f1f"/>
              </w:rPr>
              <w:t>Percentage increase in salary last year.</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8A">
            <w:pPr>
              <w:spacing w:before="0" w:after="0"/>
              <w:rPr/>
            </w:pPr>
            <w:r>
              <w:rPr>
                <w:b/>
                <w:bCs/>
                <w:color w:val="1f1f1f"/>
              </w:rPr>
              <w:t>PerformanceRating</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8B">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8C">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8D">
            <w:pPr>
              <w:spacing w:before="0" w:after="0"/>
              <w:rPr/>
            </w:pPr>
            <w:r>
              <w:rPr>
                <w:color w:val="1f1f1f"/>
              </w:rPr>
              <w:t>1 'Low', 2 'Good', 3 'Excellent', 4 'Outstanding'.</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8E">
            <w:pPr>
              <w:spacing w:before="0" w:after="0"/>
              <w:rPr/>
            </w:pPr>
            <w:r>
              <w:rPr>
                <w:b/>
                <w:bCs/>
                <w:color w:val="1f1f1f"/>
              </w:rPr>
              <w:t>RelationshipSatisfaction</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8F">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90">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91">
            <w:pPr>
              <w:spacing w:before="0" w:after="0"/>
              <w:rPr/>
            </w:pPr>
            <w:r>
              <w:rPr>
                <w:color w:val="1f1f1f"/>
              </w:rPr>
              <w:t>1 'Low', 2 'Medium', 3 'High', 4 'Very High'.</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92">
            <w:pPr>
              <w:spacing w:before="0" w:after="0"/>
              <w:rPr/>
            </w:pPr>
            <w:r>
              <w:rPr>
                <w:b/>
                <w:bCs/>
                <w:color w:val="1f1f1f"/>
              </w:rPr>
              <w:t>StockOptionLevel</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93">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94">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95">
            <w:pPr>
              <w:spacing w:before="0" w:after="0"/>
              <w:rPr/>
            </w:pPr>
            <w:r>
              <w:rPr>
                <w:color w:val="1f1f1f"/>
              </w:rPr>
              <w:t>Level of stock options granted (0 to 3).</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96">
            <w:pPr>
              <w:spacing w:before="0" w:after="0"/>
              <w:rPr/>
            </w:pPr>
            <w:r>
              <w:rPr>
                <w:b/>
                <w:bCs/>
                <w:color w:val="1f1f1f"/>
              </w:rPr>
              <w:t>TotalWorkingYears</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97">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98">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99">
            <w:pPr>
              <w:spacing w:before="0" w:after="0"/>
              <w:rPr/>
            </w:pPr>
            <w:r>
              <w:rPr>
                <w:color w:val="1f1f1f"/>
              </w:rPr>
              <w:t>Total years of professional experience.</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9A">
            <w:pPr>
              <w:spacing w:before="0" w:after="0"/>
              <w:rPr/>
            </w:pPr>
            <w:r>
              <w:rPr>
                <w:b/>
                <w:bCs/>
                <w:color w:val="1f1f1f"/>
              </w:rPr>
              <w:t>TrainingTimesLastYear</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9B">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9C">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9D">
            <w:pPr>
              <w:spacing w:before="0" w:after="0"/>
              <w:rPr/>
            </w:pPr>
            <w:r>
              <w:rPr>
                <w:color w:val="1f1f1f"/>
              </w:rPr>
              <w:t>Number of training sessions attended.</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9E">
            <w:pPr>
              <w:spacing w:before="0" w:after="0"/>
              <w:rPr/>
            </w:pPr>
            <w:r>
              <w:rPr>
                <w:b/>
                <w:bCs/>
                <w:color w:val="1f1f1f"/>
              </w:rPr>
              <w:t>WorkLifeBalance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9F">
            <w:pPr>
              <w:spacing w:before="0" w:after="0"/>
              <w:rPr/>
            </w:pPr>
            <w:r>
              <w:rPr>
                <w:color w:val="1f1f1f"/>
              </w:rPr>
              <w:t>Categorical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A0">
            <w:pPr>
              <w:spacing w:before="0" w:after="0"/>
              <w:rPr/>
            </w:pPr>
            <w:r>
              <w:rPr>
                <w:color w:val="1f1f1f"/>
              </w:rPr>
              <w:t>Ordinal</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A1">
            <w:pPr>
              <w:spacing w:before="0" w:after="0"/>
              <w:rPr/>
            </w:pPr>
            <w:r>
              <w:rPr>
                <w:color w:val="1f1f1f"/>
              </w:rPr>
              <w:t>1 'Bad', 2 'Good', 3 'Better', 4 'Best'.</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A2">
            <w:pPr>
              <w:spacing w:before="0" w:after="0"/>
              <w:rPr/>
            </w:pPr>
            <w:r>
              <w:rPr>
                <w:b/>
                <w:bCs/>
                <w:color w:val="1f1f1f"/>
              </w:rPr>
              <w:t>YearsAtCompany</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A3">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A4">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A5">
            <w:pPr>
              <w:spacing w:before="0" w:after="0"/>
              <w:rPr/>
            </w:pPr>
            <w:r>
              <w:rPr>
                <w:color w:val="1f1f1f"/>
              </w:rPr>
              <w:t>Total tenure at TechCorp.</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A6">
            <w:pPr>
              <w:spacing w:before="0" w:after="0"/>
              <w:rPr/>
            </w:pPr>
            <w:r>
              <w:rPr>
                <w:b/>
                <w:bCs/>
                <w:color w:val="1f1f1f"/>
              </w:rPr>
              <w:t>YearsInCurrentRole</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A7">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A8">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A9">
            <w:pPr>
              <w:spacing w:before="0" w:after="0"/>
              <w:rPr/>
            </w:pPr>
            <w:r>
              <w:rPr>
                <w:color w:val="1f1f1f"/>
              </w:rPr>
              <w:t>Tenure in the current specific job role.</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AA">
            <w:pPr>
              <w:spacing w:before="0" w:after="0"/>
              <w:rPr/>
            </w:pPr>
            <w:r>
              <w:rPr>
                <w:b/>
                <w:bCs/>
                <w:color w:val="1f1f1f"/>
              </w:rPr>
              <w:t>YearsSinceLastPromotion</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AB">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AC">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AD">
            <w:pPr>
              <w:spacing w:before="0" w:after="0"/>
              <w:rPr/>
            </w:pPr>
            <w:r>
              <w:rPr>
                <w:color w:val="1f1f1f"/>
              </w:rPr>
              <w:t>Years since the employee was last promoted.</w:t>
            </w:r>
          </w:p>
        </w:tc>
      </w:tr>
      <w:tr>
        <w:trPr>
          <w:trHeight w:val="300"/>
        </w:trPr>
        <w:tc>
          <w:tcPr>
            <w:cnfStyle w:val="001000000000"/>
            <w:tcW w:w="2910" w:type="dxa"/>
            <w:tcBorders>
              <w:top w:val="single" w:sz="6" w:space="0"/>
              <w:left w:val="single" w:sz="6" w:space="0"/>
              <w:bottom w:val="single" w:sz="6" w:space="0"/>
              <w:right w:val="single" w:sz="6" w:space="0"/>
            </w:tcBorders>
            <w:tcMar>
              <w:top w:w="240" w:type="dxa"/>
              <w:bottom w:w="240" w:type="dxa"/>
              <w:right w:w="180" w:type="dxa"/>
            </w:tcMar>
            <w:vAlign w:val="center"/>
          </w:tcPr>
          <w:p w14:paraId="000002AE">
            <w:pPr>
              <w:spacing w:before="0" w:after="0"/>
              <w:rPr/>
            </w:pPr>
            <w:r>
              <w:rPr>
                <w:b/>
                <w:bCs/>
                <w:color w:val="1f1f1f"/>
              </w:rPr>
              <w:t>YearsWithCurrManager</w:t>
            </w:r>
          </w:p>
        </w:tc>
        <w:tc>
          <w:tcPr>
            <w:cnfStyle w:val="000000000000"/>
            <w:tcW w:w="1575" w:type="dxa"/>
            <w:tcBorders>
              <w:top w:val="single" w:sz="6" w:space="0"/>
              <w:left w:val="single" w:sz="6" w:space="0"/>
              <w:bottom w:val="single" w:sz="6" w:space="0"/>
              <w:right w:val="single" w:sz="6" w:space="0"/>
            </w:tcBorders>
            <w:tcMar>
              <w:top w:w="240" w:type="dxa"/>
              <w:bottom w:w="240" w:type="dxa"/>
              <w:right w:w="180" w:type="dxa"/>
            </w:tcMar>
            <w:vAlign w:val="center"/>
          </w:tcPr>
          <w:p w14:paraId="000002AF">
            <w:pPr>
              <w:spacing w:before="0" w:after="0"/>
              <w:rPr/>
            </w:pPr>
            <w:r>
              <w:rPr>
                <w:color w:val="1f1f1f"/>
              </w:rPr>
              <w:t>Numerical</w:t>
            </w:r>
          </w:p>
        </w:tc>
        <w:tc>
          <w:tcPr>
            <w:cnfStyle w:val="000000000000"/>
            <w:tcW w:w="1746" w:type="dxa"/>
            <w:tcBorders>
              <w:top w:val="single" w:sz="6" w:space="0"/>
              <w:left w:val="single" w:sz="6" w:space="0"/>
              <w:bottom w:val="single" w:sz="6" w:space="0"/>
              <w:right w:val="single" w:sz="6" w:space="0"/>
            </w:tcBorders>
            <w:tcMar>
              <w:top w:w="240" w:type="dxa"/>
              <w:bottom w:w="240" w:type="dxa"/>
              <w:right w:w="180" w:type="dxa"/>
            </w:tcMar>
            <w:vAlign w:val="center"/>
          </w:tcPr>
          <w:p w14:paraId="000002B0">
            <w:pPr>
              <w:spacing w:before="0" w:after="0"/>
              <w:rPr/>
            </w:pPr>
            <w:r>
              <w:rPr>
                <w:color w:val="1f1f1f"/>
              </w:rPr>
              <w:t>Ratio</w:t>
            </w:r>
          </w:p>
        </w:tc>
        <w:tc>
          <w:tcPr>
            <w:cnfStyle w:val="000000000000"/>
            <w:tcW w:w="3890" w:type="dxa"/>
            <w:tcBorders>
              <w:top w:val="single" w:sz="6" w:space="0"/>
              <w:left w:val="single" w:sz="6" w:space="0"/>
              <w:bottom w:val="single" w:sz="6" w:space="0"/>
              <w:right w:val="single" w:sz="6" w:space="0"/>
            </w:tcBorders>
            <w:tcMar>
              <w:top w:w="240" w:type="dxa"/>
              <w:bottom w:w="240" w:type="dxa"/>
            </w:tcMar>
            <w:vAlign w:val="center"/>
          </w:tcPr>
          <w:p w14:paraId="000002B1">
            <w:pPr>
              <w:spacing w:before="0" w:after="0"/>
              <w:rPr/>
            </w:pPr>
            <w:r>
              <w:rPr>
                <w:color w:val="1f1f1f"/>
              </w:rPr>
              <w:t>Tenure with the current direct supervisor.</w:t>
            </w:r>
          </w:p>
        </w:tc>
      </w:tr>
    </w:tbl>
    <w:p w14:paraId="000002B2">
      <w:pPr>
        <w:pStyle w:val="Normal"/>
        <w:spacing w:before="180" w:after="180" w:line="480" w:lineRule="auto"/>
        <w:ind w:left="0"/>
        <w:jc w:val="left"/>
        <w:rPr>
          <w:lang w:val="en-US"/>
        </w:rPr>
      </w:pPr>
    </w:p>
    <w:p w14:paraId="000002B3">
      <w:pPr>
        <w:pStyle w:val="Normal"/>
        <w:spacing w:before="180" w:after="180" w:line="480" w:lineRule="auto"/>
        <w:ind w:left="0"/>
        <w:jc w:val="left"/>
        <w:rPr>
          <w:i/>
          <w:iCs/>
          <w:lang w:val="en-US"/>
        </w:rPr>
      </w:pPr>
      <w:r>
        <w:rPr>
          <w:i/>
          <w:iCs/>
          <w:lang w:val="en-US"/>
        </w:rPr>
        <w:t>Annex C.2: Dropped Features</w:t>
      </w:r>
    </w:p>
    <w:p w14:paraId="000002B4">
      <w:pPr>
        <w:pStyle w:val="Normal"/>
        <w:spacing w:before="180" w:after="180" w:line="480" w:lineRule="auto"/>
        <w:ind w:left="0"/>
        <w:jc w:val="left"/>
        <w:rPr>
          <w:lang w:val="en-US"/>
        </w:rPr>
      </w:pPr>
      <w:r>
        <w:rPr>
          <w:lang w:val="en-US"/>
        </w:rPr>
        <w:t>These following features were identified as "Zero Variance" columns and they were removed during Phase 3 (Data Preparation) to optimize model performance:</w:t>
      </w:r>
    </w:p>
    <w:p w14:paraId="000002B5">
      <w:pPr>
        <w:pStyle w:val="ListParagraph"/>
        <w:numPr>
          <w:ilvl w:val="0"/>
          <w:numId w:val="12"/>
        </w:numPr>
        <w:spacing w:before="180" w:after="180" w:line="480" w:lineRule="auto"/>
        <w:jc w:val="left"/>
        <w:rPr>
          <w:lang w:val="en-US"/>
        </w:rPr>
      </w:pPr>
      <w:r>
        <w:rPr>
          <w:lang w:val="en-US"/>
        </w:rPr>
        <w:t xml:space="preserve"> </w:t>
      </w:r>
      <w:r>
        <w:rPr>
          <w:lang w:val="en-US"/>
        </w:rPr>
        <w:t>EmployeeCount: Constant value of 1 for all records.</w:t>
      </w:r>
    </w:p>
    <w:p w14:paraId="000002B6">
      <w:pPr>
        <w:pStyle w:val="ListParagraph"/>
        <w:numPr>
          <w:ilvl w:val="0"/>
          <w:numId w:val="12"/>
        </w:numPr>
        <w:spacing w:before="180" w:after="180" w:line="480" w:lineRule="auto"/>
        <w:jc w:val="left"/>
        <w:rPr>
          <w:lang w:val="en-US"/>
        </w:rPr>
      </w:pPr>
      <w:r>
        <w:rPr>
          <w:lang w:val="en-US"/>
        </w:rPr>
        <w:t>Over18: Constant value of 'Y' for all records.</w:t>
      </w:r>
    </w:p>
    <w:p w14:paraId="000002B7">
      <w:pPr>
        <w:pStyle w:val="ListParagraph"/>
        <w:numPr>
          <w:ilvl w:val="0"/>
          <w:numId w:val="12"/>
        </w:numPr>
        <w:spacing w:before="180" w:after="180" w:line="480" w:lineRule="auto"/>
        <w:jc w:val="left"/>
        <w:rPr>
          <w:lang w:val="en-US"/>
        </w:rPr>
      </w:pPr>
      <w:r>
        <w:rPr>
          <w:lang w:val="en-US"/>
        </w:rPr>
        <w:t>StandardHours: Constant value of 80 for all records.</w:t>
      </w:r>
    </w:p>
    <w:p w14:paraId="000002B8">
      <w:pPr>
        <w:pStyle w:val="ListParagraph"/>
        <w:numPr>
          <w:ilvl w:val="0"/>
          <w:numId w:val="12"/>
        </w:numPr>
        <w:spacing w:before="180" w:after="180" w:line="480" w:lineRule="auto"/>
        <w:jc w:val="left"/>
        <w:rPr>
          <w:lang w:val="en-US"/>
        </w:rPr>
      </w:pPr>
      <w:r>
        <w:rPr>
          <w:lang w:val="en-US"/>
        </w:rPr>
        <w:t>EmployeeNumber: Dropped as it is a unique identifier with no predictive value.</w:t>
      </w:r>
    </w:p>
    <w:p w14:paraId="000002B9">
      <w:pPr>
        <w:pStyle w:val="Normal"/>
        <w:spacing w:before="180" w:after="180" w:line="480" w:lineRule="auto"/>
        <w:ind w:left="0"/>
        <w:jc w:val="left"/>
        <w:rPr>
          <w:lang w:val="en-US"/>
        </w:rPr>
      </w:pPr>
    </w:p>
    <w:p w14:paraId="000002BA">
      <w:pPr>
        <w:pStyle w:val="Normal"/>
        <w:spacing w:before="180" w:after="180" w:line="480" w:lineRule="auto"/>
        <w:ind w:left="0"/>
        <w:jc w:val="center"/>
        <w:rPr>
          <w:lang w:val="en-US"/>
        </w:rPr>
      </w:pPr>
      <w:r>
        <w:rPr>
          <w:lang w:val="en-US"/>
        </w:rPr>
        <w:t>“I used an LLM for planning/explanation only; all project decisions and writing are my own.”</w:t>
      </w:r>
    </w:p>
    <w:sectPr>
      <w:headerReference w:type="default" r:id="rId2074123237"/>
      <w:footerReference w:type="default" r:id="rId2074123238"/>
      <w:pgSz w:w="11906" w:h="16838"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4000acff" w:usb2="00000001" w:usb3="00000000" w:csb0="0000019f" w:csb1="00000000"/>
  </w:font>
  <w:font w:name="Times New Roman">
    <w:panose1 w:val="02020603050405020304"/>
    <w:charset w:val="00"/>
    <w:family w:val="roman"/>
    <w:notTrueType w:val="on"/>
    <w:pitch w:val="variable"/>
    <w:sig w:usb0="00000003" w:usb1="00000000" w:usb2="00000000" w:usb3="00000000" w:csb0="00000001" w:csb1="00000000"/>
  </w:font>
  <w:font w:name="Calibri Light">
    <w:panose1 w:val="020f0302020204030204"/>
    <w:charset w:val="00"/>
    <w:family w:val="swiss"/>
    <w:pitch w:val="variable"/>
    <w:sig w:usb0="00000000"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012DC89" w:rsidTr="1012DC89" w14:paraId="2C240DD3">
      <w:trPr>
        <w:trHeight w:val="300"/>
      </w:trPr>
      <w:tc>
        <w:tcPr>
          <w:tcW w:w="3005" w:type="dxa"/>
          <w:tcMar/>
        </w:tcPr>
        <w:p w:rsidR="1012DC89" w:rsidP="1012DC89" w:rsidRDefault="1012DC89" w14:paraId="17CF69DB" w14:textId="5FF626F8">
          <w:pPr>
            <w:pStyle w:val="Header"/>
            <w:bidi w:val="0"/>
            <w:ind w:left="-115"/>
            <w:jc w:val="left"/>
          </w:pPr>
        </w:p>
      </w:tc>
      <w:tc>
        <w:tcPr>
          <w:tcW w:w="3005" w:type="dxa"/>
          <w:tcMar/>
        </w:tcPr>
        <w:p w:rsidR="1012DC89" w:rsidP="1012DC89" w:rsidRDefault="1012DC89" w14:paraId="0CE665E3" w14:textId="1CAC3E5C">
          <w:pPr>
            <w:pStyle w:val="Header"/>
            <w:bidi w:val="0"/>
            <w:jc w:val="center"/>
          </w:pPr>
        </w:p>
      </w:tc>
      <w:tc>
        <w:tcPr>
          <w:tcW w:w="3005" w:type="dxa"/>
          <w:tcMar/>
        </w:tcPr>
        <w:p w:rsidR="1012DC89" w:rsidP="1012DC89" w:rsidRDefault="1012DC89" w14:paraId="55E4B5E9" w14:textId="5FCEDB67">
          <w:pPr>
            <w:pStyle w:val="Header"/>
            <w:bidi w:val="0"/>
            <w:ind w:right="-115"/>
            <w:jc w:val="right"/>
          </w:pPr>
        </w:p>
      </w:tc>
    </w:tr>
  </w:tbl>
  <w:p w:rsidR="1012DC89" w:rsidP="1012DC89" w:rsidRDefault="1012DC89" w14:paraId="147866A7" w14:textId="29E92C75">
    <w:pPr>
      <w:pStyle w:val="Footer"/>
      <w:bidi w:val="0"/>
    </w:pPr>
  </w:p>
</w:ftr>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ink="http://schemas.microsoft.com/office/drawing/2016/ink" xmlns:dgm="http://schemas.openxmlformats.org/drawingml/2006/diagram">
  <w:tbl>
    <w:tblPr>
      <w:tblStyle w:val="NormalTable"/>
      <w:bidiVisual w:val="off"/>
      <w:tblW w:w="0" w:type="auto"/>
      <w:tblLook w:val="06A0"/>
    </w:tblPr>
    <w:tblGrid>
      <w:gridCol w:w="3005"/>
      <w:gridCol w:w="3005"/>
      <w:gridCol w:w="3005"/>
    </w:tblGrid>
    <w:tr>
      <w:trPr>
        <w:trHeight w:val="300"/>
      </w:trPr>
      <w:tc>
        <w:tcPr>
          <w:cnfStyle w:val="101000000000"/>
          <w:tcW w:w="3005" w:type="dxa"/>
        </w:tcPr>
        <w:p w14:paraId="000002BF">
          <w:pPr>
            <w:pStyle w:val="Header"/>
            <w:bidi w:val="off"/>
            <w:ind w:left="-115"/>
            <w:jc w:val="left"/>
            <w:rPr/>
          </w:pPr>
        </w:p>
      </w:tc>
      <w:tc>
        <w:tcPr>
          <w:cnfStyle w:val="100000000000"/>
          <w:tcW w:w="3005" w:type="dxa"/>
        </w:tcPr>
        <w:p w14:paraId="000002C0">
          <w:pPr>
            <w:pStyle w:val="Header"/>
            <w:bidi w:val="off"/>
            <w:jc w:val="center"/>
            <w:rPr/>
          </w:pPr>
        </w:p>
      </w:tc>
      <w:tc>
        <w:tcPr>
          <w:cnfStyle w:val="100000000000"/>
          <w:tcW w:w="3005" w:type="dxa"/>
        </w:tcPr>
        <w:p w14:paraId="000002C1">
          <w:pPr>
            <w:pStyle w:val="Header"/>
            <w:bidi w:val="off"/>
            <w:ind w:right="-115"/>
            <w:jc w:val="right"/>
            <w:rPr/>
          </w:pPr>
        </w:p>
      </w:tc>
    </w:tr>
  </w:tbl>
  <w:p w14:paraId="000002C2">
    <w:pPr>
      <w:pStyle w:val="Footer"/>
      <w:bidi w:val="off"/>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012DC89" w:rsidTr="1012DC89" w14:paraId="6C7AC470">
      <w:trPr>
        <w:trHeight w:val="300"/>
      </w:trPr>
      <w:tc>
        <w:tcPr>
          <w:tcW w:w="3005" w:type="dxa"/>
          <w:tcMar/>
        </w:tcPr>
        <w:p w:rsidR="1012DC89" w:rsidP="1012DC89" w:rsidRDefault="1012DC89" w14:paraId="3604E7E8" w14:textId="0C6D5C1B">
          <w:pPr>
            <w:pStyle w:val="Header"/>
            <w:bidi w:val="0"/>
            <w:ind w:left="-115"/>
            <w:jc w:val="left"/>
          </w:pPr>
        </w:p>
      </w:tc>
      <w:tc>
        <w:tcPr>
          <w:tcW w:w="3005" w:type="dxa"/>
          <w:tcMar/>
        </w:tcPr>
        <w:p w:rsidR="1012DC89" w:rsidP="1012DC89" w:rsidRDefault="1012DC89" w14:paraId="16702D28" w14:textId="66E3144E">
          <w:pPr>
            <w:pStyle w:val="Header"/>
            <w:bidi w:val="0"/>
            <w:jc w:val="center"/>
          </w:pPr>
        </w:p>
      </w:tc>
      <w:tc>
        <w:tcPr>
          <w:tcW w:w="3005" w:type="dxa"/>
          <w:tcMar/>
        </w:tcPr>
        <w:p w:rsidR="1012DC89" w:rsidP="1012DC89" w:rsidRDefault="1012DC89" w14:paraId="0AFC0702" w14:textId="72FD44F8">
          <w:pPr>
            <w:pStyle w:val="Header"/>
            <w:bidi w:val="0"/>
            <w:ind w:right="-115"/>
            <w:jc w:val="right"/>
          </w:pPr>
          <w:r>
            <w:fldChar w:fldCharType="begin"/>
          </w:r>
          <w:r>
            <w:instrText xml:space="preserve">PAGE</w:instrText>
          </w:r>
          <w:r>
            <w:fldChar w:fldCharType="separate"/>
          </w:r>
          <w:r>
            <w:fldChar w:fldCharType="end"/>
          </w:r>
        </w:p>
      </w:tc>
    </w:tr>
  </w:tbl>
  <w:p w:rsidR="1012DC89" w:rsidP="1012DC89" w:rsidRDefault="1012DC89" w14:paraId="18695278" w14:textId="5BEC569E">
    <w:pPr>
      <w:pStyle w:val="Header"/>
      <w:bidi w:val="0"/>
    </w:pPr>
  </w:p>
</w:hd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ink="http://schemas.microsoft.com/office/drawing/2016/ink" xmlns:dgm="http://schemas.openxmlformats.org/drawingml/2006/diagram">
  <w:tbl>
    <w:tblPr>
      <w:tblStyle w:val="NormalTable"/>
      <w:bidiVisual w:val="off"/>
      <w:tblW w:w="0" w:type="auto"/>
      <w:tblLook w:val="06A0"/>
    </w:tblPr>
    <w:tblGrid>
      <w:gridCol w:w="3005"/>
      <w:gridCol w:w="3005"/>
      <w:gridCol w:w="3005"/>
    </w:tblGrid>
    <w:tr>
      <w:trPr>
        <w:trHeight w:val="300"/>
      </w:trPr>
      <w:tc>
        <w:tcPr>
          <w:cnfStyle w:val="101000000000"/>
          <w:tcW w:w="3005" w:type="dxa"/>
        </w:tcPr>
        <w:p w14:paraId="000002BB">
          <w:pPr>
            <w:pStyle w:val="Header"/>
            <w:bidi w:val="off"/>
            <w:ind w:left="-115"/>
            <w:jc w:val="left"/>
            <w:rPr/>
          </w:pPr>
        </w:p>
      </w:tc>
      <w:tc>
        <w:tcPr>
          <w:cnfStyle w:val="100000000000"/>
          <w:tcW w:w="3005" w:type="dxa"/>
        </w:tcPr>
        <w:p w14:paraId="000002BC">
          <w:pPr>
            <w:pStyle w:val="Header"/>
            <w:bidi w:val="off"/>
            <w:jc w:val="center"/>
            <w:rPr/>
          </w:pPr>
        </w:p>
      </w:tc>
      <w:tc>
        <w:tcPr>
          <w:cnfStyle w:val="100000000000"/>
          <w:tcW w:w="3005" w:type="dxa"/>
        </w:tcPr>
        <w:p w14:paraId="000002BD">
          <w:pPr>
            <w:pStyle w:val="Header"/>
            <w:bidi w:val="off"/>
            <w:ind w:right="-115"/>
            <w:jc w:val="right"/>
            <w:rPr/>
          </w:pPr>
          <w:r>
            <w:fldChar w:fldCharType="begin"/>
          </w:r>
          <w:r>
            <w:instrText xml:space="preserve">PAGE</w:instrText>
          </w:r>
          <w:r>
            <w:fldChar w:fldCharType="separate"/>
          </w:r>
          <w:r>
            <w:fldChar w:fldCharType="end"/>
          </w:r>
        </w:p>
      </w:tc>
    </w:tr>
  </w:tbl>
  <w:p w14:paraId="000002BE">
    <w:pPr>
      <w:pStyle w:val="Header"/>
      <w:bidi w:val="off"/>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
    <w:multiLevelType w:val="hybridMultilevel"/>
    <w:lvl w:ilvl="0" w:tentative="0">
      <w:start w:val="8"/>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4">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5">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6">
    <w:multiLevelType w:val="hybridMultilevel"/>
    <w:lvl w:ilvl="0" w:tentative="0">
      <w:start w:val="1"/>
      <w:numFmt w:val="decimal"/>
      <w:lvlText w:val="%1."/>
      <w:lvlJc w:val="left"/>
      <w:pPr>
        <w:ind w:left="720" w:hanging="360"/>
      </w:p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7">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8">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9">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0">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1">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2">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3">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4">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5">
    <w:multiLevelType w:val="hybrid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multiLevelType w:val="hybrid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multiLevelType w:val="hybridMultilevel"/>
    <w:lvl w:ilvl="0" w:tentative="0">
      <w:start w:val="1"/>
      <w:numFmt w:val="bullet"/>
      <w:lvlText w:val=""/>
      <w:lvlJc w:val="left"/>
      <w:pPr>
        <w:ind w:left="1068" w:hanging="360"/>
      </w:pPr>
      <w:rPr>
        <w:rFonts w:ascii="Symbol" w:hAnsi="Symbol" w:hint="default"/>
      </w:rPr>
    </w:lvl>
    <w:lvl w:ilvl="1" w:tentative="0">
      <w:start w:val="1"/>
      <w:numFmt w:val="bullet"/>
      <w:lvlText w:val="o"/>
      <w:lvlJc w:val="left"/>
      <w:pPr>
        <w:ind w:left="1788" w:hanging="360"/>
      </w:pPr>
      <w:rPr>
        <w:rFonts w:ascii="Courier New" w:hAnsi="Courier New" w:hint="default"/>
      </w:rPr>
    </w:lvl>
    <w:lvl w:ilvl="2" w:tentative="0">
      <w:start w:val="1"/>
      <w:numFmt w:val="bullet"/>
      <w:lvlText w:val=""/>
      <w:lvlJc w:val="left"/>
      <w:pPr>
        <w:ind w:left="2508" w:hanging="360"/>
      </w:pPr>
      <w:rPr>
        <w:rFonts w:ascii="Wingdings" w:hAnsi="Wingdings" w:hint="default"/>
      </w:rPr>
    </w:lvl>
    <w:lvl w:ilvl="3" w:tentative="0">
      <w:start w:val="1"/>
      <w:numFmt w:val="bullet"/>
      <w:lvlText w:val=""/>
      <w:lvlJc w:val="left"/>
      <w:pPr>
        <w:ind w:left="3228" w:hanging="360"/>
      </w:pPr>
      <w:rPr>
        <w:rFonts w:ascii="Symbol" w:hAnsi="Symbol" w:hint="default"/>
      </w:rPr>
    </w:lvl>
    <w:lvl w:ilvl="4" w:tentative="0">
      <w:start w:val="1"/>
      <w:numFmt w:val="bullet"/>
      <w:lvlText w:val="o"/>
      <w:lvlJc w:val="left"/>
      <w:pPr>
        <w:ind w:left="3948" w:hanging="360"/>
      </w:pPr>
      <w:rPr>
        <w:rFonts w:ascii="Courier New" w:hAnsi="Courier New" w:hint="default"/>
      </w:rPr>
    </w:lvl>
    <w:lvl w:ilvl="5" w:tentative="0">
      <w:start w:val="1"/>
      <w:numFmt w:val="bullet"/>
      <w:lvlText w:val=""/>
      <w:lvlJc w:val="left"/>
      <w:pPr>
        <w:ind w:left="4668" w:hanging="360"/>
      </w:pPr>
      <w:rPr>
        <w:rFonts w:ascii="Wingdings" w:hAnsi="Wingdings" w:hint="default"/>
      </w:rPr>
    </w:lvl>
    <w:lvl w:ilvl="6" w:tentative="0">
      <w:start w:val="1"/>
      <w:numFmt w:val="bullet"/>
      <w:lvlText w:val=""/>
      <w:lvlJc w:val="left"/>
      <w:pPr>
        <w:ind w:left="5388" w:hanging="360"/>
      </w:pPr>
      <w:rPr>
        <w:rFonts w:ascii="Symbol" w:hAnsi="Symbol" w:hint="default"/>
      </w:rPr>
    </w:lvl>
    <w:lvl w:ilvl="7" w:tentative="0">
      <w:start w:val="1"/>
      <w:numFmt w:val="bullet"/>
      <w:lvlText w:val="o"/>
      <w:lvlJc w:val="left"/>
      <w:pPr>
        <w:ind w:left="6108" w:hanging="360"/>
      </w:pPr>
      <w:rPr>
        <w:rFonts w:ascii="Courier New" w:hAnsi="Courier New" w:hint="default"/>
      </w:rPr>
    </w:lvl>
    <w:lvl w:ilvl="8" w:tentative="0">
      <w:start w:val="1"/>
      <w:numFmt w:val="bullet"/>
      <w:lvlText w:val=""/>
      <w:lvlJc w:val="left"/>
      <w:pPr>
        <w:ind w:left="6828" w:hanging="360"/>
      </w:pPr>
      <w:rPr>
        <w:rFonts w:ascii="Wingdings" w:hAnsi="Wingdings" w:hint="default"/>
      </w:rPr>
    </w:lvl>
  </w:abstractNum>
  <w:abstractNum w:abstractNumId="18">
    <w:multiLevelType w:val="hybridMultilevel"/>
    <w:lvl w:ilvl="0" w:tentative="0">
      <w:start w:val="1"/>
      <w:numFmt w:val="bullet"/>
      <w:lvlText w:val=""/>
      <w:lvlJc w:val="left"/>
      <w:pPr>
        <w:ind w:left="1428" w:hanging="360"/>
      </w:pPr>
      <w:rPr>
        <w:rFonts w:ascii="Symbol" w:hAnsi="Symbol" w:hint="default"/>
      </w:rPr>
    </w:lvl>
    <w:lvl w:ilvl="1" w:tentative="0">
      <w:start w:val="1"/>
      <w:numFmt w:val="bullet"/>
      <w:lvlText w:val="o"/>
      <w:lvlJc w:val="left"/>
      <w:pPr>
        <w:ind w:left="2148" w:hanging="360"/>
      </w:pPr>
      <w:rPr>
        <w:rFonts w:ascii="Courier New" w:hAnsi="Courier New" w:hint="default"/>
      </w:rPr>
    </w:lvl>
    <w:lvl w:ilvl="2" w:tentative="0">
      <w:start w:val="1"/>
      <w:numFmt w:val="bullet"/>
      <w:lvlText w:val=""/>
      <w:lvlJc w:val="left"/>
      <w:pPr>
        <w:ind w:left="2868" w:hanging="360"/>
      </w:pPr>
      <w:rPr>
        <w:rFonts w:ascii="Wingdings" w:hAnsi="Wingdings" w:hint="default"/>
      </w:rPr>
    </w:lvl>
    <w:lvl w:ilvl="3" w:tentative="0">
      <w:start w:val="1"/>
      <w:numFmt w:val="bullet"/>
      <w:lvlText w:val=""/>
      <w:lvlJc w:val="left"/>
      <w:pPr>
        <w:ind w:left="3588" w:hanging="360"/>
      </w:pPr>
      <w:rPr>
        <w:rFonts w:ascii="Symbol" w:hAnsi="Symbol" w:hint="default"/>
      </w:rPr>
    </w:lvl>
    <w:lvl w:ilvl="4" w:tentative="0">
      <w:start w:val="1"/>
      <w:numFmt w:val="bullet"/>
      <w:lvlText w:val="o"/>
      <w:lvlJc w:val="left"/>
      <w:pPr>
        <w:ind w:left="4308" w:hanging="360"/>
      </w:pPr>
      <w:rPr>
        <w:rFonts w:ascii="Courier New" w:hAnsi="Courier New" w:hint="default"/>
      </w:rPr>
    </w:lvl>
    <w:lvl w:ilvl="5" w:tentative="0">
      <w:start w:val="1"/>
      <w:numFmt w:val="bullet"/>
      <w:lvlText w:val=""/>
      <w:lvlJc w:val="left"/>
      <w:pPr>
        <w:ind w:left="5028" w:hanging="360"/>
      </w:pPr>
      <w:rPr>
        <w:rFonts w:ascii="Wingdings" w:hAnsi="Wingdings" w:hint="default"/>
      </w:rPr>
    </w:lvl>
    <w:lvl w:ilvl="6" w:tentative="0">
      <w:start w:val="1"/>
      <w:numFmt w:val="bullet"/>
      <w:lvlText w:val=""/>
      <w:lvlJc w:val="left"/>
      <w:pPr>
        <w:ind w:left="5748" w:hanging="360"/>
      </w:pPr>
      <w:rPr>
        <w:rFonts w:ascii="Symbol" w:hAnsi="Symbol" w:hint="default"/>
      </w:rPr>
    </w:lvl>
    <w:lvl w:ilvl="7" w:tentative="0">
      <w:start w:val="1"/>
      <w:numFmt w:val="bullet"/>
      <w:lvlText w:val="o"/>
      <w:lvlJc w:val="left"/>
      <w:pPr>
        <w:ind w:left="6468" w:hanging="360"/>
      </w:pPr>
      <w:rPr>
        <w:rFonts w:ascii="Courier New" w:hAnsi="Courier New" w:hint="default"/>
      </w:rPr>
    </w:lvl>
    <w:lvl w:ilvl="8" w:tentative="0">
      <w:start w:val="1"/>
      <w:numFmt w:val="bullet"/>
      <w:lvlText w:val=""/>
      <w:lvlJc w:val="left"/>
      <w:pPr>
        <w:ind w:left="7188" w:hanging="360"/>
      </w:pPr>
      <w:rPr>
        <w:rFonts w:ascii="Wingdings" w:hAnsi="Wingdings" w:hint="default"/>
      </w:rPr>
    </w:lvl>
  </w:abstractNum>
  <w:abstractNum w:abstractNumId="19">
    <w:multiLevelType w:val="hybridMultilevel"/>
    <w:lvl w:ilvl="0" w:tentative="0">
      <w:start w:val="1"/>
      <w:numFmt w:val="decimal"/>
      <w:lvlText w:val="%1."/>
      <w:lvlJc w:val="left"/>
      <w:pPr>
        <w:ind w:left="720" w:hanging="360"/>
      </w:pPr>
    </w:lvl>
    <w:lvl w:ilvl="1" w:tentative="0">
      <w:start w:val="1"/>
      <w:numFmt w:val="bullet"/>
      <w:lvlText w:val=""/>
      <w:lvlJc w:val="left"/>
      <w:pPr>
        <w:ind w:left="1440" w:hanging="360"/>
      </w:pPr>
      <w:rPr>
        <w:rFonts w:ascii="Symbol" w:hAnsi="Symbol"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1">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2">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3">
    <w:multiLevelType w:val="hybrid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5">
    <w:multiLevelType w:val="hybrid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7">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8">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9">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0">
    <w:multiLevelType w:val="hybridMultilevel"/>
    <w:lvl w:ilvl="0" w:tentative="0">
      <w:start w:val="1"/>
      <w:numFmt w:val="decimal"/>
      <w:lvlText w:val="%1."/>
      <w:lvlJc w:val="left"/>
      <w:pPr>
        <w:ind w:left="1068" w:hanging="360"/>
      </w:p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abstractNum w:abstractNumId="31">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2">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3">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4">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5">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6">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7">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8">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39">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hAnsi="Courier New" w:hint="default"/>
      </w:rPr>
    </w:lvl>
    <w:lvl w:ilvl="8" w:tentative="0">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EBD0F6"/>
    <w:rsid w:val="0009889C"/>
    <w:rsid w:val="003EBC03"/>
    <w:rsid w:val="005FFF25"/>
    <w:rsid w:val="00BECCB5"/>
    <w:rsid w:val="00C31296"/>
    <w:rsid w:val="00CA8114"/>
    <w:rsid w:val="00D16DDA"/>
    <w:rsid w:val="010963A2"/>
    <w:rsid w:val="01BAA33B"/>
    <w:rsid w:val="021D6045"/>
    <w:rsid w:val="02380AA0"/>
    <w:rsid w:val="0243919B"/>
    <w:rsid w:val="02BF8860"/>
    <w:rsid w:val="03087C7A"/>
    <w:rsid w:val="03692961"/>
    <w:rsid w:val="0428F74F"/>
    <w:rsid w:val="04A9B1FC"/>
    <w:rsid w:val="04B6795C"/>
    <w:rsid w:val="04FBB98C"/>
    <w:rsid w:val="050940AA"/>
    <w:rsid w:val="0523D2E8"/>
    <w:rsid w:val="0542F4D8"/>
    <w:rsid w:val="0589CD0B"/>
    <w:rsid w:val="058F6BAC"/>
    <w:rsid w:val="058FA5EA"/>
    <w:rsid w:val="05E47F2D"/>
    <w:rsid w:val="05F779A0"/>
    <w:rsid w:val="05F89CC9"/>
    <w:rsid w:val="0666BDD7"/>
    <w:rsid w:val="0682BDBD"/>
    <w:rsid w:val="0693132D"/>
    <w:rsid w:val="0698F009"/>
    <w:rsid w:val="06A1749D"/>
    <w:rsid w:val="06BE75FD"/>
    <w:rsid w:val="06F02633"/>
    <w:rsid w:val="06FE76DB"/>
    <w:rsid w:val="0773E992"/>
    <w:rsid w:val="0798A441"/>
    <w:rsid w:val="07AD01B9"/>
    <w:rsid w:val="07CD42CB"/>
    <w:rsid w:val="07DEB1F3"/>
    <w:rsid w:val="08322AB2"/>
    <w:rsid w:val="084946EA"/>
    <w:rsid w:val="08CFBB3B"/>
    <w:rsid w:val="092A320C"/>
    <w:rsid w:val="0992EF33"/>
    <w:rsid w:val="09C2E656"/>
    <w:rsid w:val="0A0EAC4C"/>
    <w:rsid w:val="0A2E09D7"/>
    <w:rsid w:val="0A5CD54F"/>
    <w:rsid w:val="0A77D4A6"/>
    <w:rsid w:val="0AD9F03A"/>
    <w:rsid w:val="0AE6B1D1"/>
    <w:rsid w:val="0AFE8C05"/>
    <w:rsid w:val="0B272FA4"/>
    <w:rsid w:val="0B4EBE60"/>
    <w:rsid w:val="0B58D204"/>
    <w:rsid w:val="0C14E6A7"/>
    <w:rsid w:val="0C4BB27C"/>
    <w:rsid w:val="0CB1A674"/>
    <w:rsid w:val="0D091F00"/>
    <w:rsid w:val="0D11387D"/>
    <w:rsid w:val="0D1E5B49"/>
    <w:rsid w:val="0D2F9190"/>
    <w:rsid w:val="0D696120"/>
    <w:rsid w:val="0D8E5D7D"/>
    <w:rsid w:val="0D97740D"/>
    <w:rsid w:val="0DD1DCD2"/>
    <w:rsid w:val="0E1A2995"/>
    <w:rsid w:val="0E75D339"/>
    <w:rsid w:val="0E8F928E"/>
    <w:rsid w:val="0EEB6F2D"/>
    <w:rsid w:val="0F7A5C05"/>
    <w:rsid w:val="1012DC89"/>
    <w:rsid w:val="101E2845"/>
    <w:rsid w:val="103683D5"/>
    <w:rsid w:val="104B88AB"/>
    <w:rsid w:val="104E2A6C"/>
    <w:rsid w:val="1065E9D4"/>
    <w:rsid w:val="10948EEE"/>
    <w:rsid w:val="110CB1DF"/>
    <w:rsid w:val="1135B0A5"/>
    <w:rsid w:val="115519E4"/>
    <w:rsid w:val="117ADABA"/>
    <w:rsid w:val="1182AADB"/>
    <w:rsid w:val="1183D4F0"/>
    <w:rsid w:val="11A50466"/>
    <w:rsid w:val="11FBCB0B"/>
    <w:rsid w:val="122BE930"/>
    <w:rsid w:val="12B2D8A7"/>
    <w:rsid w:val="12B5E35D"/>
    <w:rsid w:val="13784026"/>
    <w:rsid w:val="13E62EBE"/>
    <w:rsid w:val="13EBD0F6"/>
    <w:rsid w:val="14307A6F"/>
    <w:rsid w:val="1459D2E3"/>
    <w:rsid w:val="1467540C"/>
    <w:rsid w:val="14BD5834"/>
    <w:rsid w:val="14DECEEE"/>
    <w:rsid w:val="14ED7E50"/>
    <w:rsid w:val="152F67D6"/>
    <w:rsid w:val="1622A028"/>
    <w:rsid w:val="16CBB1EF"/>
    <w:rsid w:val="1717DC61"/>
    <w:rsid w:val="178450C8"/>
    <w:rsid w:val="178A1407"/>
    <w:rsid w:val="17ED654C"/>
    <w:rsid w:val="17FFB6CD"/>
    <w:rsid w:val="183B7827"/>
    <w:rsid w:val="183E8779"/>
    <w:rsid w:val="18E2CF22"/>
    <w:rsid w:val="190887E4"/>
    <w:rsid w:val="19277669"/>
    <w:rsid w:val="192F1B60"/>
    <w:rsid w:val="194D0A14"/>
    <w:rsid w:val="19947D71"/>
    <w:rsid w:val="19BE4CED"/>
    <w:rsid w:val="1A0670CC"/>
    <w:rsid w:val="1A58C022"/>
    <w:rsid w:val="1A85E339"/>
    <w:rsid w:val="1AA5296C"/>
    <w:rsid w:val="1AD66005"/>
    <w:rsid w:val="1B0ECC28"/>
    <w:rsid w:val="1B110377"/>
    <w:rsid w:val="1B436D3D"/>
    <w:rsid w:val="1B7CEA85"/>
    <w:rsid w:val="1B816504"/>
    <w:rsid w:val="1B86339B"/>
    <w:rsid w:val="1C39DAD9"/>
    <w:rsid w:val="1C725B8A"/>
    <w:rsid w:val="1CAE54E6"/>
    <w:rsid w:val="1CB6C48A"/>
    <w:rsid w:val="1CE49912"/>
    <w:rsid w:val="1CFC601D"/>
    <w:rsid w:val="1D37A6B4"/>
    <w:rsid w:val="1D4A0EF8"/>
    <w:rsid w:val="1D60FB33"/>
    <w:rsid w:val="1DC438E2"/>
    <w:rsid w:val="1DF5E94A"/>
    <w:rsid w:val="1E907759"/>
    <w:rsid w:val="1EA0155D"/>
    <w:rsid w:val="1EC21925"/>
    <w:rsid w:val="1EEB2B68"/>
    <w:rsid w:val="1F705256"/>
    <w:rsid w:val="1F92D455"/>
    <w:rsid w:val="1FA56D22"/>
    <w:rsid w:val="1FC9AB33"/>
    <w:rsid w:val="1FE92859"/>
    <w:rsid w:val="1FF7C98E"/>
    <w:rsid w:val="200B4B56"/>
    <w:rsid w:val="202189E1"/>
    <w:rsid w:val="2070CD82"/>
    <w:rsid w:val="208E9819"/>
    <w:rsid w:val="20D83C0B"/>
    <w:rsid w:val="20E1E2C0"/>
    <w:rsid w:val="20EB3638"/>
    <w:rsid w:val="20F8FA07"/>
    <w:rsid w:val="211A9273"/>
    <w:rsid w:val="21445D88"/>
    <w:rsid w:val="21680F68"/>
    <w:rsid w:val="2173BD8C"/>
    <w:rsid w:val="2187A143"/>
    <w:rsid w:val="21F07765"/>
    <w:rsid w:val="21F47401"/>
    <w:rsid w:val="21F47401"/>
    <w:rsid w:val="2279003C"/>
    <w:rsid w:val="22990CDB"/>
    <w:rsid w:val="22DF378F"/>
    <w:rsid w:val="2317F250"/>
    <w:rsid w:val="23259176"/>
    <w:rsid w:val="23529502"/>
    <w:rsid w:val="237CEF4F"/>
    <w:rsid w:val="237DDD97"/>
    <w:rsid w:val="23A4279F"/>
    <w:rsid w:val="23C88840"/>
    <w:rsid w:val="240A8842"/>
    <w:rsid w:val="24801D37"/>
    <w:rsid w:val="254DB5BC"/>
    <w:rsid w:val="25A68D06"/>
    <w:rsid w:val="25B4416E"/>
    <w:rsid w:val="261DE8A1"/>
    <w:rsid w:val="26D70D18"/>
    <w:rsid w:val="270DCAA7"/>
    <w:rsid w:val="274DD669"/>
    <w:rsid w:val="27BB99DB"/>
    <w:rsid w:val="283B236C"/>
    <w:rsid w:val="285FD8AE"/>
    <w:rsid w:val="286A7755"/>
    <w:rsid w:val="28C12301"/>
    <w:rsid w:val="28DA92CB"/>
    <w:rsid w:val="292FDE59"/>
    <w:rsid w:val="29968BC2"/>
    <w:rsid w:val="29B340AA"/>
    <w:rsid w:val="29B7FFBA"/>
    <w:rsid w:val="29EC9B22"/>
    <w:rsid w:val="29FF1E81"/>
    <w:rsid w:val="2A0ADB71"/>
    <w:rsid w:val="2AA05B83"/>
    <w:rsid w:val="2AAE808D"/>
    <w:rsid w:val="2AF1FDE6"/>
    <w:rsid w:val="2B294DBA"/>
    <w:rsid w:val="2B4B420E"/>
    <w:rsid w:val="2B6ED7AB"/>
    <w:rsid w:val="2B77D911"/>
    <w:rsid w:val="2BCAD1ED"/>
    <w:rsid w:val="2C01CE0A"/>
    <w:rsid w:val="2CC8C475"/>
    <w:rsid w:val="2D0B49AF"/>
    <w:rsid w:val="2E187098"/>
    <w:rsid w:val="2E598ECB"/>
    <w:rsid w:val="2EB30494"/>
    <w:rsid w:val="2F1B6B19"/>
    <w:rsid w:val="2F352376"/>
    <w:rsid w:val="2F5A14BD"/>
    <w:rsid w:val="2F6893FD"/>
    <w:rsid w:val="2F82F755"/>
    <w:rsid w:val="2FCCD4E7"/>
    <w:rsid w:val="2FCDD4E5"/>
    <w:rsid w:val="2FE78BE3"/>
    <w:rsid w:val="2FF1298C"/>
    <w:rsid w:val="300984FF"/>
    <w:rsid w:val="3012C0DD"/>
    <w:rsid w:val="303D6A06"/>
    <w:rsid w:val="3080BB26"/>
    <w:rsid w:val="30CBC52E"/>
    <w:rsid w:val="30E290E5"/>
    <w:rsid w:val="30EA8A4B"/>
    <w:rsid w:val="31140A35"/>
    <w:rsid w:val="31363319"/>
    <w:rsid w:val="313B16BA"/>
    <w:rsid w:val="31A92578"/>
    <w:rsid w:val="31DEE529"/>
    <w:rsid w:val="3201B0FB"/>
    <w:rsid w:val="320595A9"/>
    <w:rsid w:val="324C11BC"/>
    <w:rsid w:val="329C6D8C"/>
    <w:rsid w:val="3301E571"/>
    <w:rsid w:val="3314FF8E"/>
    <w:rsid w:val="331D02AC"/>
    <w:rsid w:val="336290FA"/>
    <w:rsid w:val="3389371E"/>
    <w:rsid w:val="33DD520E"/>
    <w:rsid w:val="33DF7704"/>
    <w:rsid w:val="341F28C6"/>
    <w:rsid w:val="3421C2AB"/>
    <w:rsid w:val="3465DFE7"/>
    <w:rsid w:val="347D37AB"/>
    <w:rsid w:val="348D0202"/>
    <w:rsid w:val="349FAF66"/>
    <w:rsid w:val="358CE796"/>
    <w:rsid w:val="35CA4163"/>
    <w:rsid w:val="35FBFF2A"/>
    <w:rsid w:val="3655D697"/>
    <w:rsid w:val="366299CA"/>
    <w:rsid w:val="37015D8E"/>
    <w:rsid w:val="3702B3A6"/>
    <w:rsid w:val="373240A8"/>
    <w:rsid w:val="374B9D41"/>
    <w:rsid w:val="375D1BB8"/>
    <w:rsid w:val="377CE53D"/>
    <w:rsid w:val="378645E3"/>
    <w:rsid w:val="37AA5019"/>
    <w:rsid w:val="381BDBA0"/>
    <w:rsid w:val="386E1B75"/>
    <w:rsid w:val="38C48682"/>
    <w:rsid w:val="390F09AA"/>
    <w:rsid w:val="39900392"/>
    <w:rsid w:val="39FD5C18"/>
    <w:rsid w:val="3A24914D"/>
    <w:rsid w:val="3A42B284"/>
    <w:rsid w:val="3A7B82F4"/>
    <w:rsid w:val="3B7595EA"/>
    <w:rsid w:val="3BE3F4CC"/>
    <w:rsid w:val="3C06149B"/>
    <w:rsid w:val="3C7D4A47"/>
    <w:rsid w:val="3D312978"/>
    <w:rsid w:val="3D46543C"/>
    <w:rsid w:val="3DBFE6FB"/>
    <w:rsid w:val="3DEC82D7"/>
    <w:rsid w:val="3DF7BE69"/>
    <w:rsid w:val="3DF90858"/>
    <w:rsid w:val="3E1DAB1C"/>
    <w:rsid w:val="3E21E0FF"/>
    <w:rsid w:val="3E392CAC"/>
    <w:rsid w:val="3E6A921B"/>
    <w:rsid w:val="3E9DA1FC"/>
    <w:rsid w:val="3EAA4995"/>
    <w:rsid w:val="3F5C146F"/>
    <w:rsid w:val="3F829901"/>
    <w:rsid w:val="3F90AB48"/>
    <w:rsid w:val="3FB5E123"/>
    <w:rsid w:val="4023BFAB"/>
    <w:rsid w:val="40538140"/>
    <w:rsid w:val="40587A29"/>
    <w:rsid w:val="40631BAA"/>
    <w:rsid w:val="40E73F7F"/>
    <w:rsid w:val="415838C8"/>
    <w:rsid w:val="41869ACC"/>
    <w:rsid w:val="41D741D9"/>
    <w:rsid w:val="41DC5887"/>
    <w:rsid w:val="41EEC81D"/>
    <w:rsid w:val="41F7536F"/>
    <w:rsid w:val="41F89250"/>
    <w:rsid w:val="4201E0B9"/>
    <w:rsid w:val="421F5957"/>
    <w:rsid w:val="4229B0E0"/>
    <w:rsid w:val="42654733"/>
    <w:rsid w:val="42B0E390"/>
    <w:rsid w:val="42B71E84"/>
    <w:rsid w:val="42DD5A0E"/>
    <w:rsid w:val="42E4C724"/>
    <w:rsid w:val="42F12CF7"/>
    <w:rsid w:val="42FCBAA0"/>
    <w:rsid w:val="431F86A0"/>
    <w:rsid w:val="43457255"/>
    <w:rsid w:val="43A4B69F"/>
    <w:rsid w:val="43A62F9E"/>
    <w:rsid w:val="43ACFCD7"/>
    <w:rsid w:val="44203C57"/>
    <w:rsid w:val="448D05A5"/>
    <w:rsid w:val="44B575AF"/>
    <w:rsid w:val="44D6F93F"/>
    <w:rsid w:val="44EB99F9"/>
    <w:rsid w:val="458E00B0"/>
    <w:rsid w:val="45A77CF8"/>
    <w:rsid w:val="45BC0466"/>
    <w:rsid w:val="45C21230"/>
    <w:rsid w:val="4631BD4C"/>
    <w:rsid w:val="46378910"/>
    <w:rsid w:val="465C11C4"/>
    <w:rsid w:val="4669DB13"/>
    <w:rsid w:val="46C53682"/>
    <w:rsid w:val="46C86919"/>
    <w:rsid w:val="46FA71CB"/>
    <w:rsid w:val="471932DD"/>
    <w:rsid w:val="48217840"/>
    <w:rsid w:val="48264FBE"/>
    <w:rsid w:val="4834BFF9"/>
    <w:rsid w:val="485CF8DF"/>
    <w:rsid w:val="487F8860"/>
    <w:rsid w:val="48A7012B"/>
    <w:rsid w:val="48B2C703"/>
    <w:rsid w:val="48BADEE1"/>
    <w:rsid w:val="49351E71"/>
    <w:rsid w:val="49398E43"/>
    <w:rsid w:val="49AD1DBE"/>
    <w:rsid w:val="4AA724C8"/>
    <w:rsid w:val="4AA8E972"/>
    <w:rsid w:val="4AB06E97"/>
    <w:rsid w:val="4B290587"/>
    <w:rsid w:val="4B856BD7"/>
    <w:rsid w:val="4B88057E"/>
    <w:rsid w:val="4BB32ABB"/>
    <w:rsid w:val="4BEA761C"/>
    <w:rsid w:val="4D0BB299"/>
    <w:rsid w:val="4D5EF019"/>
    <w:rsid w:val="4D6687B2"/>
    <w:rsid w:val="4D87AAA7"/>
    <w:rsid w:val="4DFF6608"/>
    <w:rsid w:val="4E4031AE"/>
    <w:rsid w:val="4E558036"/>
    <w:rsid w:val="4E7797C3"/>
    <w:rsid w:val="4E888126"/>
    <w:rsid w:val="4E8F2A97"/>
    <w:rsid w:val="4F240706"/>
    <w:rsid w:val="4F2725AA"/>
    <w:rsid w:val="4F5DD9D5"/>
    <w:rsid w:val="4F6C70E6"/>
    <w:rsid w:val="4F86C382"/>
    <w:rsid w:val="4FA5CD1A"/>
    <w:rsid w:val="5012F331"/>
    <w:rsid w:val="50242A8B"/>
    <w:rsid w:val="5059624E"/>
    <w:rsid w:val="50945471"/>
    <w:rsid w:val="50AED1D3"/>
    <w:rsid w:val="50C4B812"/>
    <w:rsid w:val="50DFA1B7"/>
    <w:rsid w:val="510CA1B5"/>
    <w:rsid w:val="51A9D0E0"/>
    <w:rsid w:val="51E9F55D"/>
    <w:rsid w:val="52068A80"/>
    <w:rsid w:val="52B73EC9"/>
    <w:rsid w:val="52FB74F8"/>
    <w:rsid w:val="530B953A"/>
    <w:rsid w:val="5325FFA7"/>
    <w:rsid w:val="537BB634"/>
    <w:rsid w:val="53C87B19"/>
    <w:rsid w:val="54F81C00"/>
    <w:rsid w:val="5515500F"/>
    <w:rsid w:val="553A2DF8"/>
    <w:rsid w:val="55903B53"/>
    <w:rsid w:val="55AE87FA"/>
    <w:rsid w:val="55D6D4BE"/>
    <w:rsid w:val="5641D111"/>
    <w:rsid w:val="56D38005"/>
    <w:rsid w:val="56F84CD9"/>
    <w:rsid w:val="570FEA7F"/>
    <w:rsid w:val="57367831"/>
    <w:rsid w:val="573D54F3"/>
    <w:rsid w:val="57426F2D"/>
    <w:rsid w:val="57CE2AE9"/>
    <w:rsid w:val="581CA4CD"/>
    <w:rsid w:val="581CAE14"/>
    <w:rsid w:val="586D05DE"/>
    <w:rsid w:val="5874D10C"/>
    <w:rsid w:val="58877968"/>
    <w:rsid w:val="58E8BED1"/>
    <w:rsid w:val="58F188D9"/>
    <w:rsid w:val="58F3B2AF"/>
    <w:rsid w:val="59214E22"/>
    <w:rsid w:val="59240D20"/>
    <w:rsid w:val="592791CC"/>
    <w:rsid w:val="5960DA7E"/>
    <w:rsid w:val="59ABE03A"/>
    <w:rsid w:val="5A1AFF10"/>
    <w:rsid w:val="5A626A10"/>
    <w:rsid w:val="5ACB8CD0"/>
    <w:rsid w:val="5AD707B4"/>
    <w:rsid w:val="5B2B1582"/>
    <w:rsid w:val="5BACABBD"/>
    <w:rsid w:val="5BD751A7"/>
    <w:rsid w:val="5BDFD8F6"/>
    <w:rsid w:val="5BE05C60"/>
    <w:rsid w:val="5C38C956"/>
    <w:rsid w:val="5C42FE94"/>
    <w:rsid w:val="5C9DC849"/>
    <w:rsid w:val="5CC4F30F"/>
    <w:rsid w:val="5D4FB1DF"/>
    <w:rsid w:val="5D857EF8"/>
    <w:rsid w:val="5D979C97"/>
    <w:rsid w:val="5DF5CDF8"/>
    <w:rsid w:val="5DF9DE9C"/>
    <w:rsid w:val="5E058CB7"/>
    <w:rsid w:val="5E0DC8B0"/>
    <w:rsid w:val="5E460DE3"/>
    <w:rsid w:val="5E78F7CB"/>
    <w:rsid w:val="5E9C3B41"/>
    <w:rsid w:val="5EECD1B4"/>
    <w:rsid w:val="5F01094C"/>
    <w:rsid w:val="5FAC5B86"/>
    <w:rsid w:val="5FBF1EEA"/>
    <w:rsid w:val="5FEF6D2A"/>
    <w:rsid w:val="600FD427"/>
    <w:rsid w:val="60A2B9B1"/>
    <w:rsid w:val="60A6A571"/>
    <w:rsid w:val="60E48982"/>
    <w:rsid w:val="6139E1C4"/>
    <w:rsid w:val="615CEC4A"/>
    <w:rsid w:val="615EDAC8"/>
    <w:rsid w:val="61612353"/>
    <w:rsid w:val="61701F73"/>
    <w:rsid w:val="617765B5"/>
    <w:rsid w:val="61AC0554"/>
    <w:rsid w:val="61C8640D"/>
    <w:rsid w:val="61D6128D"/>
    <w:rsid w:val="61DC1E8F"/>
    <w:rsid w:val="6212B73F"/>
    <w:rsid w:val="6255F104"/>
    <w:rsid w:val="62921EB5"/>
    <w:rsid w:val="62CE1365"/>
    <w:rsid w:val="62DF1468"/>
    <w:rsid w:val="62E04150"/>
    <w:rsid w:val="630F3558"/>
    <w:rsid w:val="6321664A"/>
    <w:rsid w:val="6343B13F"/>
    <w:rsid w:val="635A70CA"/>
    <w:rsid w:val="638408DB"/>
    <w:rsid w:val="64023967"/>
    <w:rsid w:val="64089593"/>
    <w:rsid w:val="6431DF1F"/>
    <w:rsid w:val="646BA6CF"/>
    <w:rsid w:val="6558D00E"/>
    <w:rsid w:val="6579D825"/>
    <w:rsid w:val="659ACBBE"/>
    <w:rsid w:val="66813496"/>
    <w:rsid w:val="6694CC32"/>
    <w:rsid w:val="66BD77A0"/>
    <w:rsid w:val="66D33DE1"/>
    <w:rsid w:val="66D4752B"/>
    <w:rsid w:val="66EF78D5"/>
    <w:rsid w:val="670C2F4F"/>
    <w:rsid w:val="6748753A"/>
    <w:rsid w:val="675ABC40"/>
    <w:rsid w:val="67BA3F3D"/>
    <w:rsid w:val="68228D24"/>
    <w:rsid w:val="6828A79E"/>
    <w:rsid w:val="68C6A5C5"/>
    <w:rsid w:val="6936F327"/>
    <w:rsid w:val="6964D7C9"/>
    <w:rsid w:val="696E114B"/>
    <w:rsid w:val="698D03F0"/>
    <w:rsid w:val="69BC5D60"/>
    <w:rsid w:val="6A3EE255"/>
    <w:rsid w:val="6A4D3F33"/>
    <w:rsid w:val="6A8468EC"/>
    <w:rsid w:val="6AD091C0"/>
    <w:rsid w:val="6B085D38"/>
    <w:rsid w:val="6B43CBF8"/>
    <w:rsid w:val="6B7F1BEB"/>
    <w:rsid w:val="6B9BB04E"/>
    <w:rsid w:val="6BEA06E3"/>
    <w:rsid w:val="6BEB4AD7"/>
    <w:rsid w:val="6C045A65"/>
    <w:rsid w:val="6C18ED27"/>
    <w:rsid w:val="6C50CD82"/>
    <w:rsid w:val="6C95E0B7"/>
    <w:rsid w:val="6C9B1069"/>
    <w:rsid w:val="6D12FB96"/>
    <w:rsid w:val="6D1D31B8"/>
    <w:rsid w:val="6D308711"/>
    <w:rsid w:val="6D330871"/>
    <w:rsid w:val="6E273B49"/>
    <w:rsid w:val="6E32B47B"/>
    <w:rsid w:val="6E3ED6CB"/>
    <w:rsid w:val="6E7F4404"/>
    <w:rsid w:val="6ECDD562"/>
    <w:rsid w:val="6EE5502B"/>
    <w:rsid w:val="6F0C220B"/>
    <w:rsid w:val="6FA8A1FF"/>
    <w:rsid w:val="7008C881"/>
    <w:rsid w:val="7008E695"/>
    <w:rsid w:val="703D62D9"/>
    <w:rsid w:val="70601C0A"/>
    <w:rsid w:val="7078E393"/>
    <w:rsid w:val="70AE42A9"/>
    <w:rsid w:val="70C00912"/>
    <w:rsid w:val="70DA9F29"/>
    <w:rsid w:val="712FA61F"/>
    <w:rsid w:val="7197A086"/>
    <w:rsid w:val="719D21DF"/>
    <w:rsid w:val="71CE14FC"/>
    <w:rsid w:val="721F4CEE"/>
    <w:rsid w:val="723BE1C9"/>
    <w:rsid w:val="72847AC3"/>
    <w:rsid w:val="729A1886"/>
    <w:rsid w:val="72E3CBE7"/>
    <w:rsid w:val="7335FD13"/>
    <w:rsid w:val="73574A76"/>
    <w:rsid w:val="737026C0"/>
    <w:rsid w:val="737270B5"/>
    <w:rsid w:val="737AF655"/>
    <w:rsid w:val="7406CC45"/>
    <w:rsid w:val="7433E3FF"/>
    <w:rsid w:val="744091E4"/>
    <w:rsid w:val="747E2154"/>
    <w:rsid w:val="74A8AC30"/>
    <w:rsid w:val="75030D88"/>
    <w:rsid w:val="75474A67"/>
    <w:rsid w:val="754AA7EF"/>
    <w:rsid w:val="757DDA88"/>
    <w:rsid w:val="7581059A"/>
    <w:rsid w:val="75A8F192"/>
    <w:rsid w:val="75E2EED7"/>
    <w:rsid w:val="7625A0A5"/>
    <w:rsid w:val="763A9A18"/>
    <w:rsid w:val="769AD706"/>
    <w:rsid w:val="76E94B5F"/>
    <w:rsid w:val="76FC7394"/>
    <w:rsid w:val="77AFD410"/>
    <w:rsid w:val="77D6DAEC"/>
    <w:rsid w:val="77F0A387"/>
    <w:rsid w:val="78074F38"/>
    <w:rsid w:val="786C17B2"/>
    <w:rsid w:val="788AFD99"/>
    <w:rsid w:val="78A9BA95"/>
    <w:rsid w:val="78BC28D0"/>
    <w:rsid w:val="78C24D52"/>
    <w:rsid w:val="78ED7FF5"/>
    <w:rsid w:val="79111637"/>
    <w:rsid w:val="79AE1045"/>
    <w:rsid w:val="79BCE256"/>
    <w:rsid w:val="79CCE0D0"/>
    <w:rsid w:val="7A0C545D"/>
    <w:rsid w:val="7A176022"/>
    <w:rsid w:val="7A20A89F"/>
    <w:rsid w:val="7A616FDA"/>
    <w:rsid w:val="7A6CA28B"/>
    <w:rsid w:val="7A79ECD2"/>
    <w:rsid w:val="7AAB8D0A"/>
    <w:rsid w:val="7AE07B4F"/>
    <w:rsid w:val="7B35192D"/>
    <w:rsid w:val="7B52153B"/>
    <w:rsid w:val="7B689754"/>
    <w:rsid w:val="7BB4850A"/>
    <w:rsid w:val="7BE56196"/>
    <w:rsid w:val="7C23B48E"/>
    <w:rsid w:val="7C2B4D2D"/>
    <w:rsid w:val="7C52C65A"/>
    <w:rsid w:val="7C8ACC2C"/>
    <w:rsid w:val="7CC947F3"/>
    <w:rsid w:val="7CF35668"/>
    <w:rsid w:val="7D29F604"/>
    <w:rsid w:val="7D372099"/>
    <w:rsid w:val="7D803AA7"/>
    <w:rsid w:val="7D8E61FC"/>
    <w:rsid w:val="7DD82A34"/>
    <w:rsid w:val="7E08C386"/>
    <w:rsid w:val="7E3A1D0E"/>
    <w:rsid w:val="7E8D124C"/>
    <w:rsid w:val="7E99EB51"/>
    <w:rsid w:val="7EDCCEFA"/>
    <w:rsid w:val="7EE76252"/>
    <w:rsid w:val="7F72647C"/>
    <w:rsid w:val="7F8A0D65"/>
    <w:rsid w:val="7FA91379"/>
    <w:rsid w:val="7FBB939C"/>
    <w:rsid w:val="7FC3D764"/>
    <w:rsid w:val="7FDD775F"/>
    <w:rsid w:val="7FDF50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D0F6"/>
  <w15:chartTrackingRefBased/>
  <w15:docId w15:val="{7E159B33-219A-47EF-93C8-508D79B6A884}"/>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s-ES" w:bidi="ar-SA" w:eastAsia="en-US"/>
      </w:rPr>
    </w:rPrDefault>
    <w:pPrDefault>
      <w:pPr>
        <w:spacing w:after="160" w:line="27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104760"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156082" w:themeColor="accent1"/>
      <w:sz w:val="26"/>
      <w:szCs w:val="26"/>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156082"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0a2f4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0a2f4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104760"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156082"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156082"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156082"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0a2f4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0a2f4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156082" w:themeColor="accent1" w:sz="8" w:space="4"/>
      </w:pBdr>
      <w:spacing w:after="300" w:line="240" w:lineRule="auto"/>
      <w:contextualSpacing w:val="on"/>
    </w:pPr>
    <w:rPr>
      <w:rFonts w:asciiTheme="majorHAnsi" w:cstheme="majorBidi" w:eastAsiaTheme="majorEastAsia" w:hAnsiTheme="majorHAnsi"/>
      <w:color w:val="0a1d30"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0a1d30"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156082"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156082"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156082" w:themeColor="accent1" w:sz="4" w:space="4"/>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Pr>
      <w:b/>
      <w:bCs/>
      <w:i/>
      <w:iCs/>
      <w:color w:val="156082" w:themeColor="accent1"/>
    </w:rPr>
  </w:style>
  <w:style w:type="character" w:styleId="SubtleReference">
    <w:name w:val="Subtle Reference"/>
    <w:basedOn w:val="DefaultParagraphFont"/>
    <w:uiPriority w:val="31"/>
    <w:qFormat w:val="on"/>
    <w:rPr>
      <w:smallCaps/>
      <w:color w:val="e97132" w:themeColor="accent2"/>
      <w:u w:val="single"/>
    </w:rPr>
  </w:style>
  <w:style w:type="character" w:styleId="IntenseReference">
    <w:name w:val="Intense Reference"/>
    <w:basedOn w:val="DefaultParagraphFont"/>
    <w:uiPriority w:val="32"/>
    <w:qFormat w:val="on"/>
    <w:rPr>
      <w:b/>
      <w:bCs/>
      <w:smallCaps/>
      <w:color w:val="e97132"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0e2841"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Heading3">
    <w:name w:val="Heading 3"/>
    <w:basedOn w:val="Normal"/>
    <w:next w:val="Normal"/>
    <w:uiPriority w:val="9"/>
    <w:unhideWhenUsed w:val="on"/>
    <w:qFormat w:val="on"/>
    <w:pPr>
      <w:keepNext w:val="on"/>
      <w:keepLines w:val="on"/>
      <w:spacing w:before="160" w:after="80"/>
    </w:pPr>
    <w:rPr>
      <w:rFonts w:cstheme="majorBidi" w:eastAsiaTheme="majorEastAsia"/>
      <w:color w:val="156081" w:themeColor="accent1" w:themeTint="ff"/>
      <w:sz w:val="28"/>
      <w:szCs w:val="28"/>
    </w:rPr>
  </w:style>
  <w:style w:type="paragraph" w:styleId="ListParagraph">
    <w:name w:val="List Paragraph"/>
    <w:basedOn w:val="Normal"/>
    <w:uiPriority w:val="34"/>
    <w:qFormat w:val="on"/>
    <w:pPr>
      <w:ind w:left="720"/>
      <w:contextualSpacing w:val="on"/>
    </w:pPr>
  </w:style>
  <w:style w:type="character" w:styleId="Hyperlink">
    <w:name w:val="Hyperlink"/>
    <w:basedOn w:val="DefaultParagraphFont"/>
    <w:uiPriority w:val="99"/>
    <w:unhideWhenUsed w:val="on"/>
    <w:rPr>
      <w:color w:val="467886"/>
      <w:u w:val="single"/>
    </w:rPr>
  </w:style>
  <w:style w:type="paragraph" w:styleId="Header">
    <w:name w:val="Header"/>
    <w:basedOn w:val="Normal"/>
    <w:uiPriority w:val="99"/>
    <w:unhideWhenUsed w:val="on"/>
    <w:pPr>
      <w:tabs>
        <w:tab w:val="center" w:leader="none" w:pos="4680"/>
        <w:tab w:val="right" w:leader="none" w:pos="9360"/>
      </w:tabs>
      <w:spacing w:after="0" w:line="240" w:lineRule="auto"/>
    </w:pPr>
  </w:style>
  <w:style w:type="paragraph" w:styleId="Footer">
    <w:name w:val="Footer"/>
    <w:basedOn w:val="Normal"/>
    <w:uiPriority w:val="99"/>
    <w:unhideWhenUsed w:val="on"/>
    <w:pPr>
      <w:tabs>
        <w:tab w:val="center" w:leader="none" w:pos="4680"/>
        <w:tab w:val="right" w:leader="none" w:pos="9360"/>
      </w:tabs>
      <w:spacing w:after="0" w:line="240" w:lineRule="auto"/>
    </w:pPr>
  </w:style>
  <w:style w:type="table" w:styleId="TableGrid">
    <w:name w:val="Table Grid"/>
    <w:basedOn w:val="NormalTable"/>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375715b65c104717" Type="http://schemas.openxmlformats.org/officeDocument/2006/relationships/numbering" Target="numbering.xml"/><Relationship Id="rId1" Type="http://schemas.openxmlformats.org/officeDocument/2006/relationships/styles" Target="styles.xml"/><Relationship Id="rId2" Type="http://schemas.openxmlformats.org/officeDocument/2006/relationships/settings" Target="settings.xml"/><Relationship Id="rId2074123229" Type="http://schemas.openxmlformats.org/officeDocument/2006/relationships/image" Target="media/image1.png"/><Relationship Id="rId2074123230" Type="http://schemas.openxmlformats.org/officeDocument/2006/relationships/image" Target="media/image2.png"/><Relationship Id="rId2074123231" Type="http://schemas.openxmlformats.org/officeDocument/2006/relationships/image" Target="media/image3.png"/><Relationship Id="rId2074123232" Type="http://schemas.openxmlformats.org/officeDocument/2006/relationships/image" Target="media/image4.png"/><Relationship Id="rId2074123233" Type="http://schemas.openxmlformats.org/officeDocument/2006/relationships/image" Target="media/image5.png"/><Relationship Id="rId2074123234" Type="http://schemas.openxmlformats.org/officeDocument/2006/relationships/image" Target="media/image6.png"/><Relationship Id="rId2074123235" Type="http://schemas.openxmlformats.org/officeDocument/2006/relationships/image" Target="media/image7.png"/><Relationship Id="rId2074123236" Type="http://schemas.openxmlformats.org/officeDocument/2006/relationships/image" Target="media/image8.png"/><Relationship Id="rId2074123237" Type="http://schemas.openxmlformats.org/officeDocument/2006/relationships/header" Target="header1.xml"/><Relationship Id="rId2074123238"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theme" Target="theme/theme1.xml"/><Relationship Id="rId3" Type="http://schemas.openxmlformats.org/officeDocument/2006/relationships/webSettings" Target="webSettings.xml"/><Relationship Id="rId59162991" Type="http://schemas.openxmlformats.org/officeDocument/2006/relationships/image" Target="/media/image8.png"/><Relationship Id="rId525906377" Type="http://schemas.openxmlformats.org/officeDocument/2006/relationships/image" Target="/media/image.png"/><Relationship Id="rId876235681" Type="http://schemas.openxmlformats.org/officeDocument/2006/relationships/image" Target="/media/image3.png"/><Relationship Id="rId1085019742" Type="http://schemas.openxmlformats.org/officeDocument/2006/relationships/image" Target="/media/image4.png"/><Relationship Id="rId1678105551" Type="http://schemas.openxmlformats.org/officeDocument/2006/relationships/image" Target="/media/image2.png"/><Relationship Id="rId1744191988" Type="http://schemas.openxmlformats.org/officeDocument/2006/relationships/image" Target="/media/image5.png"/><Relationship Id="rId1762296935" Type="http://schemas.openxmlformats.org/officeDocument/2006/relationships/image" Target="/media/image7.png"/><Relationship Id="rId2074123228" Type="http://schemas.openxmlformats.org/officeDocument/2006/relationships/image" Target="/media/image6.png"/><Relationship Id="R0423baf9a0b743e0" Type="http://schemas.openxmlformats.org/officeDocument/2006/relationships/hyperlink" Target="https://www.google.com/search?q=https://www.ibm.com/docs/en/spss-modeler/18.3.0%3Ftopic%3Ddm-crisp-help-overview" TargetMode="External"/><Relationship Id="R1811b78942dd488f" Type="http://schemas.openxmlformats.org/officeDocument/2006/relationships/hyperlink" Target="https://www.google.com/search?q=https://doi.org/10.1031/0000165-000" TargetMode="External"/><Relationship Id="Rfb6b8db295ef4a8f" Type="http://schemas.openxmlformats.org/officeDocument/2006/relationships/hyperlink" Target="https://www.google.com/search?q=https://doi.org/10.25080/Majora-92bf1841-00a" TargetMode="Externa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Times New Roman"/>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 Benjamin Garnett</dc:creator>
  <cp:lastModifiedBy>Mario Miguel Benjamin-Garnett</cp:lastModifiedBy>
</cp:coreProperties>
</file>