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ONEPILOT — Addendum SFS RH</w:t>
      </w:r>
    </w:p>
    <w:p>
      <w:r>
        <w:rPr>
          <w:b/>
        </w:rPr>
        <w:t>Spécification fonctionnelle exécutable pour les pages RH.</w:t>
      </w:r>
    </w:p>
    <w:p>
      <w:r>
        <w:t>Version v1.1 RH UI — 9 juillet 2026 — Addendum opérationnel à appliquer aux modules RH.</w:t>
      </w:r>
    </w:p>
    <w:p>
      <w:pPr>
        <w:pStyle w:val="Heading1"/>
      </w:pPr>
      <w:r>
        <w:t>Formalisme UI RH validé</w:t>
      </w:r>
    </w:p>
    <w:p>
      <w:pPr>
        <w:pStyle w:val="ListBullet"/>
      </w:pPr>
      <w:r>
        <w:t>Toutes les pages RH doivent conserver la même structure : PageHeader, guide de page, KPI widgets, bloc Périmètre d’analyse, onglets couleur indigo/violet/emerald/amber/rose, toggle Cartes/Tableau, cartes compactes et tableaux sticky.</w:t>
      </w:r>
    </w:p>
    <w:p>
      <w:pPr>
        <w:pStyle w:val="ListBullet"/>
      </w:pPr>
      <w:r>
        <w:t>Le bloc Périmètre d’analyse affiche la recherche en première ligne, puis 4 filtres par ligne. Le compteur doit afficher X résultat(s) / X, jamais un simple libellé isolé.</w:t>
      </w:r>
    </w:p>
    <w:p>
      <w:pPr>
        <w:pStyle w:val="ListBullet"/>
      </w:pPr>
      <w:r>
        <w:t>Les boutons suivent les couleurs validées : action principale indigo/violet, export vert, PDF rouge/blanc, formulaire indigo.</w:t>
      </w:r>
    </w:p>
    <w:p>
      <w:pPr>
        <w:pStyle w:val="ListBullet"/>
      </w:pPr>
      <w:r>
        <w:t>Tous les menus d’action utilisent les trois points horizontaux en haut à droite des cartes et en dernière colonne du tableau.</w:t>
      </w:r>
    </w:p>
    <w:p>
      <w:pPr>
        <w:pStyle w:val="Heading1"/>
      </w:pPr>
      <w:r>
        <w:t>Règles tableaux</w:t>
      </w:r>
    </w:p>
    <w:p>
      <w:pPr>
        <w:pStyle w:val="ListBullet"/>
      </w:pPr>
      <w:r>
        <w:t>Tout tableau modifié ou créé doit avoir scroll vertical dès plus de 5 lignes, scroll horizontal si nécessaire, en-tête sticky et première colonne sticky.</w:t>
      </w:r>
    </w:p>
    <w:p>
      <w:pPr>
        <w:pStyle w:val="ListBullet"/>
      </w:pPr>
      <w:r>
        <w:t>La première colonne doit rester lisible au scroll horizontal, avec fond blanc/dark cohérent pour éviter la superposition visuelle.</w:t>
      </w:r>
    </w:p>
    <w:p>
      <w:pPr>
        <w:pStyle w:val="ListBullet"/>
      </w:pPr>
      <w:r>
        <w:t>Les colonnes d’action restent en fin de tableau, cohérentes avec les cartes.</w:t>
      </w:r>
    </w:p>
    <w:p>
      <w:pPr>
        <w:pStyle w:val="Heading1"/>
      </w:pPr>
      <w:r>
        <w:t>Règles données et sécurité</w:t>
      </w:r>
    </w:p>
    <w:p>
      <w:pPr>
        <w:pStyle w:val="ListBullet"/>
      </w:pPr>
      <w:r>
        <w:t>Aucune mock data. Toutes les pages sont alimentées par Supabase, filtrées par organization_id et compatibles multi-tenant.</w:t>
      </w:r>
    </w:p>
    <w:p>
      <w:pPr>
        <w:pStyle w:val="ListBullet"/>
      </w:pPr>
      <w:r>
        <w:t>Toutes les écritures doivent inclure organisation, auteur si disponible, horodatage, audit et archivage logique.</w:t>
      </w:r>
    </w:p>
    <w:p>
      <w:pPr>
        <w:pStyle w:val="ListBullet"/>
      </w:pPr>
      <w:r>
        <w:t>Les futures permissions doivent séparer lecture seule, modification, archivage, manager, RH, direction et administrateur.</w:t>
      </w:r>
    </w:p>
    <w:p>
      <w:pPr>
        <w:pStyle w:val="Heading1"/>
      </w:pPr>
      <w:r>
        <w:t>Modules RH cibles</w:t>
      </w:r>
    </w:p>
    <w:p>
      <w:pPr>
        <w:pStyle w:val="ListBullet"/>
      </w:pPr>
      <w:r>
        <w:t>Temps et activités : saisie temps, activités projet, validations manager, écarts capacité/réel, exports RH/finance.</w:t>
      </w:r>
    </w:p>
    <w:p>
      <w:pPr>
        <w:pStyle w:val="ListBullet"/>
      </w:pPr>
      <w:r>
        <w:t>Compétences : catalogue, niveaux actuels/cibles, criticité, expertise disponible, plans de montée en compétence, lien staffing/entretiens.</w:t>
      </w:r>
    </w:p>
    <w:p>
      <w:pPr>
        <w:pStyle w:val="ListBullet"/>
      </w:pPr>
      <w:r>
        <w:t>Onboarding : parcours d’arrivée, checklists RH/manager/recrutement/IT, risques, progression, relances et archivage.</w:t>
      </w:r>
    </w:p>
    <w:p>
      <w:pPr>
        <w:pStyle w:val="ListBullet"/>
      </w:pPr>
      <w:r>
        <w:t>Entretiens &amp; objectifs : cycles, objectifs, étapes collaborateur/manager, calibration, historique et recommandations.</w:t>
      </w:r>
    </w:p>
    <w:p>
      <w:pPr>
        <w:pStyle w:val="Heading1"/>
      </w:pPr>
      <w:r>
        <w:t>Critères d’acceptation techniques</w:t>
      </w:r>
    </w:p>
    <w:p>
      <w:pPr>
        <w:pStyle w:val="ListBullet"/>
      </w:pPr>
      <w:r>
        <w:t>npm run build doit passer avant tout commit/push.</w:t>
      </w:r>
    </w:p>
    <w:p>
      <w:pPr>
        <w:pStyle w:val="ListBullet"/>
      </w:pPr>
      <w:r>
        <w:t>supabase db push doit être exécuté avant le build si une migration SQL est livrée.</w:t>
      </w:r>
    </w:p>
    <w:p>
      <w:pPr>
        <w:pStyle w:val="ListBullet"/>
      </w:pPr>
      <w:r>
        <w:t>Les formulaires Ressources doivent sauvegarder et relire les champs libres site/service/métier/fonction et le weekly_pattern détaillé.</w:t>
      </w:r>
    </w:p>
    <w:p>
      <w:pPr>
        <w:pStyle w:val="ListBullet"/>
      </w:pPr>
      <w:r>
        <w:t>Les exports doivent respecter le périmètre filtré et couvrir les informations visibles utiles de la page.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