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24"/>
        </w:rPr>
        <w:t>ONEPILOT</w:t>
      </w:r>
    </w:p>
    <w:p>
      <w:pPr>
        <w:pStyle w:val="Title"/>
        <w:jc w:val="center"/>
      </w:pPr>
      <w:r>
        <w:t>PRD ONEPILOT — Référence produit SaaS v2.0</w:t>
      </w:r>
    </w:p>
    <w:p>
      <w:pPr>
        <w:jc w:val="center"/>
      </w:pPr>
      <w:r>
        <w:rPr>
          <w:color w:val="334155"/>
          <w:sz w:val="20"/>
        </w:rPr>
        <w:t>Vision produit, cible commerciale, modules, packaging, IA et référence UX validée sur RH &gt; Ressources</w:t>
      </w:r>
    </w:p>
    <w:p>
      <w:pPr>
        <w:jc w:val="center"/>
      </w:pPr>
      <w:r>
        <w:rPr>
          <w:b/>
          <w:color w:val="059669"/>
          <w:sz w:val="18"/>
        </w:rPr>
        <w:t>Version v2.0 — 10 juillet 2026</w:t>
      </w:r>
    </w:p>
    <w:p/>
    <w:tbl>
      <w:tblPr>
        <w:tblW w:type="auto" w:w="0"/>
        <w:jc w:val="center"/>
        <w:tblLook w:firstColumn="1" w:firstRow="1" w:lastColumn="0" w:lastRow="0" w:noHBand="0" w:noVBand="1" w:val="04A0"/>
        <w:tblBorders>
          <w:top w:val="single" w:sz="6" w:space="0" w:color="BAE6FD"/>
          <w:left w:val="single" w:sz="6" w:space="0" w:color="BAE6FD"/>
          <w:bottom w:val="single" w:sz="6" w:space="0" w:color="BAE6FD"/>
          <w:right w:val="single" w:sz="6" w:space="0" w:color="BAE6FD"/>
          <w:insideH w:val="single" w:sz="6" w:space="0" w:color="BAE6FD"/>
          <w:insideV w:val="single" w:sz="6" w:space="0" w:color="BAE6FD"/>
        </w:tblBorders>
      </w:tblPr>
      <w:tblGrid>
        <w:gridCol w:w="10312"/>
      </w:tblGrid>
      <w:tr>
        <w:tc>
          <w:tcPr>
            <w:tcW w:type="dxa" w:w="10312"/>
            <w:shd w:fill="EEF2FF"/>
          </w:tcPr>
          <w:p>
            <w:r>
              <w:rPr>
                <w:b/>
                <w:color w:val="4F46E5"/>
                <w:sz w:val="20"/>
              </w:rPr>
              <w:t>Décision structurante</w:t>
            </w:r>
          </w:p>
          <w:p>
            <w:r>
              <w:rPr>
                <w:color w:val="334155"/>
                <w:sz w:val="18"/>
              </w:rPr>
              <w:t>La page RH &gt; Ressources validée en juillet 2026 devient la référence absolue de formalisme pour toutes les pages métier ONEPILOT. Les pages existantes sont alignées sans casser leur métier. Les pages futures sont créées directement avec cette trame.</w:t>
            </w:r>
          </w:p>
        </w:tc>
      </w:tr>
    </w:tbl>
    <w:p/>
    <w:p>
      <w:pPr>
        <w:pStyle w:val="Heading1"/>
      </w:pPr>
      <w:r>
        <w:t>1. Vision produit</w:t>
      </w:r>
    </w:p>
    <w:p>
      <w:pPr>
        <w:ind w:left="227" w:hanging="113"/>
      </w:pPr>
      <w:r>
        <w:rPr>
          <w:b/>
          <w:color w:val="4F46E5"/>
        </w:rPr>
        <w:t xml:space="preserve">• </w:t>
      </w:r>
      <w:r>
        <w:rPr>
          <w:sz w:val="18"/>
        </w:rPr>
        <w:t>ONEPILOT est une plateforme SaaS B2B multi-entreprise, multi-tenant et multi-rôle qui unifie CRM, RH/SIRH, projets/PMO, qualité &amp; risques, finance, documents, pilotage exécutif, administration et automatisation IA.</w:t>
      </w:r>
    </w:p>
    <w:p>
      <w:pPr>
        <w:ind w:left="227" w:hanging="113"/>
      </w:pPr>
      <w:r>
        <w:rPr>
          <w:b/>
          <w:color w:val="4F46E5"/>
        </w:rPr>
        <w:t xml:space="preserve">• </w:t>
      </w:r>
      <w:r>
        <w:rPr>
          <w:sz w:val="18"/>
        </w:rPr>
        <w:t>La plateforme doit rester exploitable par un indépendant tout en montant en puissance pour les TPE, PME, ETI, ESN et grands comptes.</w:t>
      </w:r>
    </w:p>
    <w:p>
      <w:pPr>
        <w:ind w:left="227" w:hanging="113"/>
      </w:pPr>
      <w:r>
        <w:rPr>
          <w:b/>
          <w:color w:val="4F46E5"/>
        </w:rPr>
        <w:t xml:space="preserve">• </w:t>
      </w:r>
      <w:r>
        <w:rPr>
          <w:sz w:val="18"/>
        </w:rPr>
        <w:t>Le produit privilégie une expérience cohérente, professionnelle, exportable, auditable et faible maintenance.</w:t>
      </w:r>
    </w:p>
    <w:p>
      <w:pPr>
        <w:ind w:left="227" w:hanging="113"/>
      </w:pPr>
      <w:r>
        <w:rPr>
          <w:b/>
          <w:color w:val="4F46E5"/>
        </w:rPr>
        <w:t xml:space="preserve">• </w:t>
      </w:r>
      <w:r>
        <w:rPr>
          <w:sz w:val="18"/>
        </w:rPr>
        <w:t>Aucune page métier ne doit reposer sur des données mockées : les données sont réelles, issues de Supabase/PostgreSQL et isolées par organisation.</w:t>
      </w:r>
    </w:p>
    <w:p>
      <w:pPr>
        <w:pStyle w:val="Heading1"/>
      </w:pPr>
      <w:r>
        <w:t>2. Cibles commerciales et valeur</w:t>
      </w:r>
    </w:p>
    <w:tbl>
      <w:tblPr>
        <w:tblStyle w:val="TableGrid"/>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437"/>
        <w:gridCol w:w="3437"/>
        <w:gridCol w:w="3437"/>
      </w:tblGrid>
      <w:tr>
        <w:tc>
          <w:tcPr>
            <w:tcW w:type="dxa" w:w="3437"/>
            <w:shd w:fill="E0F2FE"/>
            <w:vAlign w:val="center"/>
          </w:tcPr>
          <w:p>
            <w:r/>
            <w:r>
              <w:rPr>
                <w:b/>
                <w:color w:val="0F172A"/>
                <w:sz w:val="16"/>
              </w:rPr>
              <w:t>Cible</w:t>
            </w:r>
          </w:p>
        </w:tc>
        <w:tc>
          <w:tcPr>
            <w:tcW w:type="dxa" w:w="3437"/>
            <w:shd w:fill="E0F2FE"/>
            <w:vAlign w:val="center"/>
          </w:tcPr>
          <w:p>
            <w:r/>
            <w:r>
              <w:rPr>
                <w:b/>
                <w:color w:val="0F172A"/>
                <w:sz w:val="16"/>
              </w:rPr>
              <w:t>Besoins prioritaires</w:t>
            </w:r>
          </w:p>
        </w:tc>
        <w:tc>
          <w:tcPr>
            <w:tcW w:type="dxa" w:w="3437"/>
            <w:shd w:fill="E0F2FE"/>
            <w:vAlign w:val="center"/>
          </w:tcPr>
          <w:p>
            <w:r/>
            <w:r>
              <w:rPr>
                <w:b/>
                <w:color w:val="0F172A"/>
                <w:sz w:val="16"/>
              </w:rPr>
              <w:t>Valeur ONEPILOT</w:t>
            </w:r>
          </w:p>
        </w:tc>
      </w:tr>
      <w:tr>
        <w:tc>
          <w:tcPr>
            <w:tcW w:type="dxa" w:w="3437"/>
            <w:vAlign w:val="center"/>
          </w:tcPr>
          <w:p>
            <w:r/>
            <w:r>
              <w:rPr>
                <w:b w:val="0"/>
                <w:sz w:val="16"/>
              </w:rPr>
              <w:t>Indépendant / freelance</w:t>
            </w:r>
          </w:p>
        </w:tc>
        <w:tc>
          <w:tcPr>
            <w:tcW w:type="dxa" w:w="3437"/>
            <w:vAlign w:val="center"/>
          </w:tcPr>
          <w:p>
            <w:r/>
            <w:r>
              <w:rPr>
                <w:b w:val="0"/>
                <w:sz w:val="16"/>
              </w:rPr>
              <w:t>Missions, clients, projets, documents, finance simple, pilotage personnel</w:t>
            </w:r>
          </w:p>
        </w:tc>
        <w:tc>
          <w:tcPr>
            <w:tcW w:type="dxa" w:w="3437"/>
            <w:vAlign w:val="center"/>
          </w:tcPr>
          <w:p>
            <w:r/>
            <w:r>
              <w:rPr>
                <w:b w:val="0"/>
                <w:sz w:val="16"/>
              </w:rPr>
              <w:t>Une plateforme unifiée sans complexité RH obligatoire.</w:t>
            </w:r>
          </w:p>
        </w:tc>
      </w:tr>
      <w:tr>
        <w:tc>
          <w:tcPr>
            <w:tcW w:type="dxa" w:w="3437"/>
            <w:vAlign w:val="center"/>
          </w:tcPr>
          <w:p>
            <w:r/>
            <w:r>
              <w:rPr>
                <w:b w:val="0"/>
                <w:sz w:val="16"/>
              </w:rPr>
              <w:t>Étudiant / junior</w:t>
            </w:r>
          </w:p>
        </w:tc>
        <w:tc>
          <w:tcPr>
            <w:tcW w:type="dxa" w:w="3437"/>
            <w:vAlign w:val="center"/>
          </w:tcPr>
          <w:p>
            <w:r/>
            <w:r>
              <w:rPr>
                <w:b w:val="0"/>
                <w:sz w:val="16"/>
              </w:rPr>
              <w:t>Organisation, projets, tâches, documents, préparation professionnelle</w:t>
            </w:r>
          </w:p>
        </w:tc>
        <w:tc>
          <w:tcPr>
            <w:tcW w:type="dxa" w:w="3437"/>
            <w:vAlign w:val="center"/>
          </w:tcPr>
          <w:p>
            <w:r/>
            <w:r>
              <w:rPr>
                <w:b w:val="0"/>
                <w:sz w:val="16"/>
              </w:rPr>
              <w:t>Entrée de gamme accessible et structurante.</w:t>
            </w:r>
          </w:p>
        </w:tc>
      </w:tr>
      <w:tr>
        <w:tc>
          <w:tcPr>
            <w:tcW w:type="dxa" w:w="3437"/>
            <w:vAlign w:val="center"/>
          </w:tcPr>
          <w:p>
            <w:r/>
            <w:r>
              <w:rPr>
                <w:b w:val="0"/>
                <w:sz w:val="16"/>
              </w:rPr>
              <w:t>TPE</w:t>
            </w:r>
          </w:p>
        </w:tc>
        <w:tc>
          <w:tcPr>
            <w:tcW w:type="dxa" w:w="3437"/>
            <w:vAlign w:val="center"/>
          </w:tcPr>
          <w:p>
            <w:r/>
            <w:r>
              <w:rPr>
                <w:b w:val="0"/>
                <w:sz w:val="16"/>
              </w:rPr>
              <w:t>CRM, facturation, documents, pilotage simple, ressources limitées</w:t>
            </w:r>
          </w:p>
        </w:tc>
        <w:tc>
          <w:tcPr>
            <w:tcW w:type="dxa" w:w="3437"/>
            <w:vAlign w:val="center"/>
          </w:tcPr>
          <w:p>
            <w:r/>
            <w:r>
              <w:rPr>
                <w:b w:val="0"/>
                <w:sz w:val="16"/>
              </w:rPr>
              <w:t>ERP léger et évolutif.</w:t>
            </w:r>
          </w:p>
        </w:tc>
      </w:tr>
      <w:tr>
        <w:tc>
          <w:tcPr>
            <w:tcW w:type="dxa" w:w="3437"/>
            <w:vAlign w:val="center"/>
          </w:tcPr>
          <w:p>
            <w:r/>
            <w:r>
              <w:rPr>
                <w:b w:val="0"/>
                <w:sz w:val="16"/>
              </w:rPr>
              <w:t>PME</w:t>
            </w:r>
          </w:p>
        </w:tc>
        <w:tc>
          <w:tcPr>
            <w:tcW w:type="dxa" w:w="3437"/>
            <w:vAlign w:val="center"/>
          </w:tcPr>
          <w:p>
            <w:r/>
            <w:r>
              <w:rPr>
                <w:b w:val="0"/>
                <w:sz w:val="16"/>
              </w:rPr>
              <w:t>RH, projets, finance, qualité, commerce, reporting</w:t>
            </w:r>
          </w:p>
        </w:tc>
        <w:tc>
          <w:tcPr>
            <w:tcW w:type="dxa" w:w="3437"/>
            <w:vAlign w:val="center"/>
          </w:tcPr>
          <w:p>
            <w:r/>
            <w:r>
              <w:rPr>
                <w:b w:val="0"/>
                <w:sz w:val="16"/>
              </w:rPr>
              <w:t>Socle transverse cohérent.</w:t>
            </w:r>
          </w:p>
        </w:tc>
      </w:tr>
      <w:tr>
        <w:tc>
          <w:tcPr>
            <w:tcW w:type="dxa" w:w="3437"/>
            <w:vAlign w:val="center"/>
          </w:tcPr>
          <w:p>
            <w:r/>
            <w:r>
              <w:rPr>
                <w:b w:val="0"/>
                <w:sz w:val="16"/>
              </w:rPr>
              <w:t>ETI / ESN</w:t>
            </w:r>
          </w:p>
        </w:tc>
        <w:tc>
          <w:tcPr>
            <w:tcW w:type="dxa" w:w="3437"/>
            <w:vAlign w:val="center"/>
          </w:tcPr>
          <w:p>
            <w:r/>
            <w:r>
              <w:rPr>
                <w:b w:val="0"/>
                <w:sz w:val="16"/>
              </w:rPr>
              <w:t>Staffing, compétences, rentabilité, capacité, risques, qualité</w:t>
            </w:r>
          </w:p>
        </w:tc>
        <w:tc>
          <w:tcPr>
            <w:tcW w:type="dxa" w:w="3437"/>
            <w:vAlign w:val="center"/>
          </w:tcPr>
          <w:p>
            <w:r/>
            <w:r>
              <w:rPr>
                <w:b w:val="0"/>
                <w:sz w:val="16"/>
              </w:rPr>
              <w:t>Pilotage avancé des ressources et marges.</w:t>
            </w:r>
          </w:p>
        </w:tc>
      </w:tr>
      <w:tr>
        <w:tc>
          <w:tcPr>
            <w:tcW w:type="dxa" w:w="3437"/>
            <w:vAlign w:val="center"/>
          </w:tcPr>
          <w:p>
            <w:r/>
            <w:r>
              <w:rPr>
                <w:b w:val="0"/>
                <w:sz w:val="16"/>
              </w:rPr>
              <w:t>Grand compte</w:t>
            </w:r>
          </w:p>
        </w:tc>
        <w:tc>
          <w:tcPr>
            <w:tcW w:type="dxa" w:w="3437"/>
            <w:vAlign w:val="center"/>
          </w:tcPr>
          <w:p>
            <w:r/>
            <w:r>
              <w:rPr>
                <w:b w:val="0"/>
                <w:sz w:val="16"/>
              </w:rPr>
              <w:t>Multi-rôle, audit, sécurité, conformité, exports, permissions</w:t>
            </w:r>
          </w:p>
        </w:tc>
        <w:tc>
          <w:tcPr>
            <w:tcW w:type="dxa" w:w="3437"/>
            <w:vAlign w:val="center"/>
          </w:tcPr>
          <w:p>
            <w:r/>
            <w:r>
              <w:rPr>
                <w:b w:val="0"/>
                <w:sz w:val="16"/>
              </w:rPr>
              <w:t>Plateforme gouvernée et conforme.</w:t>
            </w:r>
          </w:p>
        </w:tc>
      </w:tr>
    </w:tbl>
    <w:p/>
    <w:p>
      <w:pPr>
        <w:pStyle w:val="Heading1"/>
      </w:pPr>
      <w:r>
        <w:t>3. Positionnement SaaS et packaging</w:t>
      </w:r>
    </w:p>
    <w:p>
      <w:pPr>
        <w:ind w:left="227" w:hanging="113"/>
      </w:pPr>
      <w:r>
        <w:rPr>
          <w:b/>
          <w:color w:val="4F46E5"/>
        </w:rPr>
        <w:t xml:space="preserve">• </w:t>
      </w:r>
      <w:r>
        <w:rPr>
          <w:sz w:val="18"/>
        </w:rPr>
        <w:t>Modules activables par organisation : RH, Commerce, Projets, Qualité, Finance, Documents, Pilotage, IA, Administration.</w:t>
      </w:r>
    </w:p>
    <w:p>
      <w:pPr>
        <w:ind w:left="227" w:hanging="113"/>
      </w:pPr>
      <w:r>
        <w:rPr>
          <w:b/>
          <w:color w:val="4F46E5"/>
        </w:rPr>
        <w:t xml:space="preserve">• </w:t>
      </w:r>
      <w:r>
        <w:rPr>
          <w:sz w:val="18"/>
        </w:rPr>
        <w:t>Offres progressives : Free/Student, Solo, Team, Business, Enterprise, ESN/PMO, Enterprise Plus.</w:t>
      </w:r>
    </w:p>
    <w:p>
      <w:pPr>
        <w:ind w:left="227" w:hanging="113"/>
      </w:pPr>
      <w:r>
        <w:rPr>
          <w:b/>
          <w:color w:val="4F46E5"/>
        </w:rPr>
        <w:t xml:space="preserve">• </w:t>
      </w:r>
      <w:r>
        <w:rPr>
          <w:sz w:val="18"/>
        </w:rPr>
        <w:t>Aucun module ne doit bloquer une expérience simple : un indépendant peut utiliser Projets/Finance/Documents sans RH complète.</w:t>
      </w:r>
    </w:p>
    <w:p>
      <w:pPr>
        <w:ind w:left="227" w:hanging="113"/>
      </w:pPr>
      <w:r>
        <w:rPr>
          <w:b/>
          <w:color w:val="4F46E5"/>
        </w:rPr>
        <w:t xml:space="preserve">• </w:t>
      </w:r>
      <w:r>
        <w:rPr>
          <w:sz w:val="18"/>
        </w:rPr>
        <w:t>Les entitlements contrôlent l’accès aux modules, aux fonctionnalités et aux exports sensibles.</w:t>
      </w:r>
    </w:p>
    <w:p>
      <w:pPr>
        <w:ind w:left="227" w:hanging="113"/>
      </w:pPr>
      <w:r>
        <w:rPr>
          <w:b/>
          <w:color w:val="4F46E5"/>
        </w:rPr>
        <w:t xml:space="preserve">• </w:t>
      </w:r>
      <w:r>
        <w:rPr>
          <w:sz w:val="18"/>
        </w:rPr>
        <w:t>Le site marketing doit valoriser les cas d’usage par persona et permettre trial, onboarding, conversion et upsell.</w:t>
      </w:r>
    </w:p>
    <w:p>
      <w:pPr>
        <w:pStyle w:val="Heading1"/>
      </w:pPr>
      <w:r>
        <w:t>4. Référence UX validée : page RH &gt; Ressources</w:t>
      </w:r>
    </w:p>
    <w:p>
      <w:pPr>
        <w:ind w:left="227" w:hanging="113"/>
      </w:pPr>
      <w:r>
        <w:rPr>
          <w:b/>
          <w:color w:val="4F46E5"/>
        </w:rPr>
        <w:t xml:space="preserve">• </w:t>
      </w:r>
      <w:r>
        <w:rPr>
          <w:sz w:val="18"/>
        </w:rPr>
        <w:t>La page RH &gt; Ressources est la référence absolue pour la structure, les couleurs, les blocs, les graphiques, les cartes, les tableaux, les exports et les formulaires.</w:t>
      </w:r>
    </w:p>
    <w:p>
      <w:pPr>
        <w:ind w:left="227" w:hanging="113"/>
      </w:pPr>
      <w:r>
        <w:rPr>
          <w:b/>
          <w:color w:val="4F46E5"/>
        </w:rPr>
        <w:t xml:space="preserve">• </w:t>
      </w:r>
      <w:r>
        <w:rPr>
          <w:sz w:val="18"/>
        </w:rPr>
        <w:t>Ordre officiel des couleurs : indigo, emerald, amber, rose, sky, puis déclinaisons légères non criardes.</w:t>
      </w:r>
    </w:p>
    <w:p>
      <w:pPr>
        <w:ind w:left="227" w:hanging="113"/>
      </w:pPr>
      <w:r>
        <w:rPr>
          <w:b/>
          <w:color w:val="4F46E5"/>
        </w:rPr>
        <w:t xml:space="preserve">• </w:t>
      </w:r>
      <w:r>
        <w:rPr>
          <w:sz w:val="18"/>
        </w:rPr>
        <w:t>Les pages métier affichent par défaut PageHeader, Guide de la page, KPI widgets, Périmètre d’analyse, onglets, contenu métier, analyse décisionnelle, alertes et exports.</w:t>
      </w:r>
    </w:p>
    <w:p>
      <w:pPr>
        <w:ind w:left="227" w:hanging="113"/>
      </w:pPr>
      <w:r>
        <w:rPr>
          <w:b/>
          <w:color w:val="4F46E5"/>
        </w:rPr>
        <w:t xml:space="preserve">• </w:t>
      </w:r>
      <w:r>
        <w:rPr>
          <w:sz w:val="18"/>
        </w:rPr>
        <w:t>Les graphiques sont disposés par 2 par ligne sur desktop, avec deux icônes uniquement : Copier et Agrandir.</w:t>
      </w:r>
    </w:p>
    <w:p>
      <w:pPr>
        <w:ind w:left="227" w:hanging="113"/>
      </w:pPr>
      <w:r>
        <w:rPr>
          <w:b/>
          <w:color w:val="4F46E5"/>
        </w:rPr>
        <w:t xml:space="preserve">• </w:t>
      </w:r>
      <w:r>
        <w:rPr>
          <w:sz w:val="18"/>
        </w:rPr>
        <w:t>La copie graphique utilise un rendu Canvas PNG exploitable dans PowerPoint ou télécharge un PNG si le navigateur bloque le presse-papiers.</w:t>
      </w:r>
    </w:p>
    <w:p>
      <w:pPr>
        <w:ind w:left="227" w:hanging="113"/>
      </w:pPr>
      <w:r>
        <w:rPr>
          <w:b/>
          <w:color w:val="4F46E5"/>
        </w:rPr>
        <w:t xml:space="preserve">• </w:t>
      </w:r>
      <w:r>
        <w:rPr>
          <w:sz w:val="18"/>
        </w:rPr>
        <w:t>Le thème sombre global doit être atténué : éviter les noirs purs et privilégier des slate 600/700/800 lisibles.</w:t>
      </w:r>
    </w:p>
    <w:p>
      <w:pPr>
        <w:pStyle w:val="Heading1"/>
      </w:pPr>
      <w:r>
        <w:t>5. Modules produit</w:t>
      </w:r>
    </w:p>
    <w:tbl>
      <w:tblPr>
        <w:tblStyle w:val="TableGrid"/>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437"/>
        <w:gridCol w:w="3437"/>
        <w:gridCol w:w="3437"/>
      </w:tblGrid>
      <w:tr>
        <w:tc>
          <w:tcPr>
            <w:tcW w:type="dxa" w:w="3437"/>
            <w:shd w:fill="E0F2FE"/>
            <w:vAlign w:val="center"/>
          </w:tcPr>
          <w:p>
            <w:r/>
            <w:r>
              <w:rPr>
                <w:b/>
                <w:color w:val="0F172A"/>
                <w:sz w:val="16"/>
              </w:rPr>
              <w:t>Module</w:t>
            </w:r>
          </w:p>
        </w:tc>
        <w:tc>
          <w:tcPr>
            <w:tcW w:type="dxa" w:w="3437"/>
            <w:shd w:fill="E0F2FE"/>
            <w:vAlign w:val="center"/>
          </w:tcPr>
          <w:p>
            <w:r/>
            <w:r>
              <w:rPr>
                <w:b/>
                <w:color w:val="0F172A"/>
                <w:sz w:val="16"/>
              </w:rPr>
              <w:t>Périmètre produit</w:t>
            </w:r>
          </w:p>
        </w:tc>
        <w:tc>
          <w:tcPr>
            <w:tcW w:type="dxa" w:w="3437"/>
            <w:shd w:fill="E0F2FE"/>
            <w:vAlign w:val="center"/>
          </w:tcPr>
          <w:p>
            <w:r/>
            <w:r>
              <w:rPr>
                <w:b/>
                <w:color w:val="0F172A"/>
                <w:sz w:val="16"/>
              </w:rPr>
              <w:t>Décisions clés</w:t>
            </w:r>
          </w:p>
        </w:tc>
      </w:tr>
      <w:tr>
        <w:tc>
          <w:tcPr>
            <w:tcW w:type="dxa" w:w="3437"/>
            <w:vAlign w:val="center"/>
          </w:tcPr>
          <w:p>
            <w:r/>
            <w:r>
              <w:rPr>
                <w:b w:val="0"/>
                <w:sz w:val="16"/>
              </w:rPr>
              <w:t>Admin</w:t>
            </w:r>
          </w:p>
        </w:tc>
        <w:tc>
          <w:tcPr>
            <w:tcW w:type="dxa" w:w="3437"/>
            <w:vAlign w:val="center"/>
          </w:tcPr>
          <w:p>
            <w:r/>
            <w:r>
              <w:rPr>
                <w:b w:val="0"/>
                <w:sz w:val="16"/>
              </w:rPr>
              <w:t>Organisations, utilisateurs, rôles, permissions, abonnements, modules activés, audit</w:t>
            </w:r>
          </w:p>
        </w:tc>
        <w:tc>
          <w:tcPr>
            <w:tcW w:type="dxa" w:w="3437"/>
            <w:vAlign w:val="center"/>
          </w:tcPr>
          <w:p>
            <w:r/>
            <w:r>
              <w:rPr>
                <w:b w:val="0"/>
                <w:sz w:val="16"/>
              </w:rPr>
              <w:t>Standardiser l’UI sans casser les règles métier déjà présentes.</w:t>
            </w:r>
          </w:p>
        </w:tc>
      </w:tr>
      <w:tr>
        <w:tc>
          <w:tcPr>
            <w:tcW w:type="dxa" w:w="3437"/>
            <w:vAlign w:val="center"/>
          </w:tcPr>
          <w:p>
            <w:r/>
            <w:r>
              <w:rPr>
                <w:b w:val="0"/>
                <w:sz w:val="16"/>
              </w:rPr>
              <w:t>Commerce / CRM</w:t>
            </w:r>
          </w:p>
        </w:tc>
        <w:tc>
          <w:tcPr>
            <w:tcW w:type="dxa" w:w="3437"/>
            <w:vAlign w:val="center"/>
          </w:tcPr>
          <w:p>
            <w:r/>
            <w:r>
              <w:rPr>
                <w:b w:val="0"/>
                <w:sz w:val="16"/>
              </w:rPr>
              <w:t>Prospects, clients, contacts, opportunités, devis, commandes, contrats, pipeline</w:t>
            </w:r>
          </w:p>
        </w:tc>
        <w:tc>
          <w:tcPr>
            <w:tcW w:type="dxa" w:w="3437"/>
            <w:vAlign w:val="center"/>
          </w:tcPr>
          <w:p>
            <w:r/>
            <w:r>
              <w:rPr>
                <w:b w:val="0"/>
                <w:sz w:val="16"/>
              </w:rPr>
              <w:t>Conserver la logique existante puis aligner le formalisme.</w:t>
            </w:r>
          </w:p>
        </w:tc>
      </w:tr>
      <w:tr>
        <w:tc>
          <w:tcPr>
            <w:tcW w:type="dxa" w:w="3437"/>
            <w:vAlign w:val="center"/>
          </w:tcPr>
          <w:p>
            <w:r/>
            <w:r>
              <w:rPr>
                <w:b w:val="0"/>
                <w:sz w:val="16"/>
              </w:rPr>
              <w:t>Pilotage</w:t>
            </w:r>
          </w:p>
        </w:tc>
        <w:tc>
          <w:tcPr>
            <w:tcW w:type="dxa" w:w="3437"/>
            <w:vAlign w:val="center"/>
          </w:tcPr>
          <w:p>
            <w:r/>
            <w:r>
              <w:rPr>
                <w:b w:val="0"/>
                <w:sz w:val="16"/>
              </w:rPr>
              <w:t>Cockpit direction, KPI transverses, alertes, recommandations IA</w:t>
            </w:r>
          </w:p>
        </w:tc>
        <w:tc>
          <w:tcPr>
            <w:tcW w:type="dxa" w:w="3437"/>
            <w:vAlign w:val="center"/>
          </w:tcPr>
          <w:p>
            <w:r/>
            <w:r>
              <w:rPr>
                <w:b w:val="0"/>
                <w:sz w:val="16"/>
              </w:rPr>
              <w:t>Conserver le contenu existant puis harmoniser.</w:t>
            </w:r>
          </w:p>
        </w:tc>
      </w:tr>
      <w:tr>
        <w:tc>
          <w:tcPr>
            <w:tcW w:type="dxa" w:w="3437"/>
            <w:vAlign w:val="center"/>
          </w:tcPr>
          <w:p>
            <w:r/>
            <w:r>
              <w:rPr>
                <w:b w:val="0"/>
                <w:sz w:val="16"/>
              </w:rPr>
              <w:t>Projets / PMO</w:t>
            </w:r>
          </w:p>
        </w:tc>
        <w:tc>
          <w:tcPr>
            <w:tcW w:type="dxa" w:w="3437"/>
            <w:vAlign w:val="center"/>
          </w:tcPr>
          <w:p>
            <w:r/>
            <w:r>
              <w:rPr>
                <w:b w:val="0"/>
                <w:sz w:val="16"/>
              </w:rPr>
              <w:t>Portefeuille, projets, jalons, tâches, budget, staffing, charge, risques, livrables</w:t>
            </w:r>
          </w:p>
        </w:tc>
        <w:tc>
          <w:tcPr>
            <w:tcW w:type="dxa" w:w="3437"/>
            <w:vAlign w:val="center"/>
          </w:tcPr>
          <w:p>
            <w:r/>
            <w:r>
              <w:rPr>
                <w:b w:val="0"/>
                <w:sz w:val="16"/>
              </w:rPr>
              <w:t>Les pages actuelles projets/tasks peuvent être reconstruites sur le template validé.</w:t>
            </w:r>
          </w:p>
        </w:tc>
      </w:tr>
      <w:tr>
        <w:tc>
          <w:tcPr>
            <w:tcW w:type="dxa" w:w="3437"/>
            <w:vAlign w:val="center"/>
          </w:tcPr>
          <w:p>
            <w:r/>
            <w:r>
              <w:rPr>
                <w:b w:val="0"/>
                <w:sz w:val="16"/>
              </w:rPr>
              <w:t>RH / SIRH</w:t>
            </w:r>
          </w:p>
        </w:tc>
        <w:tc>
          <w:tcPr>
            <w:tcW w:type="dxa" w:w="3437"/>
            <w:vAlign w:val="center"/>
          </w:tcPr>
          <w:p>
            <w:r/>
            <w:r>
              <w:rPr>
                <w:b w:val="0"/>
                <w:sz w:val="16"/>
              </w:rPr>
              <w:t>Ressources, absences, staffing, temps, compétences, onboarding, entretiens</w:t>
            </w:r>
          </w:p>
        </w:tc>
        <w:tc>
          <w:tcPr>
            <w:tcW w:type="dxa" w:w="3437"/>
            <w:vAlign w:val="center"/>
          </w:tcPr>
          <w:p>
            <w:r/>
            <w:r>
              <w:rPr>
                <w:b w:val="0"/>
                <w:sz w:val="16"/>
              </w:rPr>
              <w:t>Ressources est la référence absolue.</w:t>
            </w:r>
          </w:p>
        </w:tc>
      </w:tr>
      <w:tr>
        <w:tc>
          <w:tcPr>
            <w:tcW w:type="dxa" w:w="3437"/>
            <w:vAlign w:val="center"/>
          </w:tcPr>
          <w:p>
            <w:r/>
            <w:r>
              <w:rPr>
                <w:b w:val="0"/>
                <w:sz w:val="16"/>
              </w:rPr>
              <w:t>Qualité &amp; risques</w:t>
            </w:r>
          </w:p>
        </w:tc>
        <w:tc>
          <w:tcPr>
            <w:tcW w:type="dxa" w:w="3437"/>
            <w:vAlign w:val="center"/>
          </w:tcPr>
          <w:p>
            <w:r/>
            <w:r>
              <w:rPr>
                <w:b w:val="0"/>
                <w:sz w:val="16"/>
              </w:rPr>
              <w:t>Non-conformités, CAPA, risques, audits, preuves ISO 9001, efficacité</w:t>
            </w:r>
          </w:p>
        </w:tc>
        <w:tc>
          <w:tcPr>
            <w:tcW w:type="dxa" w:w="3437"/>
            <w:vAlign w:val="center"/>
          </w:tcPr>
          <w:p>
            <w:r/>
            <w:r>
              <w:rPr>
                <w:b w:val="0"/>
                <w:sz w:val="16"/>
              </w:rPr>
              <w:t>Créer directement avec la trame validée.</w:t>
            </w:r>
          </w:p>
        </w:tc>
      </w:tr>
      <w:tr>
        <w:tc>
          <w:tcPr>
            <w:tcW w:type="dxa" w:w="3437"/>
            <w:vAlign w:val="center"/>
          </w:tcPr>
          <w:p>
            <w:r/>
            <w:r>
              <w:rPr>
                <w:b w:val="0"/>
                <w:sz w:val="16"/>
              </w:rPr>
              <w:t>Finance</w:t>
            </w:r>
          </w:p>
        </w:tc>
        <w:tc>
          <w:tcPr>
            <w:tcW w:type="dxa" w:w="3437"/>
            <w:vAlign w:val="center"/>
          </w:tcPr>
          <w:p>
            <w:r/>
            <w:r>
              <w:rPr>
                <w:b w:val="0"/>
                <w:sz w:val="16"/>
              </w:rPr>
              <w:t>Devis, factures, coûts, marges, budgets, prévisionnel, trésorerie</w:t>
            </w:r>
          </w:p>
        </w:tc>
        <w:tc>
          <w:tcPr>
            <w:tcW w:type="dxa" w:w="3437"/>
            <w:vAlign w:val="center"/>
          </w:tcPr>
          <w:p>
            <w:r/>
            <w:r>
              <w:rPr>
                <w:b w:val="0"/>
                <w:sz w:val="16"/>
              </w:rPr>
              <w:t>Créer directement avec la trame validée.</w:t>
            </w:r>
          </w:p>
        </w:tc>
      </w:tr>
      <w:tr>
        <w:tc>
          <w:tcPr>
            <w:tcW w:type="dxa" w:w="3437"/>
            <w:vAlign w:val="center"/>
          </w:tcPr>
          <w:p>
            <w:r/>
            <w:r>
              <w:rPr>
                <w:b w:val="0"/>
                <w:sz w:val="16"/>
              </w:rPr>
              <w:t>Documents &amp; outils</w:t>
            </w:r>
          </w:p>
        </w:tc>
        <w:tc>
          <w:tcPr>
            <w:tcW w:type="dxa" w:w="3437"/>
            <w:vAlign w:val="center"/>
          </w:tcPr>
          <w:p>
            <w:r/>
            <w:r>
              <w:rPr>
                <w:b w:val="0"/>
                <w:sz w:val="16"/>
              </w:rPr>
              <w:t>GED, modèles, signatures, versions, preuves, droits</w:t>
            </w:r>
          </w:p>
        </w:tc>
        <w:tc>
          <w:tcPr>
            <w:tcW w:type="dxa" w:w="3437"/>
            <w:vAlign w:val="center"/>
          </w:tcPr>
          <w:p>
            <w:r/>
            <w:r>
              <w:rPr>
                <w:b w:val="0"/>
                <w:sz w:val="16"/>
              </w:rPr>
              <w:t>Créer directement avec la trame validée.</w:t>
            </w:r>
          </w:p>
        </w:tc>
      </w:tr>
      <w:tr>
        <w:tc>
          <w:tcPr>
            <w:tcW w:type="dxa" w:w="3437"/>
            <w:vAlign w:val="center"/>
          </w:tcPr>
          <w:p>
            <w:r/>
            <w:r>
              <w:rPr>
                <w:b w:val="0"/>
                <w:sz w:val="16"/>
              </w:rPr>
              <w:t>IA / automatisations</w:t>
            </w:r>
          </w:p>
        </w:tc>
        <w:tc>
          <w:tcPr>
            <w:tcW w:type="dxa" w:w="3437"/>
            <w:vAlign w:val="center"/>
          </w:tcPr>
          <w:p>
            <w:r/>
            <w:r>
              <w:rPr>
                <w:b w:val="0"/>
                <w:sz w:val="16"/>
              </w:rPr>
              <w:t>Assistant, chatbot, analyses, recommandations, actions guidées, workflows</w:t>
            </w:r>
          </w:p>
        </w:tc>
        <w:tc>
          <w:tcPr>
            <w:tcW w:type="dxa" w:w="3437"/>
            <w:vAlign w:val="center"/>
          </w:tcPr>
          <w:p>
            <w:r/>
            <w:r>
              <w:rPr>
                <w:b w:val="0"/>
                <w:sz w:val="16"/>
              </w:rPr>
              <w:t>Respect strict multi-tenant, droits, audit et confidentialité.</w:t>
            </w:r>
          </w:p>
        </w:tc>
      </w:tr>
    </w:tbl>
    <w:p/>
    <w:p>
      <w:pPr>
        <w:pStyle w:val="Heading1"/>
      </w:pPr>
      <w:r>
        <w:t>6. IA et automatisations</w:t>
      </w:r>
    </w:p>
    <w:p>
      <w:pPr>
        <w:ind w:left="227" w:hanging="113"/>
      </w:pPr>
      <w:r>
        <w:rPr>
          <w:b/>
          <w:color w:val="4F46E5"/>
        </w:rPr>
        <w:t xml:space="preserve">• </w:t>
      </w:r>
      <w:r>
        <w:rPr>
          <w:sz w:val="18"/>
        </w:rPr>
        <w:t>L’IA doit répondre sur les données autorisées de l’organisation et du rôle utilisateur uniquement.</w:t>
      </w:r>
    </w:p>
    <w:p>
      <w:pPr>
        <w:ind w:left="227" w:hanging="113"/>
      </w:pPr>
      <w:r>
        <w:rPr>
          <w:b/>
          <w:color w:val="4F46E5"/>
        </w:rPr>
        <w:t xml:space="preserve">• </w:t>
      </w:r>
      <w:r>
        <w:rPr>
          <w:sz w:val="18"/>
        </w:rPr>
        <w:t>Fonctions cibles : Q/R métier, synthèse, recommandations, détection d’anomalies, génération de graphiques, aide à la décision, rédaction de comptes rendus et plans d’action.</w:t>
      </w:r>
    </w:p>
    <w:p>
      <w:pPr>
        <w:ind w:left="227" w:hanging="113"/>
      </w:pPr>
      <w:r>
        <w:rPr>
          <w:b/>
          <w:color w:val="4F46E5"/>
        </w:rPr>
        <w:t xml:space="preserve">• </w:t>
      </w:r>
      <w:r>
        <w:rPr>
          <w:sz w:val="18"/>
        </w:rPr>
        <w:t>Chaque action IA sensible doit être traçable : utilisateur, contexte, données consultées, recommandation produite, action déclenchée.</w:t>
      </w:r>
    </w:p>
    <w:p>
      <w:pPr>
        <w:ind w:left="227" w:hanging="113"/>
      </w:pPr>
      <w:r>
        <w:rPr>
          <w:b/>
          <w:color w:val="4F46E5"/>
        </w:rPr>
        <w:t xml:space="preserve">• </w:t>
      </w:r>
      <w:r>
        <w:rPr>
          <w:sz w:val="18"/>
        </w:rPr>
        <w:t>Les suggestions IA restent explicables et actionnables : risque, impact, cause probable, recommandation, action possible, objet concerné.</w:t>
      </w:r>
    </w:p>
    <w:p>
      <w:pPr>
        <w:pStyle w:val="Heading1"/>
      </w:pPr>
      <w:r>
        <w:t>7. Sécurité, conformité et audit</w:t>
      </w:r>
    </w:p>
    <w:p>
      <w:pPr>
        <w:ind w:left="227" w:hanging="113"/>
      </w:pPr>
      <w:r>
        <w:rPr>
          <w:b/>
          <w:color w:val="4F46E5"/>
        </w:rPr>
        <w:t xml:space="preserve">• </w:t>
      </w:r>
      <w:r>
        <w:rPr>
          <w:sz w:val="18"/>
        </w:rPr>
        <w:t>Toutes les tables métier sont isolées par organization_id et protégées par RLS ou garde applicatif équivalent.</w:t>
      </w:r>
    </w:p>
    <w:p>
      <w:pPr>
        <w:ind w:left="227" w:hanging="113"/>
      </w:pPr>
      <w:r>
        <w:rPr>
          <w:b/>
          <w:color w:val="4F46E5"/>
        </w:rPr>
        <w:t xml:space="preserve">• </w:t>
      </w:r>
      <w:r>
        <w:rPr>
          <w:sz w:val="18"/>
        </w:rPr>
        <w:t>Rôles minimum : lecteur seul, collaborateur, manager, RH, direction, admin entreprise, super admin ONEPILOT.</w:t>
      </w:r>
    </w:p>
    <w:p>
      <w:pPr>
        <w:ind w:left="227" w:hanging="113"/>
      </w:pPr>
      <w:r>
        <w:rPr>
          <w:b/>
          <w:color w:val="4F46E5"/>
        </w:rPr>
        <w:t xml:space="preserve">• </w:t>
      </w:r>
      <w:r>
        <w:rPr>
          <w:sz w:val="18"/>
        </w:rPr>
        <w:t>Permissions minimum : voir, créer, modifier, valider, refuser, annuler, archiver, exporter, administrer.</w:t>
      </w:r>
    </w:p>
    <w:p>
      <w:pPr>
        <w:ind w:left="227" w:hanging="113"/>
      </w:pPr>
      <w:r>
        <w:rPr>
          <w:b/>
          <w:color w:val="4F46E5"/>
        </w:rPr>
        <w:t xml:space="preserve">• </w:t>
      </w:r>
      <w:r>
        <w:rPr>
          <w:sz w:val="18"/>
        </w:rPr>
        <w:t>Audit obligatoire pour création, modification, archivage, validation, refus, export sensible, changement de permission et action IA.</w:t>
      </w:r>
    </w:p>
    <w:p>
      <w:pPr>
        <w:ind w:left="227" w:hanging="113"/>
      </w:pPr>
      <w:r>
        <w:rPr>
          <w:b/>
          <w:color w:val="4F46E5"/>
        </w:rPr>
        <w:t xml:space="preserve">• </w:t>
      </w:r>
      <w:r>
        <w:rPr>
          <w:sz w:val="18"/>
        </w:rPr>
        <w:t>Les exigences ISO 9001 sont intégrées dans Qualité &amp; risques et dans les preuves/audits/actions correctives.</w:t>
      </w:r>
    </w:p>
    <w:p>
      <w:pPr>
        <w:pStyle w:val="Heading1"/>
      </w:pPr>
      <w:r>
        <w:t>8. Roadmap opérationnelle</w:t>
      </w:r>
    </w:p>
    <w:tbl>
      <w:tblPr>
        <w:tblStyle w:val="TableGrid"/>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437"/>
        <w:gridCol w:w="3437"/>
        <w:gridCol w:w="3437"/>
      </w:tblGrid>
      <w:tr>
        <w:tc>
          <w:tcPr>
            <w:tcW w:type="dxa" w:w="3437"/>
            <w:shd w:fill="E0F2FE"/>
            <w:vAlign w:val="center"/>
          </w:tcPr>
          <w:p>
            <w:r/>
            <w:r>
              <w:rPr>
                <w:b/>
                <w:color w:val="0F172A"/>
                <w:sz w:val="16"/>
              </w:rPr>
              <w:t>Lot</w:t>
            </w:r>
          </w:p>
        </w:tc>
        <w:tc>
          <w:tcPr>
            <w:tcW w:type="dxa" w:w="3437"/>
            <w:shd w:fill="E0F2FE"/>
            <w:vAlign w:val="center"/>
          </w:tcPr>
          <w:p>
            <w:r/>
            <w:r>
              <w:rPr>
                <w:b/>
                <w:color w:val="0F172A"/>
                <w:sz w:val="16"/>
              </w:rPr>
              <w:t>Objectif</w:t>
            </w:r>
          </w:p>
        </w:tc>
        <w:tc>
          <w:tcPr>
            <w:tcW w:type="dxa" w:w="3437"/>
            <w:shd w:fill="E0F2FE"/>
            <w:vAlign w:val="center"/>
          </w:tcPr>
          <w:p>
            <w:r/>
            <w:r>
              <w:rPr>
                <w:b/>
                <w:color w:val="0F172A"/>
                <w:sz w:val="16"/>
              </w:rPr>
              <w:t>Règle de non-régression</w:t>
            </w:r>
          </w:p>
        </w:tc>
      </w:tr>
      <w:tr>
        <w:tc>
          <w:tcPr>
            <w:tcW w:type="dxa" w:w="3437"/>
            <w:vAlign w:val="center"/>
          </w:tcPr>
          <w:p>
            <w:r/>
            <w:r>
              <w:rPr>
                <w:b w:val="0"/>
                <w:sz w:val="16"/>
              </w:rPr>
              <w:t>1</w:t>
            </w:r>
          </w:p>
        </w:tc>
        <w:tc>
          <w:tcPr>
            <w:tcW w:type="dxa" w:w="3437"/>
            <w:vAlign w:val="center"/>
          </w:tcPr>
          <w:p>
            <w:r/>
            <w:r>
              <w:rPr>
                <w:b w:val="0"/>
                <w:sz w:val="16"/>
              </w:rPr>
              <w:t>Figer PRD/SFS et Ressources comme référence absolue</w:t>
            </w:r>
          </w:p>
        </w:tc>
        <w:tc>
          <w:tcPr>
            <w:tcW w:type="dxa" w:w="3437"/>
            <w:vAlign w:val="center"/>
          </w:tcPr>
          <w:p>
            <w:r/>
            <w:r>
              <w:rPr>
                <w:b w:val="0"/>
                <w:sz w:val="16"/>
              </w:rPr>
              <w:t>Aucune modification métier risquée.</w:t>
            </w:r>
          </w:p>
        </w:tc>
      </w:tr>
      <w:tr>
        <w:tc>
          <w:tcPr>
            <w:tcW w:type="dxa" w:w="3437"/>
            <w:vAlign w:val="center"/>
          </w:tcPr>
          <w:p>
            <w:r/>
            <w:r>
              <w:rPr>
                <w:b w:val="0"/>
                <w:sz w:val="16"/>
              </w:rPr>
              <w:t>2</w:t>
            </w:r>
          </w:p>
        </w:tc>
        <w:tc>
          <w:tcPr>
            <w:tcW w:type="dxa" w:w="3437"/>
            <w:vAlign w:val="center"/>
          </w:tcPr>
          <w:p>
            <w:r/>
            <w:r>
              <w:rPr>
                <w:b w:val="0"/>
                <w:sz w:val="16"/>
              </w:rPr>
              <w:t>Aligner Absences, Staffing/Charge, Architecture RH, Vue RH</w:t>
            </w:r>
          </w:p>
        </w:tc>
        <w:tc>
          <w:tcPr>
            <w:tcW w:type="dxa" w:w="3437"/>
            <w:vAlign w:val="center"/>
          </w:tcPr>
          <w:p>
            <w:r/>
            <w:r>
              <w:rPr>
                <w:b w:val="0"/>
                <w:sz w:val="16"/>
              </w:rPr>
              <w:t>Conserver graphiques et workflows validés.</w:t>
            </w:r>
          </w:p>
        </w:tc>
      </w:tr>
      <w:tr>
        <w:tc>
          <w:tcPr>
            <w:tcW w:type="dxa" w:w="3437"/>
            <w:vAlign w:val="center"/>
          </w:tcPr>
          <w:p>
            <w:r/>
            <w:r>
              <w:rPr>
                <w:b w:val="0"/>
                <w:sz w:val="16"/>
              </w:rPr>
              <w:t>3</w:t>
            </w:r>
          </w:p>
        </w:tc>
        <w:tc>
          <w:tcPr>
            <w:tcW w:type="dxa" w:w="3437"/>
            <w:vAlign w:val="center"/>
          </w:tcPr>
          <w:p>
            <w:r/>
            <w:r>
              <w:rPr>
                <w:b w:val="0"/>
                <w:sz w:val="16"/>
              </w:rPr>
              <w:t>Finaliser Temps, Compétences, Onboarding, Entretiens</w:t>
            </w:r>
          </w:p>
        </w:tc>
        <w:tc>
          <w:tcPr>
            <w:tcW w:type="dxa" w:w="3437"/>
            <w:vAlign w:val="center"/>
          </w:tcPr>
          <w:p>
            <w:r/>
            <w:r>
              <w:rPr>
                <w:b w:val="0"/>
                <w:sz w:val="16"/>
              </w:rPr>
              <w:t>Créer vrai modèle métier et SQL réel.</w:t>
            </w:r>
          </w:p>
        </w:tc>
      </w:tr>
      <w:tr>
        <w:tc>
          <w:tcPr>
            <w:tcW w:type="dxa" w:w="3437"/>
            <w:vAlign w:val="center"/>
          </w:tcPr>
          <w:p>
            <w:r/>
            <w:r>
              <w:rPr>
                <w:b w:val="0"/>
                <w:sz w:val="16"/>
              </w:rPr>
              <w:t>4</w:t>
            </w:r>
          </w:p>
        </w:tc>
        <w:tc>
          <w:tcPr>
            <w:tcW w:type="dxa" w:w="3437"/>
            <w:vAlign w:val="center"/>
          </w:tcPr>
          <w:p>
            <w:r/>
            <w:r>
              <w:rPr>
                <w:b w:val="0"/>
                <w:sz w:val="16"/>
              </w:rPr>
              <w:t>Aligner Commerce, Pilotage, Admin</w:t>
            </w:r>
          </w:p>
        </w:tc>
        <w:tc>
          <w:tcPr>
            <w:tcW w:type="dxa" w:w="3437"/>
            <w:vAlign w:val="center"/>
          </w:tcPr>
          <w:p>
            <w:r/>
            <w:r>
              <w:rPr>
                <w:b w:val="0"/>
                <w:sz w:val="16"/>
              </w:rPr>
              <w:t>Ne pas casser métier existant.</w:t>
            </w:r>
          </w:p>
        </w:tc>
      </w:tr>
      <w:tr>
        <w:tc>
          <w:tcPr>
            <w:tcW w:type="dxa" w:w="3437"/>
            <w:vAlign w:val="center"/>
          </w:tcPr>
          <w:p>
            <w:r/>
            <w:r>
              <w:rPr>
                <w:b w:val="0"/>
                <w:sz w:val="16"/>
              </w:rPr>
              <w:t>5</w:t>
            </w:r>
          </w:p>
        </w:tc>
        <w:tc>
          <w:tcPr>
            <w:tcW w:type="dxa" w:w="3437"/>
            <w:vAlign w:val="center"/>
          </w:tcPr>
          <w:p>
            <w:r/>
            <w:r>
              <w:rPr>
                <w:b w:val="0"/>
                <w:sz w:val="16"/>
              </w:rPr>
              <w:t>Reconstruire Projets/Tasks et créer modules futurs</w:t>
            </w:r>
          </w:p>
        </w:tc>
        <w:tc>
          <w:tcPr>
            <w:tcW w:type="dxa" w:w="3437"/>
            <w:vAlign w:val="center"/>
          </w:tcPr>
          <w:p>
            <w:r/>
            <w:r>
              <w:rPr>
                <w:b w:val="0"/>
                <w:sz w:val="16"/>
              </w:rPr>
              <w:t>Utiliser la trame Ressources dès le départ.</w:t>
            </w:r>
          </w:p>
        </w:tc>
      </w:tr>
      <w:tr>
        <w:tc>
          <w:tcPr>
            <w:tcW w:type="dxa" w:w="3437"/>
            <w:vAlign w:val="center"/>
          </w:tcPr>
          <w:p>
            <w:r/>
            <w:r>
              <w:rPr>
                <w:b w:val="0"/>
                <w:sz w:val="16"/>
              </w:rPr>
              <w:t>6</w:t>
            </w:r>
          </w:p>
        </w:tc>
        <w:tc>
          <w:tcPr>
            <w:tcW w:type="dxa" w:w="3437"/>
            <w:vAlign w:val="center"/>
          </w:tcPr>
          <w:p>
            <w:r/>
            <w:r>
              <w:rPr>
                <w:b w:val="0"/>
                <w:sz w:val="16"/>
              </w:rPr>
              <w:t>Mettre à jour AppShell, Sidebar, Topbar, AppNav</w:t>
            </w:r>
          </w:p>
        </w:tc>
        <w:tc>
          <w:tcPr>
            <w:tcW w:type="dxa" w:w="3437"/>
            <w:vAlign w:val="center"/>
          </w:tcPr>
          <w:p>
            <w:r/>
            <w:r>
              <w:rPr>
                <w:b w:val="0"/>
                <w:sz w:val="16"/>
              </w:rPr>
              <w:t>Navigation multi-module cohérente et responsive.</w:t>
            </w:r>
          </w:p>
        </w:tc>
      </w:tr>
    </w:tbl>
    <w:p/>
    <w:sectPr w:rsidR="00FC693F" w:rsidRPr="0006063C" w:rsidSect="00034616">
      <w:footerReference w:type="default" r:id="rId9"/>
      <w:pgSz w:w="12240" w:h="15840"/>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ONEPILOT — Document de référence v2.0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E293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3415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7556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F172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