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24"/>
        </w:rPr>
        <w:t>ONEPILOT</w:t>
      </w:r>
    </w:p>
    <w:p>
      <w:pPr>
        <w:pStyle w:val="Title"/>
        <w:jc w:val="center"/>
      </w:pPr>
      <w:r>
        <w:t>SFS ONEPILOT — Référence UI, technique et fonctionnelle v2.0</w:t>
      </w:r>
    </w:p>
    <w:p>
      <w:pPr>
        <w:jc w:val="center"/>
      </w:pPr>
      <w:r>
        <w:rPr>
          <w:color w:val="334155"/>
          <w:sz w:val="20"/>
        </w:rPr>
        <w:t>Spécification exécutable des pages métier, composants, règles de données, exports, graphiques et non-régression</w:t>
      </w:r>
    </w:p>
    <w:p>
      <w:pPr>
        <w:jc w:val="center"/>
      </w:pPr>
      <w:r>
        <w:rPr>
          <w:b/>
          <w:color w:val="059669"/>
          <w:sz w:val="18"/>
        </w:rPr>
        <w:t>Version v2.0 — 10 juillet 2026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AE6FD"/>
          <w:left w:val="single" w:sz="6" w:space="0" w:color="BAE6FD"/>
          <w:bottom w:val="single" w:sz="6" w:space="0" w:color="BAE6FD"/>
          <w:right w:val="single" w:sz="6" w:space="0" w:color="BAE6FD"/>
          <w:insideH w:val="single" w:sz="6" w:space="0" w:color="BAE6FD"/>
          <w:insideV w:val="single" w:sz="6" w:space="0" w:color="BAE6FD"/>
        </w:tblBorders>
      </w:tblPr>
      <w:tblGrid>
        <w:gridCol w:w="10312"/>
      </w:tblGrid>
      <w:tr>
        <w:tc>
          <w:tcPr>
            <w:tcW w:type="dxa" w:w="10312"/>
            <w:shd w:fill="ECFDF5"/>
          </w:tcPr>
          <w:p>
            <w:r>
              <w:rPr>
                <w:b/>
                <w:color w:val="4F46E5"/>
                <w:sz w:val="20"/>
              </w:rPr>
              <w:t>Règle absolue</w:t>
            </w:r>
          </w:p>
          <w:p>
            <w:r>
              <w:rPr>
                <w:color w:val="334155"/>
                <w:sz w:val="18"/>
              </w:rPr>
              <w:t>Toute page modifiée ou créée doit appliquer le template validé RH &gt; Ressources. Une correction partielle est interdite si elle laisse la page non conforme. Les pages Commerce, Pilotage et Admin seront standardisées sans casser leur logique métier existante.</w:t>
            </w:r>
          </w:p>
        </w:tc>
      </w:tr>
    </w:tbl>
    <w:p/>
    <w:p>
      <w:pPr>
        <w:pStyle w:val="Heading1"/>
      </w:pPr>
      <w:r>
        <w:t>1. Stack et commandes obligatoires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Stack : Next.js 16.2.7, React 19, TypeScript strict, Tailwind CSS 4, Supabase/PostgreSQL, TanStack Query, Recharts.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Après toute modification de code : cd /d C:\projets\onepilot &amp;&amp; npm run build.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Si migration SQL : cd /d C:\projets\onepilot &amp;&amp; npx supabase db push puis cd /d C:\projets\onepilot &amp;&amp; npm run build.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Si SQL échoue, arrêter, corriger SQL, puis relancer. Ne pas lancer le build tant que SQL est KO.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Si build OK : git status, git add fichiers concernés, git commit -m "message clair", git push.</w:t>
      </w:r>
    </w:p>
    <w:p>
      <w:pPr>
        <w:pStyle w:val="Heading1"/>
      </w:pPr>
      <w:r>
        <w:t>2. Template obligatoire de page métier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156"/>
        <w:gridCol w:w="5156"/>
      </w:tblGrid>
      <w:tr>
        <w:tc>
          <w:tcPr>
            <w:tcW w:type="dxa" w:w="5156"/>
            <w:shd w:fill="E0F2FE"/>
            <w:vAlign w:val="center"/>
          </w:tcPr>
          <w:p>
            <w:r/>
            <w:r>
              <w:rPr>
                <w:b/>
                <w:color w:val="0F172A"/>
                <w:sz w:val="16"/>
              </w:rPr>
              <w:t>Zone</w:t>
            </w:r>
          </w:p>
        </w:tc>
        <w:tc>
          <w:tcPr>
            <w:tcW w:type="dxa" w:w="5156"/>
            <w:shd w:fill="E0F2FE"/>
            <w:vAlign w:val="center"/>
          </w:tcPr>
          <w:p>
            <w:r/>
            <w:r>
              <w:rPr>
                <w:b/>
                <w:color w:val="0F172A"/>
                <w:sz w:val="16"/>
              </w:rPr>
              <w:t>Règle obligatoire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PageHeader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Titre clair, sous-titre métier utile, actions à droite. Ne jamais passer de prop inexistante comme icon si le composant ne l’accepte pas.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Actions header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Ordre visuel droite → gauche : Nouveau XXX indigo, Exporter emerald fond blanc, PDF rose fond blanc, Historique/Autres sky fond blanc.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Guide de la page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Titre “Guide de la page”, objet métier, description en 2 lignes contrôlées, ouverture accordéon.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Blocs guide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Objectifs indigo, Comment utiliser emerald, Analyses possibles amber, Bonnes pratiques rose.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KPI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4 widgets principaux minimum, ordre indigo/emerald/amber/rose, données réelles, descriptions courtes et tooltips si ambigu.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Périmètre d’analyse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Card rounded-2xl, header gradient sky→white→indigo, recherche pleine largeur puis 4 filtres par ligne, badge X résultats sur X.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Onglets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Ordre couleur indigo, emerald, amber, rose, sky. Onglet Graphiques avec Analyse décisionnelle juste sous les onglets.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Contenu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2 cartes ou 2 graphiques par ligne sur desktop quand le contenu s’y prête, responsive tablette/mobile.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Alertes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6"/>
              </w:rPr>
              <w:t>Bloc Alertes qualité avec Synthèse, Alertes, Recommandations et widgets exploitables.</w:t>
            </w:r>
          </w:p>
        </w:tc>
      </w:tr>
    </w:tbl>
    <w:p/>
    <w:p>
      <w:pPr>
        <w:pStyle w:val="Heading1"/>
      </w:pPr>
      <w:r>
        <w:t>3. Couleurs et thème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Ordre officiel : indigo, emerald, amber, rose, sky.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Les couleurs doivent être légères, professionnelles et non criardes, en particulier pour les graphiques et fonds de blocs.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Les gros blocs utilisent le formalisme Périmètre d’analyse : border slate/sky légère, fond blanc, header gradient sky→white→indigo, dark mode atténué.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Dark mode : éviter le noir pur et slate-950 en surfaces principales. Privilégier slate-600/700/800, gradients doux et contrastes lisibles.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La même structure couleur s’applique aux widgets, onglets, guide, graphiques, alertes, actions et futurs modules.</w:t>
      </w:r>
    </w:p>
    <w:p>
      <w:pPr>
        <w:pStyle w:val="Heading1"/>
      </w:pPr>
      <w:r>
        <w:t>4. Graphiques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Deux graphiques par ligne sur desktop, un par ligne sur mobile.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Chaque graphique est dans un bloc avec titre, description sur une ligne, tooltip si texte tronqué, axes lisibles, légende et tooltips Recharts.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Chaque graphique a uniquement deux icônes : Copier et Agrandir. Pas de texte à côté des icônes.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Copier doit générer une image Canvas PNG exploitable dans PowerPoint. Si le presse-papiers est bloqué, télécharger automatiquement un PNG.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Agrandir doit afficher le bloc graphique complet avec titre, description, graphique, axes, légende et contexte.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Les graphiques métier RH Ressources validés incluent : statut, contrat, arrivées/mois, sorties/mois, coût chargé/métier, collaborateurs/manager, service, métier, fonction, salaire moyen/métier, qualité des données RH.</w:t>
      </w:r>
    </w:p>
    <w:p>
      <w:pPr>
        <w:pStyle w:val="Heading1"/>
      </w:pPr>
      <w:r>
        <w:t>5. Cartes métier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Cards rounded-2xl, border slate, fond blanc, shadow-sm, hover indigo léger, dark mode atténué.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Deux cards par ligne sur desktop quand le contenu s’y prête.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Menu trois points horizontal en haut à droite avec tooltip.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Actions standard : Voir XXX sky, Modifier XXX indigo, Annuler XXX rose si applicable, Archiver XXX slate, Réactiver XXX emerald si applicable.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Les cartes doivent synthétiser un maximum d’informations utiles sans devenir illisibles : badges, rattachements, dates, statut, responsable, coût ou indicateur clé.</w:t>
      </w:r>
    </w:p>
    <w:p>
      <w:pPr>
        <w:pStyle w:val="Heading1"/>
      </w:pPr>
      <w:r>
        <w:t>6. Tableaux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Tous les tableaux créés ou modifiés : rounded-2xl, border slate, fond blanc, shadow, min-width adaptée.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Scroll vertical dès plus de 5 lignes et scroll horizontal si nécessaire.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Header sticky obligatoire.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Première colonne sticky obligatoire avec fond clair/dark cohérent.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Colonne Actions sticky à droite si le tableau est large.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Actions via menu trois points, mêmes actions que les cartes.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Police et densité identiques au tableau Ressources validé.</w:t>
      </w:r>
    </w:p>
    <w:p>
      <w:pPr>
        <w:pStyle w:val="Heading1"/>
      </w:pPr>
      <w:r>
        <w:t>7. Formulaires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Les formulaires doivent reprendre la structure, couleurs, polices et hiérarchie du formulaire Ressources validé.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Formulaires longs structurés en sections/onglets métier, avec bouton Enregistrer indigo et actions secondaires cohérentes.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Les champs libres et référentiels doivent relire, sauvegarder et afficher la priorité champ libre &gt; référentiel &gt; non renseigné.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Les horaires hebdomadaires Ressources conservent les valeurs saisies librement et ne sont pas écrasés par une moyenne recalculée.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Les formulaires doivent être accessibles, responsive et compatibles thème sombre atténué.</w:t>
      </w:r>
    </w:p>
    <w:p>
      <w:pPr>
        <w:pStyle w:val="Heading1"/>
      </w:pPr>
      <w:r>
        <w:t>8. Exports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Bouton Exporter : emerald sur fond blanc, icône + texte, positionné selon l’ordre header validé.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Un export complet est exhaustif : visible + identifiants + organisation + statut + dates + rattachements + manager + archivage + création + mise à jour + champs métier spécifiques + valeurs calculées.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Les exports respectent toujours le périmètre filtré et l’onglet actif quand cela a du sens.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Les exports PDF professionnels incluent en-tête, métadonnées, pagination, synthèse, tableaux propres et sections lisibles, jamais capture brute.</w:t>
      </w:r>
    </w:p>
    <w:p>
      <w:pPr>
        <w:pStyle w:val="Heading1"/>
      </w:pPr>
      <w:r>
        <w:t>9. Données, sécurité et audit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Aucune mock data. Les états vides sont autorisés, mais doivent être propres et explicatifs.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Toutes les tables métier sont filtrées par organization_id.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Rôles minimum : lecteur seul, collaborateur, manager, RH, direction, admin entreprise, super admin ONEPILOT.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Permissions minimum : voir, créer, modifier, valider, refuser, annuler, archiver, exporter, administrer.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Audit obligatoire pour création, modification, suppression logique, archivage, validation, refus, export sensible, changement de permission, action IA.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Les accès directs par URL ne doivent pas exposer de données interdites.</w:t>
      </w:r>
    </w:p>
    <w:p>
      <w:pPr>
        <w:pStyle w:val="Heading1"/>
      </w:pPr>
      <w:r>
        <w:t>10. Modules et pages cibles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  <w:shd w:fill="E0F2FE"/>
            <w:vAlign w:val="center"/>
          </w:tcPr>
          <w:p>
            <w:r/>
            <w:r>
              <w:rPr>
                <w:b/>
                <w:color w:val="0F172A"/>
                <w:sz w:val="16"/>
              </w:rPr>
              <w:t>Famille</w:t>
            </w:r>
          </w:p>
        </w:tc>
        <w:tc>
          <w:tcPr>
            <w:tcW w:type="dxa" w:w="3437"/>
            <w:shd w:fill="E0F2FE"/>
            <w:vAlign w:val="center"/>
          </w:tcPr>
          <w:p>
            <w:r/>
            <w:r>
              <w:rPr>
                <w:b/>
                <w:color w:val="0F172A"/>
                <w:sz w:val="16"/>
              </w:rPr>
              <w:t>Pages / sous-modules</w:t>
            </w:r>
          </w:p>
        </w:tc>
        <w:tc>
          <w:tcPr>
            <w:tcW w:type="dxa" w:w="3437"/>
            <w:shd w:fill="E0F2FE"/>
            <w:vAlign w:val="center"/>
          </w:tcPr>
          <w:p>
            <w:r/>
            <w:r>
              <w:rPr>
                <w:b/>
                <w:color w:val="0F172A"/>
                <w:sz w:val="16"/>
              </w:rPr>
              <w:t>Approche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RH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Ressources, Absences, Charge, Architecture, Vue RH, Temps, Compétences, Onboarding, Entretiens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Aligner immédiatement au template Ressources.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Commerce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Prospects, clients, contacts, opportunités, devis, commandes, contrats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Standardiser sans casser métier existant.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Pilotage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Cockpit, KPI transverses, alertes, recommandations IA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Standardiser sans casser contenu existant.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Organisations, utilisateurs, rôles, permissions, entitlements, audit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Standardiser sans casser sécurité existante.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Projets / Tasks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Portefeuille, projets, tâches, jalons, budget, livrables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Pages actuelles jugées non satisfaisantes : reconstruction autorisée sur template Ressources.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Qualité &amp; risques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Risques, non-conformités, CAPA, audits, preuves ISO 9001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Créer directement avec template.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Finance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Factures, coûts, marges, budgets, prévisionnel, trésorerie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Créer directement avec template.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Documents &amp; outils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GED, modèles, signatures, versions, preuves, droits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6"/>
              </w:rPr>
              <w:t>Créer directement avec template.</w:t>
            </w:r>
          </w:p>
        </w:tc>
      </w:tr>
    </w:tbl>
    <w:p/>
    <w:p>
      <w:pPr>
        <w:pStyle w:val="Heading1"/>
      </w:pPr>
      <w:r>
        <w:t>11. Critères d’acceptation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npm run build OK en TypeScript strict.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supabase db push OK avant build si SQL livré.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Aucune régression visuelle sur Ressources.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Pas de page reconstruite depuis zéro si le métier est déjà validé, sauf Projets/Tasks explicitement autorisés.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Toutes les pages mises à jour conservent leurs données Supabase réelles.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Cards, tableaux, graphiques, exports, alertes, formulaires et dark mode conformes à Ressources.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Responsive PC/tablette/mobile contrôlé.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Thème sombre atténué contrôlé.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Exports complets contrôlés.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Copie graphique Canvas PNG contrôlée dans Chrome/Edge et fallback PNG disponible.</w:t>
      </w:r>
    </w:p>
    <w:p>
      <w:pPr>
        <w:pStyle w:val="Heading1"/>
      </w:pPr>
      <w:r>
        <w:t>12. Non-régression et livraison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Toujours repartir des fichiers existants.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Ne jamais remplacer un composant validé par une version générique.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Ne jamais supprimer des graphiques ou workflows validés.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Ne jamais masquer une erreur TypeScript sans traiter la logique métier.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Fournir des fichiers complets avec chemins exacts.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Ne pas fournir de script patch fragile.</w:t>
      </w:r>
    </w:p>
    <w:p>
      <w:pPr>
        <w:ind w:left="227" w:hanging="113"/>
      </w:pPr>
      <w:r>
        <w:rPr>
          <w:b/>
          <w:color w:val="4F46E5"/>
        </w:rPr>
        <w:t xml:space="preserve">• </w:t>
      </w:r>
      <w:r>
        <w:rPr>
          <w:sz w:val="18"/>
        </w:rPr>
        <w:t>Commandes livrées en CMD Windows simples.</w:t>
      </w:r>
    </w:p>
    <w:sectPr w:rsidR="00FC693F" w:rsidRPr="0006063C" w:rsidSect="00034616">
      <w:footerReference w:type="default" r:id="rId9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ONEPILOT — Document de référence v2.0 —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E29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341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7556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F172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