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Summary – Async Rust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actually an attempt to summarise the main arcticle on </w:t>
      </w:r>
      <w:hyperlink r:id="rId2">
        <w:r>
          <w:rPr>
            <w:rStyle w:val="InternetLink"/>
          </w:rPr>
          <w:t>Async Rust</w:t>
        </w:r>
      </w:hyperlink>
      <w:r>
        <w:rPr/>
        <w:t xml:space="preserve"> by Thomas Heartman. It is  written with a student’s perspective and my own interpretation of the article and also what I’ve read on the subject from other resources.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omashartmann.dev/blog/async-rus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LibreOffice/6.4.2.2$Linux_X86_64 LibreOffice_project/40$Build-2</Application>
  <Pages>1</Pages>
  <Words>44</Words>
  <Characters>214</Characters>
  <CharactersWithSpaces>258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2020-05-01T11:38:57Z</dcterms:created>
  <dc:creator/>
  <dc:description/>
  <dc:language>en-GB</dc:language>
  <cp:lastModifiedBy/>
  <dcterms:modified xsi:type="dcterms:W3CDTF">2020-05-01T12:09:42Z</dcterms:modified>
  <cp:revision>2</cp:revision>
  <dc:subject/>
  <dc:title/>
</cp:coreProperties>
</file>