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74ADE" w14:textId="77777777"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14:paraId="6C7FFDB6" w14:textId="77777777"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14:paraId="053531DF" w14:textId="77777777"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14:paraId="64C6EA23" w14:textId="77777777"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610AB1" w14:paraId="6EB2D964"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E112E69"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14:paraId="342E48FD" w14:textId="3218BEEF" w:rsidR="0099173B" w:rsidRPr="006A6F94" w:rsidRDefault="009D3267" w:rsidP="00FC686B">
            <w:pPr>
              <w:spacing w:line="276" w:lineRule="auto"/>
              <w:jc w:val="both"/>
              <w:rPr>
                <w:rFonts w:asciiTheme="minorHAnsi" w:hAnsiTheme="minorHAnsi" w:cstheme="minorHAnsi"/>
                <w:lang w:val="fr-FR"/>
              </w:rPr>
            </w:pPr>
            <w:r w:rsidRPr="006A6F94">
              <w:rPr>
                <w:rFonts w:asciiTheme="minorHAnsi" w:hAnsiTheme="minorHAnsi" w:cstheme="minorHAnsi"/>
                <w:lang w:val="fr-FR"/>
              </w:rPr>
              <w:t>CO</w:t>
            </w:r>
            <w:r w:rsidR="00604E51">
              <w:rPr>
                <w:rFonts w:asciiTheme="minorHAnsi" w:hAnsiTheme="minorHAnsi" w:cstheme="minorHAnsi"/>
                <w:lang w:val="fr-FR"/>
              </w:rPr>
              <w:t>GMOOD</w:t>
            </w:r>
            <w:r w:rsidRPr="006A6F94">
              <w:rPr>
                <w:rFonts w:asciiTheme="minorHAnsi" w:hAnsiTheme="minorHAnsi" w:cstheme="minorHAnsi"/>
                <w:lang w:val="fr-FR"/>
              </w:rPr>
              <w:t> : étude des liens entre anxiété</w:t>
            </w:r>
            <w:r w:rsidR="00FC686B">
              <w:rPr>
                <w:rFonts w:asciiTheme="minorHAnsi" w:hAnsiTheme="minorHAnsi" w:cstheme="minorHAnsi"/>
                <w:lang w:val="fr-FR"/>
              </w:rPr>
              <w:t>/</w:t>
            </w:r>
            <w:r w:rsidRPr="006A6F94">
              <w:rPr>
                <w:rFonts w:asciiTheme="minorHAnsi" w:hAnsiTheme="minorHAnsi" w:cstheme="minorHAnsi"/>
                <w:lang w:val="fr-FR"/>
              </w:rPr>
              <w:t xml:space="preserve">humeur et processus cognitifs </w:t>
            </w:r>
          </w:p>
        </w:tc>
      </w:tr>
      <w:tr w:rsidR="001776FA" w:rsidRPr="000E2F2F" w14:paraId="6F13F48A" w14:textId="77777777"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5E4AB61B"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14:paraId="73390F7C" w14:textId="77777777"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14:paraId="1185BA47" w14:textId="77777777"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6B9952EF" w14:textId="183A7421"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14:paraId="740F7DF4"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14:paraId="115FDF79"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14:paraId="260CD2BD"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14:paraId="54FD75D3"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Brain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14:paraId="1A9DFF57" w14:textId="77777777"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14:paraId="3A595E5C" w14:textId="77777777"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14:paraId="1BCC730B" w14:textId="77777777"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2B5AA34F" w14:textId="498E8064"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14:paraId="4F37E717" w14:textId="77777777"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14:paraId="2EA92B95" w14:textId="77777777"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14:paraId="2AF9BEE2" w14:textId="77777777"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14:paraId="4A1CB014"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499BD026" w14:textId="77777777" w:rsidR="009D3267" w:rsidRPr="006A6F94" w:rsidRDefault="009D3267" w:rsidP="006A6F94">
            <w:pPr>
              <w:spacing w:line="276" w:lineRule="auto"/>
              <w:jc w:val="both"/>
              <w:rPr>
                <w:rFonts w:asciiTheme="minorHAnsi" w:hAnsiTheme="minorHAnsi" w:cstheme="minorHAnsi"/>
              </w:rPr>
            </w:pPr>
          </w:p>
          <w:p w14:paraId="798D1652" w14:textId="77777777"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14:paraId="349E43CC" w14:textId="77777777"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14:paraId="369BB443" w14:textId="77777777"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14:paraId="0E5F4F4D" w14:textId="77777777" w:rsidR="009D3267" w:rsidRPr="006A6F94" w:rsidRDefault="009D3267" w:rsidP="006A6F94">
            <w:pPr>
              <w:spacing w:line="276" w:lineRule="auto"/>
              <w:ind w:left="4"/>
              <w:jc w:val="both"/>
              <w:rPr>
                <w:rFonts w:asciiTheme="minorHAnsi" w:hAnsiTheme="minorHAnsi" w:cstheme="minorHAnsi"/>
              </w:rPr>
            </w:pPr>
          </w:p>
          <w:p w14:paraId="7971F218" w14:textId="77777777"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14:paraId="23617A9B" w14:textId="77777777"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14:paraId="6DA957C2" w14:textId="77777777"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14:paraId="1498AA4F" w14:textId="77777777" w:rsidR="0099173B" w:rsidRPr="00973F99" w:rsidRDefault="0099173B" w:rsidP="006A6F94">
            <w:pPr>
              <w:spacing w:line="276" w:lineRule="auto"/>
              <w:ind w:left="4"/>
              <w:jc w:val="both"/>
              <w:rPr>
                <w:rFonts w:asciiTheme="minorHAnsi" w:hAnsiTheme="minorHAnsi" w:cstheme="minorHAnsi"/>
                <w:lang w:val="en-US"/>
              </w:rPr>
            </w:pPr>
          </w:p>
          <w:p w14:paraId="3FCA63DA" w14:textId="77777777"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14:paraId="52658327" w14:textId="77777777"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14:paraId="17EDE08E" w14:textId="7AE06693" w:rsidR="00973F99" w:rsidRPr="00973F99" w:rsidRDefault="00973F99" w:rsidP="009F43B5">
            <w:pPr>
              <w:spacing w:line="276" w:lineRule="auto"/>
              <w:jc w:val="both"/>
              <w:rPr>
                <w:rFonts w:asciiTheme="minorHAnsi" w:hAnsiTheme="minorHAnsi" w:cstheme="minorHAnsi"/>
                <w:b/>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tc>
      </w:tr>
      <w:tr w:rsidR="0099173B" w:rsidRPr="00610AB1" w14:paraId="75E3C3CC" w14:textId="77777777"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D661D1A" w14:textId="77777777"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14:paraId="21773973" w14:textId="77777777"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14:paraId="5607FE1B"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3DDB4CD7"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14:paraId="211FA4F5" w14:textId="77B1E2B6" w:rsidR="0099173B" w:rsidRPr="006A6F94" w:rsidRDefault="00610AB1" w:rsidP="006A6F94">
            <w:pPr>
              <w:spacing w:line="276" w:lineRule="auto"/>
              <w:ind w:left="4"/>
              <w:jc w:val="both"/>
              <w:rPr>
                <w:rFonts w:asciiTheme="minorHAnsi" w:hAnsiTheme="minorHAnsi" w:cstheme="minorHAnsi"/>
                <w:lang w:val="fr-FR"/>
              </w:rPr>
            </w:pPr>
            <w:r>
              <w:rPr>
                <w:rFonts w:asciiTheme="minorHAnsi" w:hAnsiTheme="minorHAnsi" w:cstheme="minorHAnsi"/>
                <w:lang w:val="fr-FR"/>
              </w:rPr>
              <w:t xml:space="preserve">Juin </w:t>
            </w:r>
            <w:r w:rsidR="00534017" w:rsidRPr="006A6F94">
              <w:rPr>
                <w:rFonts w:asciiTheme="minorHAnsi" w:hAnsiTheme="minorHAnsi" w:cstheme="minorHAnsi"/>
                <w:lang w:val="fr-FR"/>
              </w:rPr>
              <w:t>2020</w:t>
            </w:r>
          </w:p>
        </w:tc>
      </w:tr>
      <w:tr w:rsidR="0099173B" w:rsidRPr="00FC686B" w14:paraId="3608BAFD" w14:textId="77777777"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BAC2701"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14:paraId="666118FE" w14:textId="1FA4AD4F" w:rsidR="0099173B" w:rsidRPr="006A6F94" w:rsidRDefault="00534017" w:rsidP="00FC686B">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FC686B">
              <w:rPr>
                <w:rFonts w:asciiTheme="minorHAnsi" w:hAnsiTheme="minorHAnsi" w:cstheme="minorHAnsi"/>
                <w:lang w:val="fr-FR"/>
              </w:rPr>
              <w:t>(</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w:t>
            </w:r>
            <w:r w:rsidR="00FC686B">
              <w:rPr>
                <w:rFonts w:asciiTheme="minorHAnsi" w:hAnsiTheme="minorHAnsi" w:cstheme="minorHAnsi"/>
                <w:lang w:val="fr-FR"/>
              </w:rPr>
              <w:t>)</w:t>
            </w:r>
          </w:p>
        </w:tc>
      </w:tr>
      <w:tr w:rsidR="0099173B" w:rsidRPr="00610AB1" w14:paraId="63DE117C" w14:textId="77777777"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14:paraId="07FA5946"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14:paraId="2A3F9258" w14:textId="2761A8D0"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4B4819">
              <w:rPr>
                <w:rFonts w:asciiTheme="minorHAnsi" w:hAnsiTheme="minorHAnsi" w:cstheme="minorHAnsi"/>
                <w:lang w:val="fr-FR"/>
              </w:rPr>
              <w:t xml:space="preserve"> personnel du/de la participant</w:t>
            </w:r>
            <w:r w:rsidR="00DB7C43">
              <w:rPr>
                <w:rFonts w:asciiTheme="minorHAnsi" w:hAnsiTheme="minorHAnsi" w:cstheme="minorHAnsi"/>
                <w:lang w:val="fr-FR"/>
              </w:rPr>
              <w:t>(e)</w:t>
            </w:r>
            <w:r w:rsidR="00973F99">
              <w:rPr>
                <w:rFonts w:asciiTheme="minorHAnsi" w:hAnsiTheme="minorHAnsi" w:cstheme="minorHAnsi"/>
                <w:lang w:val="fr-FR"/>
              </w:rPr>
              <w:t>, à son domicile</w:t>
            </w:r>
            <w:r w:rsidR="00534017" w:rsidRPr="006A6F94">
              <w:rPr>
                <w:rFonts w:asciiTheme="minorHAnsi" w:hAnsiTheme="minorHAnsi" w:cstheme="minorHAnsi"/>
                <w:lang w:val="fr-FR"/>
              </w:rPr>
              <w:t xml:space="preserve">. </w:t>
            </w:r>
          </w:p>
        </w:tc>
      </w:tr>
    </w:tbl>
    <w:p w14:paraId="5951A1E1" w14:textId="77777777"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14:paraId="2BE1E887" w14:textId="77777777" w:rsidR="00615472" w:rsidRDefault="00615472" w:rsidP="006A6F94">
      <w:pPr>
        <w:spacing w:after="165" w:line="276" w:lineRule="auto"/>
        <w:jc w:val="both"/>
        <w:rPr>
          <w:rFonts w:asciiTheme="minorHAnsi" w:hAnsiTheme="minorHAnsi" w:cstheme="minorHAnsi"/>
          <w:i/>
          <w:lang w:val="fr-FR"/>
        </w:rPr>
      </w:pPr>
    </w:p>
    <w:p w14:paraId="31A194FE" w14:textId="77777777" w:rsidR="00615472" w:rsidRDefault="00615472" w:rsidP="006A6F94">
      <w:pPr>
        <w:spacing w:after="165" w:line="276" w:lineRule="auto"/>
        <w:jc w:val="both"/>
        <w:rPr>
          <w:rFonts w:asciiTheme="minorHAnsi" w:hAnsiTheme="minorHAnsi" w:cstheme="minorHAnsi"/>
          <w:i/>
          <w:lang w:val="fr-FR"/>
        </w:rPr>
      </w:pPr>
    </w:p>
    <w:p w14:paraId="2BBC1ACB" w14:textId="14A24E46"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14:paraId="6A5CA05B" w14:textId="77777777" w:rsidR="0099173B" w:rsidRPr="006A6F94" w:rsidRDefault="0099173B" w:rsidP="006A6F94">
      <w:pPr>
        <w:spacing w:after="196" w:line="276" w:lineRule="auto"/>
        <w:ind w:left="61"/>
        <w:jc w:val="both"/>
        <w:rPr>
          <w:rFonts w:asciiTheme="minorHAnsi" w:hAnsiTheme="minorHAnsi" w:cstheme="minorHAnsi"/>
        </w:rPr>
      </w:pPr>
    </w:p>
    <w:p w14:paraId="7E80AF40"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14:paraId="29D0358B" w14:textId="5DF080AA"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r w:rsidR="00FC686B">
        <w:rPr>
          <w:rFonts w:asciiTheme="minorHAnsi" w:hAnsiTheme="minorHAnsi" w:cstheme="minorHAnsi"/>
        </w:rPr>
        <w:t>ended on</w:t>
      </w:r>
      <w:r w:rsidRPr="006A6F94">
        <w:rPr>
          <w:rFonts w:asciiTheme="minorHAnsi" w:hAnsiTheme="minorHAnsi" w:cstheme="minorHAnsi"/>
        </w:rPr>
        <w:t xml:space="preserve"> the 18th of May 2020. </w:t>
      </w:r>
      <w:r w:rsidR="00FC686B">
        <w:rPr>
          <w:rFonts w:asciiTheme="minorHAnsi" w:hAnsiTheme="minorHAnsi" w:cstheme="minorHAnsi"/>
        </w:rPr>
        <w:t>Most</w:t>
      </w:r>
      <w:r w:rsidRPr="006A6F94">
        <w:rPr>
          <w:rFonts w:asciiTheme="minorHAnsi" w:hAnsiTheme="minorHAnsi" w:cstheme="minorHAnsi"/>
        </w:rPr>
        <w:t xml:space="preserve"> people </w:t>
      </w:r>
      <w:r w:rsidR="00FC686B">
        <w:rPr>
          <w:rFonts w:asciiTheme="minorHAnsi" w:hAnsiTheme="minorHAnsi" w:cstheme="minorHAnsi"/>
        </w:rPr>
        <w:t>we</w:t>
      </w:r>
      <w:r w:rsidRPr="006A6F94">
        <w:rPr>
          <w:rFonts w:asciiTheme="minorHAnsi" w:hAnsiTheme="minorHAnsi" w:cstheme="minorHAnsi"/>
        </w:rPr>
        <w:t xml:space="preserve">re staying at home, in a situation of partial social isolation. In turn, this </w:t>
      </w:r>
      <w:r w:rsidR="00FC686B">
        <w:rPr>
          <w:rFonts w:asciiTheme="minorHAnsi" w:hAnsiTheme="minorHAnsi" w:cstheme="minorHAnsi"/>
        </w:rPr>
        <w:t>has</w:t>
      </w:r>
      <w:r w:rsidRPr="006A6F94">
        <w:rPr>
          <w:rFonts w:asciiTheme="minorHAnsi" w:hAnsiTheme="minorHAnsi" w:cstheme="minorHAnsi"/>
        </w:rPr>
        <w:t xml:space="preserve"> induce</w:t>
      </w:r>
      <w:r w:rsidR="00FC686B">
        <w:rPr>
          <w:rFonts w:asciiTheme="minorHAnsi" w:hAnsiTheme="minorHAnsi" w:cstheme="minorHAnsi"/>
        </w:rPr>
        <w:t>d</w:t>
      </w:r>
      <w:r w:rsidRPr="006A6F94">
        <w:rPr>
          <w:rFonts w:asciiTheme="minorHAnsi" w:hAnsiTheme="minorHAnsi" w:cstheme="minorHAnsi"/>
        </w:rPr>
        <w:t xml:space="preserve"> psychological distress, which may </w:t>
      </w:r>
      <w:r w:rsidR="00FC686B">
        <w:rPr>
          <w:rFonts w:asciiTheme="minorHAnsi" w:hAnsiTheme="minorHAnsi" w:cstheme="minorHAnsi"/>
        </w:rPr>
        <w:t xml:space="preserve">have </w:t>
      </w:r>
      <w:r w:rsidRPr="006A6F94">
        <w:rPr>
          <w:rFonts w:asciiTheme="minorHAnsi" w:hAnsiTheme="minorHAnsi" w:cstheme="minorHAnsi"/>
        </w:rPr>
        <w:t>result</w:t>
      </w:r>
      <w:r w:rsidR="00FC686B">
        <w:rPr>
          <w:rFonts w:asciiTheme="minorHAnsi" w:hAnsiTheme="minorHAnsi" w:cstheme="minorHAnsi"/>
        </w:rPr>
        <w:t>ed</w:t>
      </w:r>
      <w:r w:rsidRPr="006A6F94">
        <w:rPr>
          <w:rFonts w:asciiTheme="minorHAnsi" w:hAnsiTheme="minorHAnsi" w:cstheme="minorHAnsi"/>
        </w:rPr>
        <w:t xml:space="preserve"> in elevated anxiety and/or depressed mood. </w:t>
      </w:r>
      <w:r w:rsidR="00FC686B">
        <w:rPr>
          <w:rFonts w:asciiTheme="minorHAnsi" w:hAnsiTheme="minorHAnsi" w:cstheme="minorHAnsi"/>
        </w:rPr>
        <w:t>Even now, mood and anxiety might still be unstable.</w:t>
      </w:r>
    </w:p>
    <w:p w14:paraId="33A2E2C0" w14:textId="77777777"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14:paraId="0AE19DA5" w14:textId="77777777"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14:paraId="0C6977C5" w14:textId="62310EDD" w:rsidR="00720E90" w:rsidRDefault="00720E90" w:rsidP="006A6F94">
      <w:pPr>
        <w:spacing w:after="3" w:line="276" w:lineRule="auto"/>
        <w:jc w:val="both"/>
        <w:rPr>
          <w:rFonts w:asciiTheme="minorHAnsi" w:hAnsiTheme="minorHAnsi" w:cstheme="minorHAnsi"/>
        </w:rPr>
      </w:pPr>
    </w:p>
    <w:p w14:paraId="0F14140C" w14:textId="77777777" w:rsidR="00183997" w:rsidRPr="006A6F94" w:rsidRDefault="00183997" w:rsidP="006A6F94">
      <w:pPr>
        <w:spacing w:after="3" w:line="276" w:lineRule="auto"/>
        <w:jc w:val="both"/>
        <w:rPr>
          <w:rFonts w:asciiTheme="minorHAnsi" w:hAnsiTheme="minorHAnsi" w:cstheme="minorHAnsi"/>
        </w:rPr>
      </w:pPr>
    </w:p>
    <w:p w14:paraId="45247637"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14:paraId="22D7F7EB" w14:textId="50DF87CA" w:rsidR="003311ED"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t>
      </w:r>
      <w:proofErr w:type="gramStart"/>
      <w:r w:rsidRPr="006A6F94">
        <w:rPr>
          <w:rFonts w:asciiTheme="minorHAnsi" w:hAnsiTheme="minorHAnsi" w:cstheme="minorHAnsi"/>
        </w:rPr>
        <w:t>web testing</w:t>
      </w:r>
      <w:proofErr w:type="gramEnd"/>
      <w:r w:rsidRPr="006A6F94">
        <w:rPr>
          <w:rFonts w:asciiTheme="minorHAnsi" w:hAnsiTheme="minorHAnsi" w:cstheme="minorHAnsi"/>
        </w:rPr>
        <w:t xml:space="preserve">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situation. Participants will receive a financial retribution th</w:t>
      </w:r>
      <w:r w:rsidR="00FC686B">
        <w:rPr>
          <w:rFonts w:asciiTheme="minorHAnsi" w:hAnsiTheme="minorHAnsi" w:cstheme="minorHAnsi"/>
        </w:rPr>
        <w:t>at consists of a base salary (</w:t>
      </w:r>
      <w:proofErr w:type="gramStart"/>
      <w:r w:rsidR="00FC686B" w:rsidRPr="00C45029">
        <w:rPr>
          <w:rFonts w:asciiTheme="minorHAnsi" w:hAnsiTheme="minorHAnsi" w:cstheme="minorHAnsi"/>
        </w:rPr>
        <w:t>8</w:t>
      </w:r>
      <w:proofErr w:type="gramEnd"/>
      <w:r w:rsidRPr="00C45029">
        <w:rPr>
          <w:rFonts w:asciiTheme="minorHAnsi" w:hAnsiTheme="minorHAnsi" w:cstheme="minorHAnsi"/>
        </w:rPr>
        <w:t>€ per testing session</w:t>
      </w:r>
      <w:r w:rsidRPr="006A6F94">
        <w:rPr>
          <w:rFonts w:asciiTheme="minorHAnsi" w:hAnsiTheme="minorHAnsi" w:cstheme="minorHAnsi"/>
        </w:rPr>
        <w:t xml:space="preserve">)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w:t>
      </w:r>
      <w:r w:rsidRPr="00C45029">
        <w:rPr>
          <w:rFonts w:asciiTheme="minorHAnsi" w:hAnsiTheme="minorHAnsi" w:cstheme="minorHAnsi"/>
        </w:rPr>
        <w:t xml:space="preserve">maximum </w:t>
      </w:r>
      <w:r w:rsidR="00FC686B" w:rsidRPr="00C45029">
        <w:rPr>
          <w:rFonts w:asciiTheme="minorHAnsi" w:hAnsiTheme="minorHAnsi" w:cstheme="minorHAnsi"/>
        </w:rPr>
        <w:t>8</w:t>
      </w:r>
      <w:r w:rsidRPr="00C45029">
        <w:rPr>
          <w:rFonts w:asciiTheme="minorHAnsi" w:hAnsiTheme="minorHAnsi" w:cstheme="minorHAnsi"/>
        </w:rPr>
        <w:t>€ per session</w:t>
      </w:r>
      <w:r w:rsidRPr="006A6F94">
        <w:rPr>
          <w:rFonts w:asciiTheme="minorHAnsi" w:hAnsiTheme="minorHAnsi" w:cstheme="minorHAnsi"/>
        </w:rPr>
        <w:t>), which we detail below.</w:t>
      </w:r>
    </w:p>
    <w:p w14:paraId="74CA0F93" w14:textId="5E1F316D" w:rsidR="00C45029" w:rsidRPr="006A6F94" w:rsidRDefault="00C45029" w:rsidP="00C45029">
      <w:pPr>
        <w:pStyle w:val="Paragraphedeliste"/>
        <w:spacing w:line="276" w:lineRule="auto"/>
        <w:ind w:left="0" w:firstLine="0"/>
        <w:rPr>
          <w:rFonts w:asciiTheme="minorHAnsi" w:hAnsiTheme="minorHAnsi" w:cstheme="minorHAnsi"/>
          <w:szCs w:val="22"/>
        </w:rPr>
      </w:pPr>
      <w:r>
        <w:rPr>
          <w:rFonts w:asciiTheme="minorHAnsi" w:hAnsiTheme="minorHAnsi" w:cstheme="minorHAnsi"/>
        </w:rPr>
        <w:t xml:space="preserve">In terms of experimental scheduling, </w:t>
      </w:r>
      <w:r>
        <w:rPr>
          <w:rFonts w:asciiTheme="minorHAnsi" w:hAnsiTheme="minorHAnsi" w:cstheme="minorHAnsi"/>
          <w:szCs w:val="22"/>
        </w:rPr>
        <w:t>w</w:t>
      </w:r>
      <w:r w:rsidRPr="006A6F94">
        <w:rPr>
          <w:rFonts w:asciiTheme="minorHAnsi" w:hAnsiTheme="minorHAnsi" w:cstheme="minorHAnsi"/>
          <w:szCs w:val="22"/>
        </w:rPr>
        <w:t xml:space="preserve">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 Therefore, we set the testing schedule as follows:</w:t>
      </w:r>
    </w:p>
    <w:p w14:paraId="06C4707E" w14:textId="77777777" w:rsidR="00C45029" w:rsidRDefault="00C45029" w:rsidP="00C45029">
      <w:pPr>
        <w:pStyle w:val="Paragraphedeliste"/>
        <w:numPr>
          <w:ilvl w:val="0"/>
          <w:numId w:val="5"/>
        </w:numPr>
        <w:spacing w:after="160" w:line="259" w:lineRule="auto"/>
      </w:pPr>
      <w:r>
        <w:t>Months #1 and #2: every week, with a 4-days testing window (starting each Friday).</w:t>
      </w:r>
    </w:p>
    <w:p w14:paraId="391C4F71" w14:textId="77777777" w:rsidR="00C45029" w:rsidRDefault="00C45029" w:rsidP="00C45029">
      <w:pPr>
        <w:pStyle w:val="Paragraphedeliste"/>
        <w:numPr>
          <w:ilvl w:val="0"/>
          <w:numId w:val="5"/>
        </w:numPr>
        <w:spacing w:after="160" w:line="259" w:lineRule="auto"/>
      </w:pPr>
      <w:r>
        <w:t>Months #3 and #4: every two weeks, with a 4-days testing window (starting each Friday).</w:t>
      </w:r>
    </w:p>
    <w:p w14:paraId="2A69268D" w14:textId="3CF9EBCD" w:rsidR="00C45029" w:rsidRPr="00183997" w:rsidRDefault="00C45029" w:rsidP="00183997">
      <w:pPr>
        <w:pStyle w:val="Paragraphedeliste"/>
        <w:numPr>
          <w:ilvl w:val="0"/>
          <w:numId w:val="5"/>
        </w:numPr>
        <w:spacing w:after="160" w:line="259" w:lineRule="auto"/>
      </w:pPr>
      <w:r>
        <w:t>Months #5 and #6: every month, with a 4-days testing window (starting each Friday).</w:t>
      </w:r>
    </w:p>
    <w:p w14:paraId="524EC757" w14:textId="77777777"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Note: we will need to contact </w:t>
      </w:r>
      <w:proofErr w:type="gramStart"/>
      <w:r w:rsidRPr="006A6F94">
        <w:rPr>
          <w:rFonts w:asciiTheme="minorHAnsi" w:hAnsiTheme="minorHAnsi" w:cstheme="minorHAnsi"/>
        </w:rPr>
        <w:t>each participant by email according to the testing schedule, in order to remind them</w:t>
      </w:r>
      <w:proofErr w:type="gramEnd"/>
      <w:r w:rsidRPr="006A6F94">
        <w:rPr>
          <w:rFonts w:asciiTheme="minorHAnsi" w:hAnsiTheme="minorHAnsi" w:cstheme="minorHAnsi"/>
        </w:rPr>
        <w:t xml:space="preserve"> of the timing of testing session.</w:t>
      </w:r>
    </w:p>
    <w:p w14:paraId="33422DB2" w14:textId="77777777" w:rsidR="00DF76B4" w:rsidRPr="006A6F94" w:rsidRDefault="00DF76B4" w:rsidP="006A6F94">
      <w:pPr>
        <w:spacing w:after="3" w:line="276" w:lineRule="auto"/>
        <w:jc w:val="both"/>
        <w:rPr>
          <w:rFonts w:asciiTheme="minorHAnsi" w:hAnsiTheme="minorHAnsi" w:cstheme="minorHAnsi"/>
        </w:rPr>
      </w:pPr>
    </w:p>
    <w:p w14:paraId="0CDFDE62"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3630B7B" w14:textId="77777777"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14:paraId="09BC11CD"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14:paraId="0F03AE1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w:t>
      </w:r>
      <w:proofErr w:type="gramStart"/>
      <w:r w:rsidRPr="006A6F94">
        <w:rPr>
          <w:rFonts w:asciiTheme="minorHAnsi" w:hAnsiTheme="minorHAnsi" w:cstheme="minorHAnsi"/>
        </w:rPr>
        <w:t>be distracted</w:t>
      </w:r>
      <w:proofErr w:type="gramEnd"/>
      <w:r w:rsidRPr="006A6F94">
        <w:rPr>
          <w:rFonts w:asciiTheme="minorHAnsi" w:hAnsiTheme="minorHAnsi" w:cstheme="minorHAnsi"/>
        </w:rPr>
        <w:t xml:space="preserve"> by an emotional stimulus rather than prioritize the attentional processing of an information that is relevant </w:t>
      </w:r>
      <w:r w:rsidRPr="006A6F94">
        <w:rPr>
          <w:rFonts w:asciiTheme="minorHAnsi" w:hAnsiTheme="minorHAnsi" w:cstheme="minorHAnsi"/>
        </w:rPr>
        <w:lastRenderedPageBreak/>
        <w:t>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1B3A0F7B"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w:t>
      </w:r>
      <w:proofErr w:type="gramStart"/>
      <w:r w:rsidRPr="006A6F94">
        <w:rPr>
          <w:rFonts w:asciiTheme="minorHAnsi" w:hAnsiTheme="minorHAnsi" w:cstheme="minorHAnsi"/>
        </w:rPr>
        <w:t>are briefly presented</w:t>
      </w:r>
      <w:proofErr w:type="gramEnd"/>
      <w:r w:rsidRPr="006A6F94">
        <w:rPr>
          <w:rFonts w:asciiTheme="minorHAnsi" w:hAnsiTheme="minorHAnsi" w:cstheme="minorHAnsi"/>
        </w:rPr>
        <w:t xml:space="preserve"> to the participant in a continuous flow. Participants have to detect the gender of the “target” face, which </w:t>
      </w:r>
      <w:proofErr w:type="gramStart"/>
      <w:r w:rsidRPr="006A6F94">
        <w:rPr>
          <w:rFonts w:asciiTheme="minorHAnsi" w:hAnsiTheme="minorHAnsi" w:cstheme="minorHAnsi"/>
        </w:rPr>
        <w:t>is shown</w:t>
      </w:r>
      <w:proofErr w:type="gramEnd"/>
      <w:r w:rsidRPr="006A6F94">
        <w:rPr>
          <w:rFonts w:asciiTheme="minorHAnsi" w:hAnsiTheme="minorHAnsi" w:cstheme="minorHAnsi"/>
        </w:rPr>
        <w:t xml:space="preserve">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14:paraId="1D70AFD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14:paraId="07166988"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14:paraId="01DB3025" w14:textId="77777777"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14:paraId="50D2B59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14:paraId="1FB5213A" w14:textId="602704AF" w:rsidR="003311ED" w:rsidRDefault="00FC686B" w:rsidP="00FC686B">
      <w:pPr>
        <w:pStyle w:val="Paragraphedeliste"/>
        <w:spacing w:line="276" w:lineRule="auto"/>
        <w:ind w:left="0" w:firstLine="0"/>
      </w:pPr>
      <w:r>
        <w:t>Participants’ performance-dependant bonus depends upon the accuracy of their responses during each session (</w:t>
      </w:r>
      <w:proofErr w:type="gramStart"/>
      <w:r w:rsidRPr="00C45029">
        <w:t>1</w:t>
      </w:r>
      <w:proofErr w:type="gramEnd"/>
      <w:r w:rsidRPr="00C45029">
        <w:t xml:space="preserve"> trial is randomly selected in each reward condition, yielding a maximal bonus of 2.05€</w:t>
      </w:r>
      <w:r>
        <w:t>).</w:t>
      </w:r>
    </w:p>
    <w:p w14:paraId="53EBA78E" w14:textId="77777777" w:rsidR="00FC686B" w:rsidRPr="006A6F94" w:rsidRDefault="00FC686B" w:rsidP="00FC686B">
      <w:pPr>
        <w:pStyle w:val="Paragraphedeliste"/>
        <w:spacing w:line="276" w:lineRule="auto"/>
        <w:ind w:left="0" w:firstLine="0"/>
        <w:rPr>
          <w:rFonts w:asciiTheme="minorHAnsi" w:hAnsiTheme="minorHAnsi" w:cstheme="minorHAnsi"/>
          <w:szCs w:val="22"/>
        </w:rPr>
      </w:pPr>
    </w:p>
    <w:p w14:paraId="02C8661F"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14:paraId="5D0261A4"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14:paraId="3F68BB21"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xml:space="preserve">) the perception, recognition and/or understanding of others’ beliefs, preferences and emotions, and (ii) the ability to influence and/or </w:t>
      </w:r>
      <w:proofErr w:type="gramStart"/>
      <w:r w:rsidRPr="006A6F94">
        <w:rPr>
          <w:rFonts w:asciiTheme="minorHAnsi" w:hAnsiTheme="minorHAnsi" w:cstheme="minorHAnsi"/>
        </w:rPr>
        <w:t>be influenced</w:t>
      </w:r>
      <w:proofErr w:type="gramEnd"/>
      <w:r w:rsidRPr="006A6F94">
        <w:rPr>
          <w:rFonts w:asciiTheme="minorHAnsi" w:hAnsiTheme="minorHAnsi" w:cstheme="minorHAnsi"/>
        </w:rPr>
        <w:t xml:space="preserve">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14:paraId="2FDFB6B5"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w:t>
      </w:r>
      <w:proofErr w:type="spellStart"/>
      <w:r w:rsidRPr="006A6F94">
        <w:rPr>
          <w:rFonts w:asciiTheme="minorHAnsi" w:hAnsiTheme="minorHAnsi" w:cstheme="minorHAnsi"/>
        </w:rPr>
        <w:t>Daunizeau</w:t>
      </w:r>
      <w:proofErr w:type="spellEnd"/>
      <w:r w:rsidRPr="006A6F94">
        <w:rPr>
          <w:rFonts w:asciiTheme="minorHAnsi" w:hAnsiTheme="minorHAnsi" w:cstheme="minorHAnsi"/>
        </w:rPr>
        <w:t xml:space="preserve">,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w:t>
      </w:r>
      <w:proofErr w:type="gramStart"/>
      <w:r w:rsidRPr="006A6F94">
        <w:rPr>
          <w:rFonts w:asciiTheme="minorHAnsi" w:hAnsiTheme="minorHAnsi" w:cstheme="minorHAnsi"/>
        </w:rPr>
        <w:t>are matched</w:t>
      </w:r>
      <w:proofErr w:type="gramEnd"/>
      <w:r w:rsidRPr="006A6F94">
        <w:rPr>
          <w:rFonts w:asciiTheme="minorHAnsi" w:hAnsiTheme="minorHAnsi" w:cstheme="minorHAnsi"/>
        </w:rPr>
        <w:t xml:space="preserve">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w:t>
      </w:r>
      <w:proofErr w:type="gramStart"/>
      <w:r w:rsidRPr="006A6F94">
        <w:rPr>
          <w:rFonts w:asciiTheme="minorHAnsi" w:hAnsiTheme="minorHAnsi" w:cstheme="minorHAnsi"/>
        </w:rPr>
        <w:t>to progressively learn</w:t>
      </w:r>
      <w:proofErr w:type="gramEnd"/>
      <w:r w:rsidRPr="006A6F94">
        <w:rPr>
          <w:rFonts w:asciiTheme="minorHAnsi" w:hAnsiTheme="minorHAnsi" w:cstheme="minorHAnsi"/>
        </w:rPr>
        <w:t xml:space="preserve"> the risk attitude of “dummy participants”, who are presented with similar alternative options. In fact, dummy participants are artificial decision makers that reproduce realistic people behaviour. At each trial, we show participants what options </w:t>
      </w:r>
      <w:proofErr w:type="gramStart"/>
      <w:r w:rsidRPr="006A6F94">
        <w:rPr>
          <w:rFonts w:asciiTheme="minorHAnsi" w:hAnsiTheme="minorHAnsi" w:cstheme="minorHAnsi"/>
        </w:rPr>
        <w:t>are offered</w:t>
      </w:r>
      <w:proofErr w:type="gramEnd"/>
      <w:r w:rsidRPr="006A6F94">
        <w:rPr>
          <w:rFonts w:asciiTheme="minorHAnsi" w:hAnsiTheme="minorHAnsi" w:cstheme="minorHAnsi"/>
        </w:rPr>
        <w:t xml:space="preserve">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14:paraId="34710FCD"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14:paraId="70780156" w14:textId="77777777"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14:paraId="46D84697"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w:t>
      </w:r>
      <w:proofErr w:type="gramStart"/>
      <w:r w:rsidRPr="006A6F94">
        <w:rPr>
          <w:rFonts w:asciiTheme="minorHAnsi" w:hAnsiTheme="minorHAnsi" w:cstheme="minorHAnsi"/>
          <w:szCs w:val="22"/>
        </w:rPr>
        <w:t>5</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t>
      </w:r>
      <w:proofErr w:type="gramStart"/>
      <w:r w:rsidRPr="006A6F94">
        <w:rPr>
          <w:rFonts w:asciiTheme="minorHAnsi" w:hAnsiTheme="minorHAnsi" w:cstheme="minorHAnsi"/>
          <w:szCs w:val="22"/>
        </w:rPr>
        <w:t>whose</w:t>
      </w:r>
      <w:proofErr w:type="gramEnd"/>
      <w:r w:rsidRPr="006A6F94">
        <w:rPr>
          <w:rFonts w:asciiTheme="minorHAnsi" w:hAnsiTheme="minorHAnsi" w:cstheme="minorHAnsi"/>
          <w:szCs w:val="22"/>
        </w:rPr>
        <w:t xml:space="preserv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14:paraId="7218DC8E" w14:textId="77777777"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w:t>
      </w:r>
      <w:proofErr w:type="gramStart"/>
      <w:r w:rsidRPr="006A6F94">
        <w:rPr>
          <w:rFonts w:asciiTheme="minorHAnsi" w:hAnsiTheme="minorHAnsi" w:cstheme="minorHAnsi"/>
          <w:szCs w:val="22"/>
        </w:rPr>
        <w:t>1</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proofErr w:type="gramStart"/>
      <w:r w:rsidR="00032007" w:rsidRPr="006A6F94">
        <w:rPr>
          <w:rFonts w:asciiTheme="minorHAnsi" w:hAnsiTheme="minorHAnsi" w:cstheme="minorHAnsi"/>
          <w:szCs w:val="22"/>
        </w:rPr>
        <w:t xml:space="preserve">are </w:t>
      </w:r>
      <w:r w:rsidRPr="006A6F94">
        <w:rPr>
          <w:rFonts w:asciiTheme="minorHAnsi" w:hAnsiTheme="minorHAnsi" w:cstheme="minorHAnsi"/>
          <w:szCs w:val="22"/>
        </w:rPr>
        <w:t>then told</w:t>
      </w:r>
      <w:proofErr w:type="gramEnd"/>
      <w:r w:rsidRPr="006A6F94">
        <w:rPr>
          <w:rFonts w:asciiTheme="minorHAnsi" w:hAnsiTheme="minorHAnsi" w:cstheme="minorHAnsi"/>
          <w:szCs w:val="22"/>
        </w:rPr>
        <w:t xml:space="preserve">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14:paraId="3ED21B49" w14:textId="77777777" w:rsidR="003311ED" w:rsidRPr="006A6F94" w:rsidRDefault="003311ED" w:rsidP="006A6F94">
      <w:pPr>
        <w:pStyle w:val="Paragraphedeliste"/>
        <w:spacing w:line="276" w:lineRule="auto"/>
        <w:ind w:left="0"/>
        <w:rPr>
          <w:rFonts w:asciiTheme="minorHAnsi" w:hAnsiTheme="minorHAnsi" w:cstheme="minorHAnsi"/>
          <w:szCs w:val="22"/>
        </w:rPr>
      </w:pPr>
    </w:p>
    <w:p w14:paraId="40DEC477" w14:textId="1E8E2A91" w:rsidR="003311ED" w:rsidRDefault="00FC686B" w:rsidP="006A6F94">
      <w:pPr>
        <w:spacing w:line="276" w:lineRule="auto"/>
        <w:jc w:val="both"/>
      </w:pPr>
      <w:r>
        <w:t xml:space="preserve">Participants’ performance-dependant bonus depends upon the accuracy of their responses in </w:t>
      </w:r>
      <w:r>
        <w:rPr>
          <w:i/>
        </w:rPr>
        <w:t>prediction</w:t>
      </w:r>
      <w:r>
        <w:t xml:space="preserve"> phases during each session (</w:t>
      </w:r>
      <w:proofErr w:type="gramStart"/>
      <w:r w:rsidRPr="00C45029">
        <w:t>1</w:t>
      </w:r>
      <w:proofErr w:type="gramEnd"/>
      <w:r w:rsidRPr="00C45029">
        <w:t xml:space="preserve"> trial is randomly selected, yielding a maximal bonus of 2€</w:t>
      </w:r>
      <w:r>
        <w:t>).</w:t>
      </w:r>
    </w:p>
    <w:p w14:paraId="4F03CEF2" w14:textId="77777777" w:rsidR="00FC686B" w:rsidRPr="006A6F94" w:rsidRDefault="00FC686B" w:rsidP="006A6F94">
      <w:pPr>
        <w:spacing w:line="276" w:lineRule="auto"/>
        <w:jc w:val="both"/>
        <w:rPr>
          <w:rFonts w:asciiTheme="minorHAnsi" w:hAnsiTheme="minorHAnsi" w:cstheme="minorHAnsi"/>
          <w:b/>
        </w:rPr>
      </w:pPr>
    </w:p>
    <w:p w14:paraId="3D23E11F" w14:textId="77777777"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14:paraId="24803E93" w14:textId="77777777"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 xml:space="preserve">ed </w:t>
      </w:r>
      <w:proofErr w:type="spellStart"/>
      <w:r w:rsidR="00AB515F">
        <w:rPr>
          <w:rFonts w:asciiTheme="minorHAnsi" w:hAnsiTheme="minorHAnsi" w:cstheme="minorHAnsi"/>
          <w:szCs w:val="22"/>
        </w:rPr>
        <w:t>parformance</w:t>
      </w:r>
      <w:proofErr w:type="spellEnd"/>
      <w:r w:rsidR="003311ED" w:rsidRPr="006A6F94">
        <w:rPr>
          <w:rFonts w:asciiTheme="minorHAnsi" w:hAnsiTheme="minorHAnsi" w:cstheme="minorHAnsi"/>
          <w:szCs w:val="22"/>
        </w:rPr>
        <w:t xml:space="preserve">, in the sense that it determines </w:t>
      </w:r>
      <w:proofErr w:type="gramStart"/>
      <w:r w:rsidR="003311ED" w:rsidRPr="006A6F94">
        <w:rPr>
          <w:rFonts w:asciiTheme="minorHAnsi" w:hAnsiTheme="minorHAnsi" w:cstheme="minorHAnsi"/>
          <w:szCs w:val="22"/>
        </w:rPr>
        <w:t>one’s</w:t>
      </w:r>
      <w:proofErr w:type="gramEnd"/>
      <w:r w:rsidR="003311ED" w:rsidRPr="006A6F94">
        <w:rPr>
          <w:rFonts w:asciiTheme="minorHAnsi" w:hAnsiTheme="minorHAnsi" w:cstheme="minorHAnsi"/>
          <w:szCs w:val="22"/>
        </w:rPr>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6ED5ED9"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We use a simple short-term memory task that is adapted from the “Memory” game, in which people must learn the location of pairs of twin items within a 4x4 grid of cards. The pairs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sequentially at a rate of one pair per second. On each trial, participants </w:t>
      </w:r>
      <w:proofErr w:type="gramStart"/>
      <w:r w:rsidRPr="006A6F94">
        <w:rPr>
          <w:rFonts w:asciiTheme="minorHAnsi" w:hAnsiTheme="minorHAnsi" w:cstheme="minorHAnsi"/>
          <w:szCs w:val="22"/>
        </w:rPr>
        <w:t>are given</w:t>
      </w:r>
      <w:proofErr w:type="gramEnd"/>
      <w:r w:rsidRPr="006A6F94">
        <w:rPr>
          <w:rFonts w:asciiTheme="minorHAnsi" w:hAnsiTheme="minorHAnsi" w:cstheme="minorHAnsi"/>
          <w:szCs w:val="22"/>
        </w:rPr>
        <w:t xml:space="preserve"> a target number of pairs to remember to win a bonus for that trial. Participants can choose to see one presentation of all the pairs (a so-called “flip”) as many times as they choose during a </w:t>
      </w:r>
      <w:proofErr w:type="gramStart"/>
      <w:r w:rsidRPr="006A6F94">
        <w:rPr>
          <w:rFonts w:asciiTheme="minorHAnsi" w:hAnsiTheme="minorHAnsi" w:cstheme="minorHAnsi"/>
          <w:szCs w:val="22"/>
        </w:rPr>
        <w:t>trial (</w:t>
      </w:r>
      <w:r w:rsidRPr="006A6F94">
        <w:rPr>
          <w:rFonts w:asciiTheme="minorHAnsi" w:hAnsiTheme="minorHAnsi" w:cstheme="minorHAnsi"/>
          <w:i/>
          <w:iCs/>
          <w:szCs w:val="22"/>
        </w:rPr>
        <w:t>encoding</w:t>
      </w:r>
      <w:proofErr w:type="gramEnd"/>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w:t>
      </w:r>
      <w:r w:rsidRPr="006A6F94">
        <w:rPr>
          <w:rFonts w:asciiTheme="minorHAnsi" w:hAnsiTheme="minorHAnsi" w:cstheme="minorHAnsi"/>
          <w:szCs w:val="22"/>
        </w:rPr>
        <w:lastRenderedPageBreak/>
        <w:t xml:space="preserve">Before, they </w:t>
      </w:r>
      <w:proofErr w:type="gramStart"/>
      <w:r w:rsidRPr="006A6F94">
        <w:rPr>
          <w:rFonts w:asciiTheme="minorHAnsi" w:hAnsiTheme="minorHAnsi" w:cstheme="minorHAnsi"/>
          <w:szCs w:val="22"/>
        </w:rPr>
        <w:t>are provided</w:t>
      </w:r>
      <w:proofErr w:type="gramEnd"/>
      <w:r w:rsidRPr="006A6F94">
        <w:rPr>
          <w:rFonts w:asciiTheme="minorHAnsi" w:hAnsiTheme="minorHAnsi" w:cstheme="minorHAnsi"/>
          <w:szCs w:val="22"/>
        </w:rPr>
        <w:t xml:space="preserve">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t>
      </w:r>
      <w:proofErr w:type="gramStart"/>
      <w:r w:rsidRPr="006A6F94">
        <w:rPr>
          <w:rFonts w:asciiTheme="minorHAnsi" w:hAnsiTheme="minorHAnsi" w:cstheme="minorHAnsi"/>
          <w:szCs w:val="22"/>
        </w:rPr>
        <w:t>will not be required</w:t>
      </w:r>
      <w:proofErr w:type="gramEnd"/>
      <w:r w:rsidRPr="006A6F94">
        <w:rPr>
          <w:rFonts w:asciiTheme="minorHAnsi" w:hAnsiTheme="minorHAnsi" w:cstheme="minorHAnsi"/>
          <w:szCs w:val="22"/>
        </w:rPr>
        <w:t xml:space="preserve"> to complete the recall phase and instead simply report how confident they are that they would have achieved the target score. </w:t>
      </w:r>
    </w:p>
    <w:p w14:paraId="3B5C95AE" w14:textId="77777777"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14:paraId="69E70ECC" w14:textId="77777777"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14:paraId="274A611B" w14:textId="2893A446" w:rsidR="00FC686B" w:rsidRPr="00183997" w:rsidRDefault="00FC686B" w:rsidP="00183997">
      <w:r>
        <w:t>Participants’ performance-dependant bonus depends upon the accuracy of their responses during each session (</w:t>
      </w:r>
      <w:proofErr w:type="gramStart"/>
      <w:r w:rsidRPr="00C45029">
        <w:t>1</w:t>
      </w:r>
      <w:proofErr w:type="gramEnd"/>
      <w:r w:rsidRPr="00C45029">
        <w:t xml:space="preserve"> trial is randomly selected, yielding a maximal bonus of 2€</w:t>
      </w:r>
      <w:r>
        <w:t>).</w:t>
      </w:r>
    </w:p>
    <w:p w14:paraId="365E7910" w14:textId="77777777"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14:paraId="615718B4" w14:textId="77777777"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14:paraId="655B8C94" w14:textId="77777777"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14:paraId="042CE5C8" w14:textId="4311C7E7" w:rsidR="00B677C4" w:rsidRDefault="00B677C4" w:rsidP="006A6F94">
      <w:pPr>
        <w:spacing w:after="3" w:line="276" w:lineRule="auto"/>
        <w:jc w:val="both"/>
        <w:rPr>
          <w:rFonts w:asciiTheme="minorHAnsi" w:hAnsiTheme="minorHAnsi" w:cstheme="minorHAnsi"/>
        </w:rPr>
      </w:pPr>
    </w:p>
    <w:p w14:paraId="1C2EC4C8" w14:textId="77777777" w:rsidR="00183997" w:rsidRPr="006A6F94" w:rsidRDefault="00183997" w:rsidP="006A6F94">
      <w:pPr>
        <w:spacing w:after="3" w:line="276" w:lineRule="auto"/>
        <w:jc w:val="both"/>
        <w:rPr>
          <w:rFonts w:asciiTheme="minorHAnsi" w:hAnsiTheme="minorHAnsi" w:cstheme="minorHAnsi"/>
        </w:rPr>
      </w:pPr>
    </w:p>
    <w:p w14:paraId="4977DF3B"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14:paraId="16BBAF68" w14:textId="77777777"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This project proposal does not require participants to leave home and visit the host Institute (ICM, Paris). Rather, they </w:t>
      </w:r>
      <w:proofErr w:type="gramStart"/>
      <w:r w:rsidRPr="006A6F94">
        <w:rPr>
          <w:rFonts w:asciiTheme="minorHAnsi" w:hAnsiTheme="minorHAnsi" w:cstheme="minorHAnsi"/>
        </w:rPr>
        <w:t>are asked</w:t>
      </w:r>
      <w:proofErr w:type="gramEnd"/>
      <w:r w:rsidRPr="006A6F94">
        <w:rPr>
          <w:rFonts w:asciiTheme="minorHAnsi" w:hAnsiTheme="minorHAnsi" w:cstheme="minorHAnsi"/>
        </w:rPr>
        <w:t xml:space="preserve">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14:paraId="3944DB82" w14:textId="493FFAA8" w:rsidR="00720E90" w:rsidRDefault="00720E90" w:rsidP="006A6F94">
      <w:pPr>
        <w:spacing w:after="3" w:line="276" w:lineRule="auto"/>
        <w:ind w:left="900"/>
        <w:jc w:val="both"/>
        <w:rPr>
          <w:rFonts w:asciiTheme="minorHAnsi" w:hAnsiTheme="minorHAnsi" w:cstheme="minorHAnsi"/>
        </w:rPr>
      </w:pPr>
    </w:p>
    <w:p w14:paraId="367FDC3E" w14:textId="77777777" w:rsidR="00183997" w:rsidRPr="006A6F94" w:rsidRDefault="00183997" w:rsidP="006A6F94">
      <w:pPr>
        <w:spacing w:after="3" w:line="276" w:lineRule="auto"/>
        <w:ind w:left="900"/>
        <w:jc w:val="both"/>
        <w:rPr>
          <w:rFonts w:asciiTheme="minorHAnsi" w:hAnsiTheme="minorHAnsi" w:cstheme="minorHAnsi"/>
        </w:rPr>
      </w:pPr>
    </w:p>
    <w:p w14:paraId="21A5E2F2"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14:paraId="4203F6DD" w14:textId="1051C915"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in longitudinal experiments is already high. We also know, previous experience with similar testing conditions, that this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14:paraId="2D22450B"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14:paraId="16BF78C9"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14:paraId="4A897CED"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14:paraId="178A7BFF" w14:textId="77777777"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14:paraId="36C3AEB1"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14:paraId="0C1199F7"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14:paraId="1A4C4E28"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14:paraId="7C5F1B8F" w14:textId="77777777"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14:paraId="16A345FC" w14:textId="77777777"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 xml:space="preserve">After reading an information sheet describing the purpose and data management of our online study, as well as regarding their financial retribution, participants </w:t>
      </w:r>
      <w:proofErr w:type="gramStart"/>
      <w:r w:rsidRPr="006A6F94">
        <w:rPr>
          <w:rFonts w:asciiTheme="minorHAnsi" w:hAnsiTheme="minorHAnsi" w:cstheme="minorHAnsi"/>
        </w:rPr>
        <w:t>will be asked</w:t>
      </w:r>
      <w:proofErr w:type="gramEnd"/>
      <w:r w:rsidRPr="006A6F94">
        <w:rPr>
          <w:rFonts w:asciiTheme="minorHAnsi" w:hAnsiTheme="minorHAnsi" w:cstheme="minorHAnsi"/>
        </w:rPr>
        <w:t xml:space="preserve"> to confirm their voluntary consent. In particular, participants will be informed that:</w:t>
      </w:r>
    </w:p>
    <w:p w14:paraId="10C0986F"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14:paraId="47A4A387"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w:t>
      </w:r>
      <w:proofErr w:type="gramStart"/>
      <w:r w:rsidRPr="006A6F94">
        <w:rPr>
          <w:rFonts w:asciiTheme="minorHAnsi" w:hAnsiTheme="minorHAnsi" w:cstheme="minorHAnsi"/>
          <w:szCs w:val="22"/>
        </w:rPr>
        <w:t>is</w:t>
      </w:r>
      <w:proofErr w:type="gramEnd"/>
      <w:r w:rsidRPr="006A6F94">
        <w:rPr>
          <w:rFonts w:asciiTheme="minorHAnsi" w:hAnsiTheme="minorHAnsi" w:cstheme="minorHAnsi"/>
          <w:szCs w:val="22"/>
        </w:rPr>
        <w:t xml:space="preserve"> destroyed. However, once unidentifiable data and research results have been communicated (e.g., through academic papers), it will not be possible for them to be destroyed, withdrawn or recalled. </w:t>
      </w:r>
    </w:p>
    <w:p w14:paraId="12225DA5" w14:textId="77777777"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r w:rsidR="00816133">
        <w:rPr>
          <w:rFonts w:asciiTheme="minorHAnsi" w:hAnsiTheme="minorHAnsi" w:cstheme="minorHAnsi"/>
          <w:szCs w:val="22"/>
        </w:rPr>
        <w:t>n</w:t>
      </w:r>
      <w:r w:rsidRPr="006A6F94">
        <w:rPr>
          <w:rFonts w:asciiTheme="minorHAnsi" w:hAnsiTheme="minorHAnsi" w:cstheme="minorHAnsi"/>
          <w:szCs w:val="22"/>
        </w:rPr>
        <w:t xml:space="preserve"> ICM secure, GDPR-compliant, database) and may be shared with other academic researchers at a later stage.</w:t>
      </w:r>
    </w:p>
    <w:p w14:paraId="4B6F301F" w14:textId="744B0502"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w:t>
      </w:r>
      <w:r w:rsidR="005C61BF">
        <w:rPr>
          <w:rFonts w:asciiTheme="minorHAnsi" w:hAnsiTheme="minorHAnsi" w:cstheme="minorHAnsi"/>
          <w:szCs w:val="22"/>
        </w:rPr>
        <w:t>tion if they complete the study.</w:t>
      </w:r>
    </w:p>
    <w:p w14:paraId="03960369" w14:textId="08545054"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 xml:space="preserve">mail address </w:t>
      </w:r>
      <w:proofErr w:type="gramStart"/>
      <w:r w:rsidRPr="006A6F94">
        <w:rPr>
          <w:rFonts w:asciiTheme="minorHAnsi" w:hAnsiTheme="minorHAnsi" w:cstheme="minorHAnsi"/>
          <w:szCs w:val="22"/>
        </w:rPr>
        <w:t>will be provided</w:t>
      </w:r>
      <w:proofErr w:type="gramEnd"/>
      <w:r w:rsidR="005C61BF">
        <w:rPr>
          <w:rFonts w:asciiTheme="minorHAnsi" w:hAnsiTheme="minorHAnsi" w:cstheme="minorHAnsi"/>
          <w:szCs w:val="22"/>
        </w:rPr>
        <w:t xml:space="preserve"> in the information sheet</w:t>
      </w:r>
      <w:r w:rsidRPr="006A6F94">
        <w:rPr>
          <w:rFonts w:asciiTheme="minorHAnsi" w:hAnsiTheme="minorHAnsi" w:cstheme="minorHAnsi"/>
          <w:szCs w:val="22"/>
        </w:rPr>
        <w:t>).</w:t>
      </w:r>
    </w:p>
    <w:p w14:paraId="2D0D8712" w14:textId="29424E7F"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t>
      </w:r>
      <w:proofErr w:type="gramStart"/>
      <w:r w:rsidR="001D15EF" w:rsidRPr="006A6F94">
        <w:rPr>
          <w:rFonts w:asciiTheme="minorHAnsi" w:hAnsiTheme="minorHAnsi" w:cstheme="minorHAnsi"/>
        </w:rPr>
        <w:t>will be invited</w:t>
      </w:r>
      <w:proofErr w:type="gramEnd"/>
      <w:r w:rsidR="001D15EF" w:rsidRPr="006A6F94">
        <w:rPr>
          <w:rFonts w:asciiTheme="minorHAnsi" w:hAnsiTheme="minorHAnsi" w:cstheme="minorHAnsi"/>
        </w:rPr>
        <w:t xml:space="preserve">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14:paraId="7B0392A8" w14:textId="77777777" w:rsidR="00435380" w:rsidRPr="006A6F94" w:rsidRDefault="00435380" w:rsidP="006A6F94">
      <w:pPr>
        <w:spacing w:after="3" w:line="276" w:lineRule="auto"/>
        <w:jc w:val="both"/>
        <w:rPr>
          <w:rFonts w:asciiTheme="minorHAnsi" w:hAnsiTheme="minorHAnsi" w:cstheme="minorHAnsi"/>
          <w:b/>
        </w:rPr>
      </w:pPr>
    </w:p>
    <w:p w14:paraId="531E1E0F" w14:textId="77777777" w:rsidR="00720E90" w:rsidRPr="006A6F94" w:rsidRDefault="00720E90" w:rsidP="006A6F94">
      <w:pPr>
        <w:spacing w:after="3" w:line="276" w:lineRule="auto"/>
        <w:ind w:left="900"/>
        <w:jc w:val="both"/>
        <w:rPr>
          <w:rFonts w:asciiTheme="minorHAnsi" w:hAnsiTheme="minorHAnsi" w:cstheme="minorHAnsi"/>
        </w:rPr>
      </w:pPr>
    </w:p>
    <w:p w14:paraId="4573F5FF" w14:textId="77777777"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14:paraId="5538EA5C" w14:textId="2C9BF15D" w:rsidR="006A24D7" w:rsidRDefault="006A24D7" w:rsidP="006A6F94">
      <w:pPr>
        <w:spacing w:after="3" w:line="276" w:lineRule="auto"/>
        <w:jc w:val="both"/>
        <w:rPr>
          <w:rFonts w:asciiTheme="minorHAnsi" w:hAnsiTheme="minorHAnsi" w:cstheme="minorHAnsi"/>
        </w:rPr>
      </w:pPr>
      <w:r>
        <w:rPr>
          <w:rFonts w:asciiTheme="minorHAnsi" w:hAnsiTheme="minorHAnsi" w:cstheme="minorHAnsi"/>
        </w:rPr>
        <w:t>After having liaised with the Data Protection Officer of Sorbonne U, we have decided to split the data processing into two independent process</w:t>
      </w:r>
      <w:r w:rsidR="00B23EDE">
        <w:rPr>
          <w:rFonts w:asciiTheme="minorHAnsi" w:hAnsiTheme="minorHAnsi" w:cstheme="minorHAnsi"/>
        </w:rPr>
        <w:t>ing streams</w:t>
      </w:r>
      <w:r>
        <w:rPr>
          <w:rFonts w:asciiTheme="minorHAnsi" w:hAnsiTheme="minorHAnsi" w:cstheme="minorHAnsi"/>
        </w:rPr>
        <w:t>: (</w:t>
      </w:r>
      <w:proofErr w:type="spellStart"/>
      <w:r>
        <w:rPr>
          <w:rFonts w:asciiTheme="minorHAnsi" w:hAnsiTheme="minorHAnsi" w:cstheme="minorHAnsi"/>
        </w:rPr>
        <w:t>i</w:t>
      </w:r>
      <w:proofErr w:type="spellEnd"/>
      <w:r>
        <w:rPr>
          <w:rFonts w:asciiTheme="minorHAnsi" w:hAnsiTheme="minorHAnsi" w:cstheme="minorHAnsi"/>
        </w:rPr>
        <w:t>) processing of identifying data (including contact and bank details), and (ii) processing of scientific data (test result</w:t>
      </w:r>
      <w:r w:rsidR="00B23EDE">
        <w:rPr>
          <w:rFonts w:asciiTheme="minorHAnsi" w:hAnsiTheme="minorHAnsi" w:cstheme="minorHAnsi"/>
        </w:rPr>
        <w:t xml:space="preserve">s and questionnaire responses). The responsible person for the former is </w:t>
      </w:r>
      <w:proofErr w:type="spellStart"/>
      <w:r w:rsidR="00B23EDE">
        <w:rPr>
          <w:rFonts w:asciiTheme="minorHAnsi" w:hAnsiTheme="minorHAnsi" w:cstheme="minorHAnsi"/>
        </w:rPr>
        <w:t>Dr.</w:t>
      </w:r>
      <w:proofErr w:type="spellEnd"/>
      <w:r w:rsidR="00B23EDE">
        <w:rPr>
          <w:rFonts w:asciiTheme="minorHAnsi" w:hAnsiTheme="minorHAnsi" w:cstheme="minorHAnsi"/>
        </w:rPr>
        <w:t xml:space="preserve"> Karim </w:t>
      </w:r>
      <w:proofErr w:type="spellStart"/>
      <w:r w:rsidR="00B23EDE">
        <w:rPr>
          <w:rFonts w:asciiTheme="minorHAnsi" w:hAnsiTheme="minorHAnsi" w:cstheme="minorHAnsi"/>
        </w:rPr>
        <w:t>N’Diaye</w:t>
      </w:r>
      <w:proofErr w:type="spellEnd"/>
      <w:r w:rsidR="00B23EDE">
        <w:rPr>
          <w:rFonts w:asciiTheme="minorHAnsi" w:hAnsiTheme="minorHAnsi" w:cstheme="minorHAnsi"/>
        </w:rPr>
        <w:t xml:space="preserve"> (PRISME platform). The responsible person for the latter is </w:t>
      </w:r>
      <w:proofErr w:type="spellStart"/>
      <w:r w:rsidR="00B23EDE">
        <w:rPr>
          <w:rFonts w:asciiTheme="minorHAnsi" w:hAnsiTheme="minorHAnsi" w:cstheme="minorHAnsi"/>
        </w:rPr>
        <w:t>Dr.</w:t>
      </w:r>
      <w:proofErr w:type="spellEnd"/>
      <w:r w:rsidR="00B23EDE">
        <w:rPr>
          <w:rFonts w:asciiTheme="minorHAnsi" w:hAnsiTheme="minorHAnsi" w:cstheme="minorHAnsi"/>
        </w:rPr>
        <w:t xml:space="preserve"> Jean </w:t>
      </w:r>
      <w:proofErr w:type="spellStart"/>
      <w:r w:rsidR="00B23EDE">
        <w:rPr>
          <w:rFonts w:asciiTheme="minorHAnsi" w:hAnsiTheme="minorHAnsi" w:cstheme="minorHAnsi"/>
        </w:rPr>
        <w:t>Daunizeau</w:t>
      </w:r>
      <w:proofErr w:type="spellEnd"/>
      <w:r w:rsidR="00B23EDE">
        <w:rPr>
          <w:rFonts w:asciiTheme="minorHAnsi" w:hAnsiTheme="minorHAnsi" w:cstheme="minorHAnsi"/>
        </w:rPr>
        <w:t xml:space="preserve"> (MBB research team). These two data processing streams </w:t>
      </w:r>
      <w:proofErr w:type="gramStart"/>
      <w:r w:rsidR="00B23EDE">
        <w:rPr>
          <w:rFonts w:asciiTheme="minorHAnsi" w:hAnsiTheme="minorHAnsi" w:cstheme="minorHAnsi"/>
        </w:rPr>
        <w:t>have been registered</w:t>
      </w:r>
      <w:proofErr w:type="gramEnd"/>
      <w:r w:rsidR="00B23EDE">
        <w:rPr>
          <w:rFonts w:asciiTheme="minorHAnsi" w:hAnsiTheme="minorHAnsi" w:cstheme="minorHAnsi"/>
        </w:rPr>
        <w:t xml:space="preserve"> at the ICM and at Sorbonne U.</w:t>
      </w:r>
    </w:p>
    <w:p w14:paraId="6B56B94C" w14:textId="77777777" w:rsidR="006A24D7" w:rsidRDefault="006A24D7" w:rsidP="006A6F94">
      <w:pPr>
        <w:spacing w:after="3" w:line="276" w:lineRule="auto"/>
        <w:jc w:val="both"/>
        <w:rPr>
          <w:rFonts w:asciiTheme="minorHAnsi" w:hAnsiTheme="minorHAnsi" w:cstheme="minorHAnsi"/>
        </w:rPr>
      </w:pPr>
    </w:p>
    <w:p w14:paraId="0CB11B98" w14:textId="1B4E9810"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All test results and questionnaire data </w:t>
      </w:r>
      <w:proofErr w:type="gramStart"/>
      <w:r w:rsidRPr="006A6F94">
        <w:rPr>
          <w:rFonts w:asciiTheme="minorHAnsi" w:hAnsiTheme="minorHAnsi" w:cstheme="minorHAnsi"/>
        </w:rPr>
        <w:t xml:space="preserve">will be collected </w:t>
      </w:r>
      <w:r w:rsidR="00E739F8">
        <w:rPr>
          <w:rFonts w:asciiTheme="minorHAnsi" w:hAnsiTheme="minorHAnsi" w:cstheme="minorHAnsi"/>
        </w:rPr>
        <w:t xml:space="preserve">via a psychology-dedicated software </w:t>
      </w:r>
      <w:r w:rsidR="00973F99">
        <w:rPr>
          <w:rFonts w:asciiTheme="minorHAnsi" w:hAnsiTheme="minorHAnsi" w:cstheme="minorHAnsi"/>
        </w:rPr>
        <w:t>run</w:t>
      </w:r>
      <w:r w:rsidR="00E739F8">
        <w:rPr>
          <w:rFonts w:asciiTheme="minorHAnsi" w:hAnsiTheme="minorHAnsi" w:cstheme="minorHAnsi"/>
        </w:rPr>
        <w:t xml:space="preserve"> by the </w:t>
      </w:r>
      <w:r w:rsidRPr="006A6F94">
        <w:rPr>
          <w:rFonts w:asciiTheme="minorHAnsi" w:hAnsiTheme="minorHAnsi" w:cstheme="minorHAnsi"/>
        </w:rPr>
        <w:t>ICM/PRISME and stored on a (GDPR-compliant) secure</w:t>
      </w:r>
      <w:r w:rsidR="00E739F8">
        <w:rPr>
          <w:rFonts w:asciiTheme="minorHAnsi" w:hAnsiTheme="minorHAnsi" w:cstheme="minorHAnsi"/>
        </w:rPr>
        <w:t>d</w:t>
      </w:r>
      <w:r w:rsidRPr="006A6F94">
        <w:rPr>
          <w:rFonts w:asciiTheme="minorHAnsi" w:hAnsiTheme="minorHAnsi" w:cstheme="minorHAnsi"/>
        </w:rPr>
        <w:t xml:space="preserve"> database</w:t>
      </w:r>
      <w:proofErr w:type="gramEnd"/>
      <w:r w:rsidR="00E739F8">
        <w:rPr>
          <w:rFonts w:asciiTheme="minorHAnsi" w:hAnsiTheme="minorHAnsi" w:cstheme="minorHAnsi"/>
        </w:rPr>
        <w:t xml:space="preserve">. These data will not contain any personal, contact, or </w:t>
      </w:r>
      <w:proofErr w:type="gramStart"/>
      <w:r w:rsidR="00E739F8">
        <w:rPr>
          <w:rFonts w:asciiTheme="minorHAnsi" w:hAnsiTheme="minorHAnsi" w:cstheme="minorHAnsi"/>
        </w:rPr>
        <w:t>directly-identifying</w:t>
      </w:r>
      <w:proofErr w:type="gramEnd"/>
      <w:r w:rsidR="00E739F8">
        <w:rPr>
          <w:rFonts w:asciiTheme="minorHAnsi" w:hAnsiTheme="minorHAnsi" w:cstheme="minorHAnsi"/>
        </w:rPr>
        <w:t xml:space="preserve"> information: only </w:t>
      </w:r>
      <w:r w:rsidRPr="006A6F94">
        <w:rPr>
          <w:rFonts w:asciiTheme="minorHAnsi" w:hAnsiTheme="minorHAnsi" w:cstheme="minorHAnsi"/>
        </w:rPr>
        <w:t xml:space="preserve">participants’ </w:t>
      </w:r>
      <w:proofErr w:type="spellStart"/>
      <w:r w:rsidRPr="006A6F94">
        <w:rPr>
          <w:rFonts w:asciiTheme="minorHAnsi" w:hAnsiTheme="minorHAnsi" w:cstheme="minorHAnsi"/>
        </w:rPr>
        <w:t>pseudonymized</w:t>
      </w:r>
      <w:proofErr w:type="spellEnd"/>
      <w:r w:rsidRPr="006A6F94">
        <w:rPr>
          <w:rFonts w:asciiTheme="minorHAnsi" w:hAnsiTheme="minorHAnsi" w:cstheme="minorHAnsi"/>
        </w:rPr>
        <w:t xml:space="preserve"> ID code</w:t>
      </w:r>
      <w:r w:rsidR="00E739F8">
        <w:rPr>
          <w:rFonts w:asciiTheme="minorHAnsi" w:hAnsiTheme="minorHAnsi" w:cstheme="minorHAnsi"/>
        </w:rPr>
        <w:t>s will be associated with their data</w:t>
      </w:r>
      <w:r w:rsidRPr="006A6F94">
        <w:rPr>
          <w:rFonts w:asciiTheme="minorHAnsi" w:hAnsiTheme="minorHAnsi" w:cstheme="minorHAnsi"/>
        </w:rPr>
        <w:t xml:space="preserve">. </w:t>
      </w:r>
      <w:r w:rsidR="00B23EDE">
        <w:rPr>
          <w:rFonts w:asciiTheme="minorHAnsi" w:hAnsiTheme="minorHAnsi" w:cstheme="minorHAnsi"/>
        </w:rPr>
        <w:t xml:space="preserve">The </w:t>
      </w:r>
      <w:proofErr w:type="spellStart"/>
      <w:r w:rsidR="00B23EDE">
        <w:rPr>
          <w:rFonts w:asciiTheme="minorHAnsi" w:hAnsiTheme="minorHAnsi" w:cstheme="minorHAnsi"/>
        </w:rPr>
        <w:t>pseudonymisation</w:t>
      </w:r>
      <w:proofErr w:type="spellEnd"/>
      <w:r w:rsidR="00B23EDE">
        <w:rPr>
          <w:rFonts w:asciiTheme="minorHAnsi" w:hAnsiTheme="minorHAnsi" w:cstheme="minorHAnsi"/>
        </w:rPr>
        <w:t xml:space="preserve"> procedure consists in attributing each participant a unique user identifier (UUID) randomly drawn in a code table with </w:t>
      </w:r>
      <w:proofErr w:type="spellStart"/>
      <w:r w:rsidR="00B23EDE">
        <w:rPr>
          <w:rFonts w:asciiTheme="minorHAnsi" w:hAnsiTheme="minorHAnsi" w:cstheme="minorHAnsi"/>
        </w:rPr>
        <w:t>preset</w:t>
      </w:r>
      <w:proofErr w:type="spellEnd"/>
      <w:r w:rsidR="00B23EDE">
        <w:rPr>
          <w:rFonts w:asciiTheme="minorHAnsi" w:hAnsiTheme="minorHAnsi" w:cstheme="minorHAnsi"/>
        </w:rPr>
        <w:t xml:space="preserve"> alphanumeric characters. </w:t>
      </w:r>
      <w:r w:rsidRPr="006A6F94">
        <w:rPr>
          <w:rFonts w:asciiTheme="minorHAnsi" w:hAnsiTheme="minorHAnsi" w:cstheme="minorHAnsi"/>
        </w:rPr>
        <w:t>I</w:t>
      </w:r>
      <w:r w:rsidR="00816133">
        <w:rPr>
          <w:rFonts w:asciiTheme="minorHAnsi" w:hAnsiTheme="minorHAnsi" w:cstheme="minorHAnsi"/>
        </w:rPr>
        <w:t>n</w:t>
      </w:r>
      <w:r w:rsidRPr="006A6F94">
        <w:rPr>
          <w:rFonts w:asciiTheme="minorHAnsi" w:hAnsiTheme="minorHAnsi" w:cstheme="minorHAnsi"/>
        </w:rPr>
        <w:t xml:space="preserve"> accordance with national legal guidelines, this database will have no </w:t>
      </w:r>
      <w:r w:rsidR="00E739F8" w:rsidRPr="006A6F94">
        <w:rPr>
          <w:rFonts w:asciiTheme="minorHAnsi" w:hAnsiTheme="minorHAnsi" w:cstheme="minorHAnsi"/>
        </w:rPr>
        <w:t>conne</w:t>
      </w:r>
      <w:r w:rsidR="00E739F8">
        <w:rPr>
          <w:rFonts w:asciiTheme="minorHAnsi" w:hAnsiTheme="minorHAnsi" w:cstheme="minorHAnsi"/>
        </w:rPr>
        <w:t>ct</w:t>
      </w:r>
      <w:r w:rsidR="00E739F8" w:rsidRPr="006A6F94">
        <w:rPr>
          <w:rFonts w:asciiTheme="minorHAnsi" w:hAnsiTheme="minorHAnsi" w:cstheme="minorHAnsi"/>
        </w:rPr>
        <w:t xml:space="preserve">ion </w:t>
      </w:r>
      <w:r w:rsidRPr="006A6F94">
        <w:rPr>
          <w:rFonts w:asciiTheme="minorHAnsi" w:hAnsiTheme="minorHAnsi" w:cstheme="minorHAnsi"/>
        </w:rPr>
        <w:t>with participants’ identifying information</w:t>
      </w:r>
      <w:r w:rsidR="00E739F8">
        <w:rPr>
          <w:rFonts w:asciiTheme="minorHAnsi" w:hAnsiTheme="minorHAnsi" w:cstheme="minorHAnsi"/>
        </w:rPr>
        <w:t xml:space="preserve"> which </w:t>
      </w:r>
      <w:proofErr w:type="gramStart"/>
      <w:r w:rsidR="00E739F8">
        <w:rPr>
          <w:rFonts w:asciiTheme="minorHAnsi" w:hAnsiTheme="minorHAnsi" w:cstheme="minorHAnsi"/>
        </w:rPr>
        <w:t>will be hosted</w:t>
      </w:r>
      <w:proofErr w:type="gramEnd"/>
      <w:r w:rsidR="00E739F8">
        <w:rPr>
          <w:rFonts w:asciiTheme="minorHAnsi" w:hAnsiTheme="minorHAnsi" w:cstheme="minorHAnsi"/>
        </w:rPr>
        <w:t xml:space="preserve"> on a separate server managed by the ICM/PRISME facility and whose access will be restricted to the ICM/PRISME staff (excluding the researchers involved in the present project)</w:t>
      </w:r>
      <w:r w:rsidRPr="006A6F94">
        <w:rPr>
          <w:rFonts w:asciiTheme="minorHAnsi" w:hAnsiTheme="minorHAnsi" w:cstheme="minorHAnsi"/>
        </w:rPr>
        <w:t xml:space="preserve">. </w:t>
      </w:r>
      <w:r w:rsidR="00E739F8">
        <w:rPr>
          <w:rFonts w:asciiTheme="minorHAnsi" w:hAnsiTheme="minorHAnsi" w:cstheme="minorHAnsi"/>
        </w:rPr>
        <w:t xml:space="preserve">Upon registration for the study, participant </w:t>
      </w:r>
      <w:proofErr w:type="gramStart"/>
      <w:r w:rsidR="00E739F8">
        <w:rPr>
          <w:rFonts w:asciiTheme="minorHAnsi" w:hAnsiTheme="minorHAnsi" w:cstheme="minorHAnsi"/>
        </w:rPr>
        <w:t>will be given</w:t>
      </w:r>
      <w:proofErr w:type="gramEnd"/>
      <w:r w:rsidR="00E739F8">
        <w:rPr>
          <w:rFonts w:asciiTheme="minorHAnsi" w:hAnsiTheme="minorHAnsi" w:cstheme="minorHAnsi"/>
        </w:rPr>
        <w:t xml:space="preserve"> their unique ID code.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w:t>
      </w:r>
      <w:r w:rsidR="00E739F8">
        <w:rPr>
          <w:rFonts w:asciiTheme="minorHAnsi" w:hAnsiTheme="minorHAnsi" w:cstheme="minorHAnsi"/>
        </w:rPr>
        <w:t xml:space="preserve">experimental </w:t>
      </w:r>
      <w:r w:rsidR="00B60C68" w:rsidRPr="006A6F94">
        <w:rPr>
          <w:rFonts w:asciiTheme="minorHAnsi" w:hAnsiTheme="minorHAnsi" w:cstheme="minorHAnsi"/>
        </w:rPr>
        <w:t xml:space="preserve">data on a daily basis. These data </w:t>
      </w:r>
      <w:proofErr w:type="gramStart"/>
      <w:r w:rsidR="00B60C68" w:rsidRPr="006A6F94">
        <w:rPr>
          <w:rFonts w:asciiTheme="minorHAnsi" w:hAnsiTheme="minorHAnsi" w:cstheme="minorHAnsi"/>
        </w:rPr>
        <w:t>will then be made</w:t>
      </w:r>
      <w:proofErr w:type="gramEnd"/>
      <w:r w:rsidR="00B60C68" w:rsidRPr="006A6F94">
        <w:rPr>
          <w:rFonts w:asciiTheme="minorHAnsi" w:hAnsiTheme="minorHAnsi" w:cstheme="minorHAnsi"/>
        </w:rPr>
        <w:t xml:space="preserve"> available </w:t>
      </w:r>
      <w:r w:rsidR="004D2BF5">
        <w:rPr>
          <w:rFonts w:asciiTheme="minorHAnsi" w:hAnsiTheme="minorHAnsi" w:cstheme="minorHAnsi"/>
        </w:rPr>
        <w:t xml:space="preserve">only </w:t>
      </w:r>
      <w:r w:rsidR="00B60C68" w:rsidRPr="006A6F94">
        <w:rPr>
          <w:rFonts w:asciiTheme="minorHAnsi" w:hAnsiTheme="minorHAnsi" w:cstheme="minorHAnsi"/>
        </w:rPr>
        <w:t>to the responsible PI and his colla</w:t>
      </w:r>
      <w:r w:rsidR="004D2BF5">
        <w:rPr>
          <w:rFonts w:asciiTheme="minorHAnsi" w:hAnsiTheme="minorHAnsi" w:cstheme="minorHAnsi"/>
        </w:rPr>
        <w:t>borators for analysis purposes.</w:t>
      </w:r>
    </w:p>
    <w:p w14:paraId="017C558A" w14:textId="638B930B"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Personal information including name, contact email address and banking details (which are required for later financial retribution) will be collected upon participants’ registration by the ICM/PRISME platform and stored, along with participants’ de-identified ID code</w:t>
      </w:r>
      <w:r w:rsidR="004D2BF5">
        <w:rPr>
          <w:rFonts w:asciiTheme="minorHAnsi" w:hAnsiTheme="minorHAnsi" w:cstheme="minorHAnsi"/>
        </w:rPr>
        <w:t xml:space="preserve"> (on a dedicated </w:t>
      </w:r>
      <w:proofErr w:type="spellStart"/>
      <w:r w:rsidR="004D2BF5">
        <w:rPr>
          <w:rFonts w:asciiTheme="minorHAnsi" w:hAnsiTheme="minorHAnsi" w:cstheme="minorHAnsi"/>
        </w:rPr>
        <w:t>RedCap</w:t>
      </w:r>
      <w:proofErr w:type="spellEnd"/>
      <w:r w:rsidR="004D2BF5">
        <w:rPr>
          <w:rFonts w:asciiTheme="minorHAnsi" w:hAnsiTheme="minorHAnsi" w:cstheme="minorHAnsi"/>
        </w:rPr>
        <w:t xml:space="preserve"> system)</w:t>
      </w:r>
      <w:r w:rsidRPr="006A6F94">
        <w:rPr>
          <w:rFonts w:asciiTheme="minorHAnsi" w:hAnsiTheme="minorHAnsi" w:cstheme="minorHAnsi"/>
        </w:rPr>
        <w:t xml:space="preserve">. Importantly, these data will </w:t>
      </w:r>
      <w:proofErr w:type="gramStart"/>
      <w:r w:rsidRPr="006A6F94">
        <w:rPr>
          <w:rFonts w:asciiTheme="minorHAnsi" w:hAnsiTheme="minorHAnsi" w:cstheme="minorHAnsi"/>
        </w:rPr>
        <w:t xml:space="preserve">be </w:t>
      </w:r>
      <w:r w:rsidR="00B60C68" w:rsidRPr="006A6F94">
        <w:rPr>
          <w:rFonts w:asciiTheme="minorHAnsi" w:hAnsiTheme="minorHAnsi" w:cstheme="minorHAnsi"/>
        </w:rPr>
        <w:t>managed</w:t>
      </w:r>
      <w:proofErr w:type="gramEnd"/>
      <w:r w:rsidR="00B60C68" w:rsidRPr="006A6F94">
        <w:rPr>
          <w:rFonts w:asciiTheme="minorHAnsi" w:hAnsiTheme="minorHAnsi" w:cstheme="minorHAnsi"/>
        </w:rPr>
        <w:t xml:space="preserve">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w:t>
      </w:r>
      <w:r w:rsidR="006A24D7">
        <w:rPr>
          <w:rFonts w:asciiTheme="minorHAnsi" w:hAnsiTheme="minorHAnsi" w:cstheme="minorHAnsi"/>
        </w:rPr>
        <w:t xml:space="preserve">2 years after the start </w:t>
      </w:r>
      <w:r w:rsidR="00B60C68" w:rsidRPr="006A6F94">
        <w:rPr>
          <w:rFonts w:asciiTheme="minorHAnsi" w:hAnsiTheme="minorHAnsi" w:cstheme="minorHAnsi"/>
        </w:rPr>
        <w:t xml:space="preserve">of the experiment. This ensures that test results and questionnaire </w:t>
      </w:r>
      <w:r w:rsidR="00B60C68" w:rsidRPr="006A6F94">
        <w:rPr>
          <w:rFonts w:asciiTheme="minorHAnsi" w:hAnsiTheme="minorHAnsi" w:cstheme="minorHAnsi"/>
        </w:rPr>
        <w:lastRenderedPageBreak/>
        <w:t xml:space="preserve">responses </w:t>
      </w:r>
      <w:proofErr w:type="gramStart"/>
      <w:r w:rsidR="00B60C68" w:rsidRPr="006A6F94">
        <w:rPr>
          <w:rFonts w:asciiTheme="minorHAnsi" w:hAnsiTheme="minorHAnsi" w:cstheme="minorHAnsi"/>
        </w:rPr>
        <w:t>cannot be related</w:t>
      </w:r>
      <w:proofErr w:type="gramEnd"/>
      <w:r w:rsidR="00B60C68" w:rsidRPr="006A6F94">
        <w:rPr>
          <w:rFonts w:asciiTheme="minorHAnsi" w:hAnsiTheme="minorHAnsi" w:cstheme="minorHAnsi"/>
        </w:rPr>
        <w:t xml:space="preserve"> with identifying data. Data storage will be GDPR-compliant and will follow national regulatory standards, which ensure that the research </w:t>
      </w:r>
      <w:proofErr w:type="gramStart"/>
      <w:r w:rsidR="00B60C68" w:rsidRPr="006A6F94">
        <w:rPr>
          <w:rFonts w:asciiTheme="minorHAnsi" w:hAnsiTheme="minorHAnsi" w:cstheme="minorHAnsi"/>
        </w:rPr>
        <w:t>is conducted</w:t>
      </w:r>
      <w:proofErr w:type="gramEnd"/>
      <w:r w:rsidR="00B60C68" w:rsidRPr="006A6F94">
        <w:rPr>
          <w:rFonts w:asciiTheme="minorHAnsi" w:hAnsiTheme="minorHAnsi" w:cstheme="minorHAnsi"/>
        </w:rPr>
        <w:t xml:space="preserve"> in the interest of voluntary participants to the study.</w:t>
      </w:r>
    </w:p>
    <w:p w14:paraId="19EA2EE8" w14:textId="77777777"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14:paraId="48162E5B" w14:textId="77777777" w:rsidR="00B60C68" w:rsidRPr="006A6F94" w:rsidRDefault="00B60C68" w:rsidP="006A6F94">
      <w:pPr>
        <w:spacing w:after="3" w:line="276" w:lineRule="auto"/>
        <w:jc w:val="both"/>
        <w:rPr>
          <w:rFonts w:asciiTheme="minorHAnsi" w:hAnsiTheme="minorHAnsi" w:cstheme="minorHAnsi"/>
        </w:rPr>
      </w:pPr>
    </w:p>
    <w:p w14:paraId="15FD479E" w14:textId="77777777"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results of this study </w:t>
      </w:r>
      <w:proofErr w:type="gramStart"/>
      <w:r w:rsidRPr="006A6F94">
        <w:rPr>
          <w:rFonts w:asciiTheme="minorHAnsi" w:hAnsiTheme="minorHAnsi" w:cstheme="minorHAnsi"/>
        </w:rPr>
        <w:t>will be presented during conferences and published in peer-reviewed international scientific journals</w:t>
      </w:r>
      <w:proofErr w:type="gramEnd"/>
      <w:r w:rsidRPr="006A6F94">
        <w:rPr>
          <w:rFonts w:asciiTheme="minorHAnsi" w:hAnsiTheme="minorHAnsi" w:cstheme="minorHAnsi"/>
        </w:rPr>
        <w:t xml:space="preserve">.  However, no identifying data </w:t>
      </w:r>
      <w:proofErr w:type="gramStart"/>
      <w:r w:rsidRPr="006A6F94">
        <w:rPr>
          <w:rFonts w:asciiTheme="minorHAnsi" w:hAnsiTheme="minorHAnsi" w:cstheme="minorHAnsi"/>
        </w:rPr>
        <w:t>will ever be revealed</w:t>
      </w:r>
      <w:proofErr w:type="gramEnd"/>
      <w:r w:rsidRPr="006A6F94">
        <w:rPr>
          <w:rFonts w:asciiTheme="minorHAnsi" w:hAnsiTheme="minorHAnsi" w:cstheme="minorHAnsi"/>
        </w:rPr>
        <w:t xml:space="preserve">, and the anonymity of the participants will always be respected and preserved. Specifically, the data we collect </w:t>
      </w:r>
      <w:proofErr w:type="gramStart"/>
      <w:r w:rsidRPr="006A6F94">
        <w:rPr>
          <w:rFonts w:asciiTheme="minorHAnsi" w:hAnsiTheme="minorHAnsi" w:cstheme="minorHAnsi"/>
        </w:rPr>
        <w:t>will be shared and held as follows</w:t>
      </w:r>
      <w:proofErr w:type="gramEnd"/>
      <w:r w:rsidRPr="006A6F94">
        <w:rPr>
          <w:rFonts w:asciiTheme="minorHAnsi" w:hAnsiTheme="minorHAnsi" w:cstheme="minorHAnsi"/>
        </w:rPr>
        <w:t>:</w:t>
      </w:r>
    </w:p>
    <w:p w14:paraId="30B13F6F" w14:textId="6932C155"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publications, the data </w:t>
      </w:r>
      <w:proofErr w:type="gramStart"/>
      <w:r w:rsidRPr="006A6F94">
        <w:rPr>
          <w:rFonts w:asciiTheme="minorHAnsi" w:hAnsiTheme="minorHAnsi" w:cstheme="minorHAnsi"/>
          <w:szCs w:val="22"/>
        </w:rPr>
        <w:t>will be anonymised</w:t>
      </w:r>
      <w:proofErr w:type="gramEnd"/>
      <w:r w:rsidRPr="006A6F94">
        <w:rPr>
          <w:rFonts w:asciiTheme="minorHAnsi" w:hAnsiTheme="minorHAnsi" w:cstheme="minorHAnsi"/>
          <w:szCs w:val="22"/>
        </w:rPr>
        <w:t xml:space="preserve">, </w:t>
      </w:r>
      <w:r w:rsidR="00C45029">
        <w:rPr>
          <w:rFonts w:asciiTheme="minorHAnsi" w:hAnsiTheme="minorHAnsi" w:cstheme="minorHAnsi"/>
          <w:szCs w:val="22"/>
        </w:rPr>
        <w:t>i.e. only group summary statistics will be provided</w:t>
      </w:r>
      <w:r w:rsidRPr="006A6F94">
        <w:rPr>
          <w:rFonts w:asciiTheme="minorHAnsi" w:hAnsiTheme="minorHAnsi" w:cstheme="minorHAnsi"/>
          <w:szCs w:val="22"/>
        </w:rPr>
        <w:t>.</w:t>
      </w:r>
    </w:p>
    <w:p w14:paraId="1ADB404C" w14:textId="6417C803"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database repositories, the data will be </w:t>
      </w:r>
      <w:proofErr w:type="spellStart"/>
      <w:r w:rsidRPr="006A6F94">
        <w:rPr>
          <w:rFonts w:asciiTheme="minorHAnsi" w:hAnsiTheme="minorHAnsi" w:cstheme="minorHAnsi"/>
          <w:szCs w:val="22"/>
        </w:rPr>
        <w:t>pseudonymised</w:t>
      </w:r>
      <w:proofErr w:type="spellEnd"/>
      <w:r w:rsidRPr="006A6F94">
        <w:rPr>
          <w:rFonts w:asciiTheme="minorHAnsi" w:hAnsiTheme="minorHAnsi" w:cstheme="minorHAnsi"/>
          <w:szCs w:val="22"/>
        </w:rPr>
        <w:t xml:space="preserve"> (the personal details will be removed and only </w:t>
      </w:r>
      <w:r w:rsidR="004D2BF5">
        <w:rPr>
          <w:rFonts w:asciiTheme="minorHAnsi" w:hAnsiTheme="minorHAnsi" w:cstheme="minorHAnsi"/>
          <w:szCs w:val="22"/>
        </w:rPr>
        <w:t xml:space="preserve">re-encoded UUID codes </w:t>
      </w:r>
      <w:r w:rsidRPr="006A6F94">
        <w:rPr>
          <w:rFonts w:asciiTheme="minorHAnsi" w:hAnsiTheme="minorHAnsi" w:cstheme="minorHAnsi"/>
          <w:szCs w:val="22"/>
        </w:rPr>
        <w:t>will be provided</w:t>
      </w:r>
      <w:r w:rsidR="004D2BF5">
        <w:rPr>
          <w:rFonts w:asciiTheme="minorHAnsi" w:hAnsiTheme="minorHAnsi" w:cstheme="minorHAnsi"/>
          <w:szCs w:val="22"/>
        </w:rPr>
        <w:t xml:space="preserve"> after </w:t>
      </w:r>
      <w:r w:rsidR="00B36CB8">
        <w:rPr>
          <w:rFonts w:asciiTheme="minorHAnsi" w:hAnsiTheme="minorHAnsi" w:cstheme="minorHAnsi"/>
          <w:szCs w:val="22"/>
        </w:rPr>
        <w:t>SHA256 hashing</w:t>
      </w:r>
      <w:r w:rsidRPr="006A6F94">
        <w:rPr>
          <w:rFonts w:asciiTheme="minorHAnsi" w:hAnsiTheme="minorHAnsi" w:cstheme="minorHAnsi"/>
          <w:szCs w:val="22"/>
        </w:rPr>
        <w:t>).</w:t>
      </w:r>
      <w:r w:rsidR="00C45029">
        <w:rPr>
          <w:rFonts w:asciiTheme="minorHAnsi" w:hAnsiTheme="minorHAnsi" w:cstheme="minorHAnsi"/>
          <w:szCs w:val="22"/>
        </w:rPr>
        <w:t xml:space="preserve"> Given that only very limited biographical data will be given (i.e.: age, gender), there will be no possibility to disclose participants’ identity.</w:t>
      </w:r>
    </w:p>
    <w:p w14:paraId="683E5536" w14:textId="7587423E" w:rsidR="00720E90" w:rsidRDefault="00720E90" w:rsidP="006A6F94">
      <w:pPr>
        <w:spacing w:after="3" w:line="276" w:lineRule="auto"/>
        <w:ind w:left="900"/>
        <w:jc w:val="both"/>
        <w:rPr>
          <w:rFonts w:asciiTheme="minorHAnsi" w:hAnsiTheme="minorHAnsi" w:cstheme="minorHAnsi"/>
        </w:rPr>
      </w:pPr>
    </w:p>
    <w:p w14:paraId="61052CF9" w14:textId="77777777" w:rsidR="00183997" w:rsidRPr="006A6F94" w:rsidRDefault="00183997" w:rsidP="006A6F94">
      <w:pPr>
        <w:spacing w:after="3" w:line="276" w:lineRule="auto"/>
        <w:ind w:left="900"/>
        <w:jc w:val="both"/>
        <w:rPr>
          <w:rFonts w:asciiTheme="minorHAnsi" w:hAnsiTheme="minorHAnsi" w:cstheme="minorHAnsi"/>
        </w:rPr>
      </w:pPr>
    </w:p>
    <w:p w14:paraId="3A57DBE6" w14:textId="77777777"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14:paraId="101C49F7" w14:textId="1E9B2E64" w:rsidR="0063010B" w:rsidRPr="006A6F94" w:rsidRDefault="0063010B" w:rsidP="006A6F94">
      <w:pPr>
        <w:spacing w:after="3" w:line="276" w:lineRule="auto"/>
        <w:jc w:val="both"/>
        <w:rPr>
          <w:rFonts w:asciiTheme="minorHAnsi" w:hAnsiTheme="minorHAnsi" w:cstheme="minorHAnsi"/>
        </w:rPr>
      </w:pPr>
      <w:bookmarkStart w:id="0" w:name="_GoBack"/>
      <w:bookmarkEnd w:id="0"/>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14:paraId="284E3970" w14:textId="77777777"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14:paraId="5BFE33B6" w14:textId="77777777"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14:paraId="4212A588" w14:textId="77777777" w:rsidR="006A6F94" w:rsidRPr="006A6F94" w:rsidRDefault="006A6F94" w:rsidP="006A6F94">
      <w:pPr>
        <w:spacing w:after="216" w:line="276" w:lineRule="auto"/>
        <w:jc w:val="both"/>
        <w:rPr>
          <w:rFonts w:asciiTheme="minorHAnsi" w:hAnsiTheme="minorHAnsi" w:cstheme="minorHAnsi"/>
          <w:i/>
          <w:color w:val="FF0000"/>
        </w:rPr>
      </w:pPr>
    </w:p>
    <w:p w14:paraId="60653922" w14:textId="77777777"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14:paraId="264DA851" w14:textId="77777777"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14:paraId="0C3EF289" w14:textId="77777777"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14:paraId="68BE3524" w14:textId="77777777">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5EB33B4" w14:textId="77777777"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14:paraId="0B2B7A9A" w14:textId="77777777"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w:t>
            </w:r>
            <w:proofErr w:type="spellStart"/>
            <w:r w:rsidRPr="006A6F94">
              <w:rPr>
                <w:rFonts w:asciiTheme="minorHAnsi" w:hAnsiTheme="minorHAnsi" w:cstheme="minorHAnsi"/>
                <w:b/>
                <w:sz w:val="32"/>
                <w:szCs w:val="32"/>
                <w:u w:val="single"/>
              </w:rPr>
              <w:t>Daunizeau</w:t>
            </w:r>
            <w:proofErr w:type="spellEnd"/>
            <w:r w:rsidRPr="006A6F94">
              <w:rPr>
                <w:rFonts w:asciiTheme="minorHAnsi" w:hAnsiTheme="minorHAnsi" w:cstheme="minorHAnsi"/>
                <w:b/>
                <w:sz w:val="32"/>
                <w:szCs w:val="32"/>
                <w:u w:val="single"/>
              </w:rPr>
              <w:t xml:space="preserve"> </w:t>
            </w:r>
            <w:r w:rsidRPr="006A6F94">
              <w:rPr>
                <w:rFonts w:asciiTheme="minorHAnsi" w:hAnsiTheme="minorHAnsi" w:cstheme="minorHAnsi"/>
                <w:b/>
                <w:sz w:val="32"/>
                <w:szCs w:val="32"/>
                <w:u w:val="single"/>
              </w:rPr>
              <w:br/>
            </w:r>
          </w:p>
          <w:p w14:paraId="1E0B233D" w14:textId="77777777"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14:paraId="2C53A4F7" w14:textId="77777777" w:rsidR="00637F23" w:rsidRPr="006A6F94" w:rsidRDefault="00637F23" w:rsidP="006A6F94">
            <w:pPr>
              <w:spacing w:line="276" w:lineRule="auto"/>
              <w:jc w:val="both"/>
              <w:rPr>
                <w:rFonts w:asciiTheme="minorHAnsi" w:hAnsiTheme="minorHAnsi" w:cstheme="minorHAnsi"/>
                <w:lang w:eastAsia="fr-FR"/>
              </w:rPr>
            </w:pPr>
          </w:p>
          <w:p w14:paraId="1FEC6E5A"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14:paraId="4C52254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14:paraId="066CB936"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14:paraId="140A0ABC"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w:t>
            </w:r>
            <w:proofErr w:type="gramStart"/>
            <w:r w:rsidRPr="006A6F94">
              <w:rPr>
                <w:rFonts w:asciiTheme="minorHAnsi" w:hAnsiTheme="minorHAnsi" w:cstheme="minorHAnsi"/>
              </w:rPr>
              <w:t>including:</w:t>
            </w:r>
            <w:proofErr w:type="gramEnd"/>
            <w:r w:rsidRPr="006A6F94">
              <w:rPr>
                <w:rFonts w:asciiTheme="minorHAnsi" w:hAnsiTheme="minorHAnsi" w:cstheme="minorHAnsi"/>
              </w:rPr>
              <w:t xml:space="preserve"> </w:t>
            </w:r>
            <w:hyperlink r:id="rId23"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4"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5"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14:paraId="604A9806" w14:textId="77777777" w:rsidR="00637F23" w:rsidRPr="006A6F94" w:rsidRDefault="00637F23" w:rsidP="006A6F94">
            <w:pPr>
              <w:spacing w:line="276" w:lineRule="auto"/>
              <w:jc w:val="both"/>
              <w:rPr>
                <w:rFonts w:asciiTheme="minorHAnsi" w:hAnsiTheme="minorHAnsi" w:cstheme="minorHAnsi"/>
              </w:rPr>
            </w:pPr>
          </w:p>
          <w:p w14:paraId="28B71432" w14:textId="77777777"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14:paraId="128E78DD"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14:paraId="7EBF80AF" w14:textId="77777777"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proofErr w:type="spellStart"/>
              <w:r w:rsidRPr="006A6F94">
                <w:rPr>
                  <w:rStyle w:val="Lienhypertexte"/>
                  <w:rFonts w:asciiTheme="minorHAnsi" w:hAnsiTheme="minorHAnsi" w:cstheme="minorHAnsi"/>
                  <w:i/>
                  <w:color w:val="0070C0"/>
                </w:rPr>
                <w:t>Wellcome</w:t>
              </w:r>
              <w:proofErr w:type="spellEnd"/>
              <w:r w:rsidRPr="006A6F94">
                <w:rPr>
                  <w:rStyle w:val="Lienhypertexte"/>
                  <w:rFonts w:asciiTheme="minorHAnsi" w:hAnsiTheme="minorHAnsi" w:cstheme="minorHAnsi"/>
                  <w:i/>
                  <w:color w:val="0070C0"/>
                </w:rPr>
                <w:t xml:space="preserve"> Trust Centre for Neuroimaging</w:t>
              </w:r>
            </w:hyperlink>
            <w:r w:rsidRPr="006A6F94">
              <w:rPr>
                <w:rFonts w:asciiTheme="minorHAnsi" w:hAnsiTheme="minorHAnsi" w:cstheme="minorHAnsi"/>
              </w:rPr>
              <w:t xml:space="preserve"> (FIL, UCL, London, UK), under the supervision of Pr. Karl J. </w:t>
            </w:r>
            <w:proofErr w:type="spellStart"/>
            <w:r w:rsidRPr="006A6F94">
              <w:rPr>
                <w:rFonts w:asciiTheme="minorHAnsi" w:hAnsiTheme="minorHAnsi" w:cstheme="minorHAnsi"/>
              </w:rPr>
              <w:t>Friston</w:t>
            </w:r>
            <w:proofErr w:type="spellEnd"/>
            <w:r w:rsidRPr="006A6F94">
              <w:rPr>
                <w:rFonts w:asciiTheme="minorHAnsi" w:hAnsiTheme="minorHAnsi" w:cstheme="minorHAnsi"/>
              </w:rPr>
              <w:t>.</w:t>
            </w:r>
          </w:p>
          <w:p w14:paraId="13B8C7F1" w14:textId="77777777"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14:paraId="32DB2086" w14:textId="77777777"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14:paraId="1B7B8275" w14:textId="77777777"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610AB1" w14:paraId="267E7E33" w14:textId="77777777" w:rsidTr="007A2789">
              <w:trPr>
                <w:trHeight w:val="309"/>
              </w:trPr>
              <w:tc>
                <w:tcPr>
                  <w:tcW w:w="1107" w:type="dxa"/>
                  <w:hideMark/>
                </w:tcPr>
                <w:p w14:paraId="6C488AC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14:paraId="36020BE7" w14:textId="77777777"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14:paraId="078F7B8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14:paraId="2683B9E0" w14:textId="77777777" w:rsidR="00637F23" w:rsidRPr="006A6F94" w:rsidRDefault="00637F23" w:rsidP="006A6F94">
                  <w:pPr>
                    <w:spacing w:line="276" w:lineRule="auto"/>
                    <w:jc w:val="both"/>
                    <w:rPr>
                      <w:rFonts w:asciiTheme="minorHAnsi" w:hAnsiTheme="minorHAnsi" w:cstheme="minorHAnsi"/>
                    </w:rPr>
                  </w:pPr>
                </w:p>
              </w:tc>
            </w:tr>
            <w:tr w:rsidR="00637F23" w:rsidRPr="00610AB1" w14:paraId="75460465" w14:textId="77777777" w:rsidTr="007A2789">
              <w:trPr>
                <w:trHeight w:val="309"/>
              </w:trPr>
              <w:tc>
                <w:tcPr>
                  <w:tcW w:w="1107" w:type="dxa"/>
                  <w:hideMark/>
                </w:tcPr>
                <w:p w14:paraId="5DBC2A5D"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14:paraId="16B228B3" w14:textId="77777777"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14:paraId="4BD0189E"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14:paraId="094D4B14" w14:textId="77777777" w:rsidR="00637F23" w:rsidRPr="006A6F94" w:rsidRDefault="00637F23" w:rsidP="006A6F94">
                  <w:pPr>
                    <w:spacing w:line="276" w:lineRule="auto"/>
                    <w:jc w:val="both"/>
                    <w:rPr>
                      <w:rFonts w:asciiTheme="minorHAnsi" w:hAnsiTheme="minorHAnsi" w:cstheme="minorHAnsi"/>
                      <w:b/>
                    </w:rPr>
                  </w:pPr>
                </w:p>
              </w:tc>
            </w:tr>
            <w:tr w:rsidR="00637F23" w:rsidRPr="00610AB1" w14:paraId="488BADCF" w14:textId="77777777" w:rsidTr="007A2789">
              <w:trPr>
                <w:trHeight w:val="309"/>
              </w:trPr>
              <w:tc>
                <w:tcPr>
                  <w:tcW w:w="1107" w:type="dxa"/>
                  <w:hideMark/>
                </w:tcPr>
                <w:p w14:paraId="1A23977F"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14:paraId="62779FE7" w14:textId="77777777"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14:paraId="223E46AC" w14:textId="77777777"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14:paraId="4A2A0196" w14:textId="77777777" w:rsidR="00637F23" w:rsidRPr="006A6F94" w:rsidRDefault="00637F23" w:rsidP="006A6F94">
                  <w:pPr>
                    <w:spacing w:line="276" w:lineRule="auto"/>
                    <w:jc w:val="both"/>
                    <w:rPr>
                      <w:rFonts w:asciiTheme="minorHAnsi" w:hAnsiTheme="minorHAnsi" w:cstheme="minorHAnsi"/>
                    </w:rPr>
                  </w:pPr>
                </w:p>
              </w:tc>
            </w:tr>
            <w:tr w:rsidR="00637F23" w:rsidRPr="006A6F94" w14:paraId="2451BDC0" w14:textId="77777777" w:rsidTr="007A2789">
              <w:trPr>
                <w:trHeight w:val="204"/>
              </w:trPr>
              <w:tc>
                <w:tcPr>
                  <w:tcW w:w="1107" w:type="dxa"/>
                  <w:hideMark/>
                </w:tcPr>
                <w:p w14:paraId="3197C1A1" w14:textId="77777777"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14:paraId="25EC18C1" w14:textId="77777777"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14:paraId="6D7E60BA" w14:textId="77777777"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14:paraId="6EE94417" w14:textId="77777777"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14:paraId="05E6224A" w14:textId="77777777" w:rsidR="0099173B" w:rsidRPr="006A6F94" w:rsidRDefault="0099173B" w:rsidP="006A6F94">
            <w:pPr>
              <w:spacing w:line="276" w:lineRule="auto"/>
              <w:ind w:left="6"/>
              <w:jc w:val="both"/>
              <w:rPr>
                <w:rFonts w:asciiTheme="minorHAnsi" w:hAnsiTheme="minorHAnsi" w:cstheme="minorHAnsi"/>
              </w:rPr>
            </w:pPr>
          </w:p>
        </w:tc>
      </w:tr>
      <w:tr w:rsidR="0099173B" w:rsidRPr="00610AB1" w14:paraId="4A06F858" w14:textId="77777777">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14:paraId="6409921F" w14:textId="77777777"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14:paraId="5E37AC9D" w14:textId="77777777"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14:paraId="18E5FED2" w14:textId="77777777" w:rsidR="00637F23" w:rsidRPr="006A6F94" w:rsidRDefault="00637F23" w:rsidP="006A6F94">
            <w:pPr>
              <w:spacing w:line="276" w:lineRule="auto"/>
              <w:jc w:val="both"/>
              <w:rPr>
                <w:rFonts w:asciiTheme="minorHAnsi" w:hAnsiTheme="minorHAnsi" w:cstheme="minorHAnsi"/>
                <w:u w:val="single"/>
              </w:rPr>
            </w:pPr>
          </w:p>
          <w:p w14:paraId="4A6D7476" w14:textId="77777777"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14:paraId="6419B938"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14:paraId="49E377D4" w14:textId="77777777"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14:paraId="3678DBBB"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14:paraId="559254FF"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lastRenderedPageBreak/>
              <w:t>Dual MSc in Brain and Mind Sciences (Distinction)</w:t>
            </w:r>
          </w:p>
          <w:p w14:paraId="69D3A01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14:paraId="76B169F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14:paraId="0F3A4FB8"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14:paraId="4B11016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14:paraId="6670027E"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14:paraId="721C8472"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14:paraId="4B12001A"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14:paraId="0C9AB480" w14:textId="77777777" w:rsidR="00637F23" w:rsidRPr="006A6F94" w:rsidRDefault="00637F23" w:rsidP="006A6F94">
            <w:pPr>
              <w:spacing w:line="276" w:lineRule="auto"/>
              <w:jc w:val="both"/>
              <w:rPr>
                <w:rFonts w:asciiTheme="minorHAnsi" w:hAnsiTheme="minorHAnsi" w:cstheme="minorHAnsi"/>
              </w:rPr>
            </w:pPr>
          </w:p>
          <w:p w14:paraId="260B37D1" w14:textId="77777777"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14:paraId="176911F0" w14:textId="77777777"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14:paraId="34E1E2D4"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14:paraId="58C7B329"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Jean </w:t>
            </w:r>
            <w:proofErr w:type="spellStart"/>
            <w:r w:rsidRPr="006A6F94">
              <w:rPr>
                <w:rFonts w:asciiTheme="minorHAnsi" w:hAnsiTheme="minorHAnsi" w:cstheme="minorHAnsi"/>
                <w:color w:val="auto"/>
              </w:rPr>
              <w:t>Daunizeau</w:t>
            </w:r>
            <w:proofErr w:type="spellEnd"/>
            <w:r w:rsidRPr="006A6F94">
              <w:rPr>
                <w:rFonts w:asciiTheme="minorHAnsi" w:hAnsiTheme="minorHAnsi" w:cstheme="minorHAnsi"/>
                <w:color w:val="auto"/>
              </w:rPr>
              <w:t xml:space="preserve"> </w:t>
            </w:r>
          </w:p>
          <w:p w14:paraId="00310510" w14:textId="77777777"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14:paraId="739BF021" w14:textId="77777777"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t>
            </w:r>
            <w:proofErr w:type="spellStart"/>
            <w:r w:rsidRPr="006A6F94">
              <w:rPr>
                <w:rFonts w:asciiTheme="minorHAnsi" w:hAnsiTheme="minorHAnsi" w:cstheme="minorHAnsi"/>
                <w:b/>
                <w:bCs/>
                <w:color w:val="auto"/>
              </w:rPr>
              <w:t>Wellcome</w:t>
            </w:r>
            <w:proofErr w:type="spellEnd"/>
            <w:r w:rsidRPr="006A6F94">
              <w:rPr>
                <w:rFonts w:asciiTheme="minorHAnsi" w:hAnsiTheme="minorHAnsi" w:cstheme="minorHAnsi"/>
                <w:b/>
                <w:bCs/>
                <w:color w:val="auto"/>
              </w:rPr>
              <w:t xml:space="preserve"> Centre for Human Neuroimaging </w:t>
            </w:r>
          </w:p>
          <w:p w14:paraId="40582078"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14:paraId="0FE274D6"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Marion Rouault,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Stephen Fleming,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Robb Rutledge </w:t>
            </w:r>
          </w:p>
          <w:p w14:paraId="7DA8F607"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14:paraId="55F364E6"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14:paraId="7572BD38" w14:textId="77777777"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14:paraId="4DD1FC3D" w14:textId="77777777"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14:paraId="0BC68369" w14:textId="77777777"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14:paraId="59ABFF0D" w14:textId="77777777"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w:t>
            </w:r>
            <w:proofErr w:type="spellStart"/>
            <w:r w:rsidRPr="006A6F94">
              <w:rPr>
                <w:rFonts w:asciiTheme="minorHAnsi" w:hAnsiTheme="minorHAnsi" w:cstheme="minorHAnsi"/>
                <w:color w:val="auto"/>
              </w:rPr>
              <w:t>Dr.</w:t>
            </w:r>
            <w:proofErr w:type="spellEnd"/>
            <w:r w:rsidRPr="006A6F94">
              <w:rPr>
                <w:rFonts w:asciiTheme="minorHAnsi" w:hAnsiTheme="minorHAnsi" w:cstheme="minorHAnsi"/>
                <w:color w:val="auto"/>
              </w:rPr>
              <w:t xml:space="preserve">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14:paraId="3664807F" w14:textId="77777777" w:rsidR="00A4369E" w:rsidRPr="006A6F94" w:rsidRDefault="00A4369E" w:rsidP="006A6F94">
            <w:pPr>
              <w:spacing w:line="276" w:lineRule="auto"/>
              <w:ind w:left="6"/>
              <w:jc w:val="both"/>
              <w:rPr>
                <w:rFonts w:asciiTheme="minorHAnsi" w:hAnsiTheme="minorHAnsi" w:cstheme="minorHAnsi"/>
              </w:rPr>
            </w:pPr>
          </w:p>
          <w:p w14:paraId="48A25BC2" w14:textId="77777777" w:rsidR="006A6F94" w:rsidRPr="006A6F94" w:rsidRDefault="006A6F94" w:rsidP="006A6F94">
            <w:pPr>
              <w:spacing w:line="276" w:lineRule="auto"/>
              <w:ind w:left="6"/>
              <w:jc w:val="both"/>
              <w:rPr>
                <w:rFonts w:asciiTheme="minorHAnsi" w:hAnsiTheme="minorHAnsi" w:cstheme="minorHAnsi"/>
              </w:rPr>
            </w:pPr>
          </w:p>
          <w:p w14:paraId="17A6F03B" w14:textId="77777777"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14:paraId="7A5AB73C" w14:textId="77777777" w:rsidR="006A6F94" w:rsidRPr="006A6F94" w:rsidRDefault="006A6F94" w:rsidP="006A6F94">
            <w:pPr>
              <w:spacing w:line="276" w:lineRule="auto"/>
              <w:ind w:left="6"/>
              <w:jc w:val="both"/>
              <w:rPr>
                <w:rFonts w:asciiTheme="minorHAnsi" w:hAnsiTheme="minorHAnsi" w:cstheme="minorHAnsi"/>
              </w:rPr>
            </w:pPr>
          </w:p>
          <w:p w14:paraId="053474A8" w14:textId="77777777"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14:paraId="486C0E3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14:paraId="746B7015"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14:paraId="58B7D6BB"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14:paraId="1FB59C93" w14:textId="77777777"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Université Pierre et Marie Curie / École Normale Supérieure</w:t>
            </w:r>
          </w:p>
          <w:p w14:paraId="154488AC"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013BFD17"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14:paraId="7568FD38"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14:paraId="57C75171" w14:textId="77777777"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14:paraId="148C4A6C" w14:textId="77777777"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14:paraId="650FDA10" w14:textId="77777777"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 xml:space="preserve">Dr. Jean </w:t>
            </w:r>
            <w:proofErr w:type="spellStart"/>
            <w:r w:rsidRPr="006A6F94">
              <w:rPr>
                <w:rFonts w:asciiTheme="minorHAnsi" w:hAnsiTheme="minorHAnsi" w:cstheme="minorHAnsi"/>
                <w:i/>
                <w:iCs/>
                <w:lang w:val="fr-FR"/>
              </w:rPr>
              <w:t>Daunizeau</w:t>
            </w:r>
            <w:proofErr w:type="spellEnd"/>
            <w:r w:rsidRPr="006A6F94">
              <w:rPr>
                <w:rFonts w:asciiTheme="minorHAnsi" w:hAnsiTheme="minorHAnsi" w:cstheme="minorHAnsi"/>
                <w:i/>
                <w:iCs/>
                <w:lang w:val="fr-FR"/>
              </w:rPr>
              <w:t>; Institut du Cerveau et de la Moelle Epinière, Paris, 2019;</w:t>
            </w:r>
          </w:p>
          <w:p w14:paraId="2C2D86EF"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14:paraId="699E409C"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14:paraId="77218CF1"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14:paraId="5D28E572"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Cara Vaughan; University College London, 2016;</w:t>
            </w:r>
          </w:p>
          <w:p w14:paraId="04F735D6"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14:paraId="1AD90A0B"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Tim Green; Department of Speech, Hearing &amp; Phonetic Science, UCL, Summer 2015;</w:t>
            </w:r>
          </w:p>
          <w:p w14:paraId="1362FD6C" w14:textId="77777777"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14:paraId="57A0DF44" w14:textId="77777777" w:rsidR="006A6F94" w:rsidRPr="006A6F94" w:rsidRDefault="006A6F94" w:rsidP="006A6F94">
            <w:pPr>
              <w:spacing w:line="276" w:lineRule="auto"/>
              <w:jc w:val="both"/>
              <w:rPr>
                <w:rFonts w:asciiTheme="minorHAnsi" w:hAnsiTheme="minorHAnsi" w:cstheme="minorHAnsi"/>
                <w:i/>
                <w:iCs/>
              </w:rPr>
            </w:pPr>
            <w:proofErr w:type="spellStart"/>
            <w:r w:rsidRPr="006A6F94">
              <w:rPr>
                <w:rFonts w:asciiTheme="minorHAnsi" w:hAnsiTheme="minorHAnsi" w:cstheme="minorHAnsi"/>
                <w:i/>
                <w:iCs/>
              </w:rPr>
              <w:t>Dr.</w:t>
            </w:r>
            <w:proofErr w:type="spellEnd"/>
            <w:r w:rsidRPr="006A6F94">
              <w:rPr>
                <w:rFonts w:asciiTheme="minorHAnsi" w:hAnsiTheme="minorHAnsi" w:cstheme="minorHAnsi"/>
                <w:i/>
                <w:iCs/>
              </w:rPr>
              <w:t xml:space="preserve"> Matthew Davey; Department of Plant Sciences, University of Cambridge, Summer 2014/2015;</w:t>
            </w:r>
          </w:p>
          <w:p w14:paraId="51A21509" w14:textId="77777777"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14:paraId="520DD23C" w14:textId="77777777" w:rsidR="006A6F94" w:rsidRPr="006A6F94" w:rsidRDefault="006A6F94" w:rsidP="006A6F94">
            <w:pPr>
              <w:spacing w:line="276" w:lineRule="auto"/>
              <w:ind w:left="6"/>
              <w:jc w:val="both"/>
              <w:rPr>
                <w:rFonts w:asciiTheme="minorHAnsi" w:hAnsiTheme="minorHAnsi" w:cstheme="minorHAnsi"/>
                <w:b/>
                <w:bCs/>
              </w:rPr>
            </w:pPr>
          </w:p>
          <w:p w14:paraId="77472B13" w14:textId="77777777" w:rsidR="006A6F94" w:rsidRPr="006A6F94" w:rsidRDefault="006A6F94" w:rsidP="006A6F94">
            <w:pPr>
              <w:spacing w:line="276" w:lineRule="auto"/>
              <w:ind w:left="6"/>
              <w:jc w:val="both"/>
              <w:rPr>
                <w:rFonts w:asciiTheme="minorHAnsi" w:hAnsiTheme="minorHAnsi" w:cstheme="minorHAnsi"/>
                <w:b/>
                <w:bCs/>
              </w:rPr>
            </w:pPr>
          </w:p>
          <w:p w14:paraId="004C6B99" w14:textId="77777777"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14:paraId="0EC86B15" w14:textId="77777777"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14:paraId="39C0B556"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14:paraId="30F968A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14:paraId="6B2FEA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14:paraId="283DDD21" w14:textId="77777777"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14:paraId="6859067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14:paraId="3A58F385" w14:textId="77777777"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14:paraId="01830053"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14:paraId="19B01CD0"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14:paraId="144E14EF"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14:paraId="1285CABD"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14:paraId="31BF6F7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lastRenderedPageBreak/>
              <w:t xml:space="preserve">Programme d'échange </w:t>
            </w:r>
          </w:p>
          <w:p w14:paraId="18231BC8"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14:paraId="15ED7BB2"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14:paraId="52AF280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24A06EC0"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14:paraId="39C58CD3"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14:paraId="6AB842A8"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14:paraId="39E2163A"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14:paraId="317B77D4" w14:textId="77777777"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14:paraId="68B0C1CD"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14:paraId="6007C1BE" w14:textId="77777777"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14:paraId="24A081EC"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Brain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14:paraId="3CA503C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14:paraId="218F3A0C"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14:paraId="0EB293C9"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14:paraId="73DC4D0C"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14:paraId="6584CD0D" w14:textId="77777777"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14:paraId="32BB6A21"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14:paraId="5AE337DF"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14:paraId="59E35594" w14:textId="77777777"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14:paraId="0156FA5E" w14:textId="77777777"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14:paraId="00CF9556"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14:paraId="36A0A5AA" w14:textId="77777777"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14:paraId="4C002A2F" w14:textId="77777777"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lastRenderedPageBreak/>
              <w:t>Évaluation neuropsychologique des patients</w:t>
            </w:r>
          </w:p>
          <w:p w14:paraId="3D5F19E0" w14:textId="77777777"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14:paraId="04708730" w14:textId="77777777" w:rsidR="00E739F8" w:rsidRDefault="00E739F8" w:rsidP="006A6F94">
            <w:pPr>
              <w:spacing w:line="276" w:lineRule="auto"/>
              <w:ind w:left="6"/>
              <w:jc w:val="both"/>
              <w:rPr>
                <w:rFonts w:asciiTheme="minorHAnsi" w:hAnsiTheme="minorHAnsi" w:cstheme="minorHAnsi"/>
                <w:lang w:val="fr-FR"/>
              </w:rPr>
            </w:pPr>
          </w:p>
          <w:p w14:paraId="6BFEE39F" w14:textId="77777777" w:rsidR="00E739F8" w:rsidRPr="009F43B5" w:rsidRDefault="00E739F8" w:rsidP="00E739F8">
            <w:pPr>
              <w:spacing w:line="276" w:lineRule="auto"/>
              <w:ind w:left="6"/>
              <w:jc w:val="both"/>
              <w:rPr>
                <w:rFonts w:asciiTheme="minorHAnsi" w:hAnsiTheme="minorHAnsi" w:cstheme="minorHAnsi"/>
                <w:b/>
                <w:bCs/>
                <w:lang w:val="fr-FR"/>
              </w:rPr>
            </w:pPr>
          </w:p>
          <w:p w14:paraId="2C6F4AE4" w14:textId="77777777"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14:paraId="4498D7AE" w14:textId="2D7248CC"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fournies par le département informatique de</w:t>
            </w:r>
            <w:r w:rsidR="009462E4" w:rsidRPr="009F43B5">
              <w:rPr>
                <w:rFonts w:asciiTheme="minorHAnsi" w:hAnsiTheme="minorHAnsi" w:cstheme="minorHAnsi"/>
                <w:i/>
                <w:lang w:val="fr-FR"/>
              </w:rPr>
              <w:t xml:space="preserve"> l’ICM.</w:t>
            </w:r>
          </w:p>
          <w:p w14:paraId="369719A9" w14:textId="7DFAEF39"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r w:rsidR="009462E4">
              <w:rPr>
                <w:rFonts w:asciiTheme="minorHAnsi" w:hAnsiTheme="minorHAnsi" w:cstheme="minorHAnsi"/>
                <w:b/>
                <w:u w:val="single"/>
                <w:lang w:val="fr-FR"/>
              </w:rPr>
              <w:t xml:space="preserve"> PROFESSIONNELLE</w:t>
            </w:r>
          </w:p>
          <w:p w14:paraId="5DC02E00" w14:textId="382E208F"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14:paraId="30B1AC63"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0CCD600F" w14:textId="3C3D7939"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xml:space="preserve">: 9 masters, 1 doctorant (2018) en </w:t>
            </w:r>
            <w:proofErr w:type="spellStart"/>
            <w:r w:rsidRPr="009F43B5">
              <w:rPr>
                <w:rFonts w:asciiTheme="minorHAnsi" w:hAnsiTheme="minorHAnsi" w:cstheme="minorHAnsi"/>
                <w:bCs/>
                <w:lang w:val="fr-FR"/>
              </w:rPr>
              <w:t>co</w:t>
            </w:r>
            <w:proofErr w:type="spellEnd"/>
            <w:r w:rsidRPr="009F43B5">
              <w:rPr>
                <w:rFonts w:asciiTheme="minorHAnsi" w:hAnsiTheme="minorHAnsi" w:cstheme="minorHAnsi"/>
                <w:bCs/>
                <w:lang w:val="fr-FR"/>
              </w:rPr>
              <w:t>-supervision</w:t>
            </w:r>
          </w:p>
          <w:p w14:paraId="3DEAC5D0"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72B39666" w14:textId="2C565400"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proofErr w:type="spellStart"/>
            <w:r w:rsidRPr="003F47BA">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14:paraId="6E9DBF16"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14:paraId="34B8AEE5" w14:textId="77777777"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w:t>
            </w:r>
            <w:proofErr w:type="spellStart"/>
            <w:r w:rsidRPr="009F43B5">
              <w:rPr>
                <w:rFonts w:asciiTheme="minorHAnsi" w:hAnsiTheme="minorHAnsi" w:cstheme="minorHAnsi"/>
                <w:bCs/>
                <w:lang w:val="fr-FR"/>
              </w:rPr>
              <w:t>Dec</w:t>
            </w:r>
            <w:proofErr w:type="spellEnd"/>
            <w:r w:rsidRPr="009F43B5">
              <w:rPr>
                <w:rFonts w:asciiTheme="minorHAnsi" w:hAnsiTheme="minorHAnsi" w:cstheme="minorHAnsi"/>
                <w:bCs/>
                <w:lang w:val="fr-FR"/>
              </w:rPr>
              <w:t xml:space="preserve">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w:t>
            </w:r>
            <w:proofErr w:type="spellStart"/>
            <w:r w:rsidRPr="009F43B5">
              <w:rPr>
                <w:rFonts w:asciiTheme="minorHAnsi" w:hAnsiTheme="minorHAnsi" w:cstheme="minorHAnsi"/>
                <w:bCs/>
                <w:lang w:val="fr-FR"/>
              </w:rPr>
              <w:t>Interfacultaire</w:t>
            </w:r>
            <w:proofErr w:type="spellEnd"/>
            <w:r w:rsidRPr="009F43B5">
              <w:rPr>
                <w:rFonts w:asciiTheme="minorHAnsi" w:hAnsiTheme="minorHAnsi" w:cstheme="minorHAnsi"/>
                <w:bCs/>
                <w:lang w:val="fr-FR"/>
              </w:rPr>
              <w:t xml:space="preserve"> de Sciences Affectives (CISA, </w:t>
            </w:r>
            <w:proofErr w:type="gramStart"/>
            <w:r w:rsidRPr="009F43B5">
              <w:rPr>
                <w:rFonts w:asciiTheme="minorHAnsi" w:hAnsiTheme="minorHAnsi" w:cstheme="minorHAnsi"/>
                <w:bCs/>
                <w:lang w:val="fr-FR"/>
              </w:rPr>
              <w:t xml:space="preserve">Genève) </w:t>
            </w:r>
            <w:r>
              <w:rPr>
                <w:rFonts w:asciiTheme="minorHAnsi" w:hAnsiTheme="minorHAnsi" w:cstheme="minorHAnsi"/>
                <w:bCs/>
                <w:lang w:val="fr-FR"/>
              </w:rPr>
              <w:t xml:space="preserve"> </w:t>
            </w:r>
            <w:r w:rsidRPr="009F43B5">
              <w:rPr>
                <w:rFonts w:asciiTheme="minorHAnsi" w:hAnsiTheme="minorHAnsi" w:cstheme="minorHAnsi"/>
                <w:bCs/>
                <w:lang w:val="fr-FR"/>
              </w:rPr>
              <w:t>&amp;</w:t>
            </w:r>
            <w:proofErr w:type="gramEnd"/>
            <w:r w:rsidRPr="009F43B5">
              <w:rPr>
                <w:rFonts w:asciiTheme="minorHAnsi" w:hAnsiTheme="minorHAnsi" w:cstheme="minorHAnsi"/>
                <w:bCs/>
                <w:lang w:val="fr-FR"/>
              </w:rPr>
              <w:t xml:space="preserve">au </w:t>
            </w:r>
            <w:proofErr w:type="spellStart"/>
            <w:r w:rsidRPr="009F43B5">
              <w:rPr>
                <w:rFonts w:asciiTheme="minorHAnsi" w:hAnsiTheme="minorHAnsi" w:cstheme="minorHAnsi"/>
                <w:bCs/>
                <w:lang w:val="fr-FR"/>
              </w:rPr>
              <w:t>Labnic</w:t>
            </w:r>
            <w:proofErr w:type="spellEnd"/>
            <w:r w:rsidRPr="009F43B5">
              <w:rPr>
                <w:rFonts w:asciiTheme="minorHAnsi" w:hAnsiTheme="minorHAnsi" w:cstheme="minorHAnsi"/>
                <w:bCs/>
                <w:lang w:val="fr-FR"/>
              </w:rPr>
              <w:t xml:space="preserve"> (</w:t>
            </w:r>
            <w:proofErr w:type="spellStart"/>
            <w:r w:rsidRPr="009F43B5">
              <w:rPr>
                <w:rFonts w:asciiTheme="minorHAnsi" w:hAnsiTheme="minorHAnsi" w:cstheme="minorHAnsi"/>
                <w:bCs/>
                <w:lang w:val="fr-FR"/>
              </w:rPr>
              <w:t>Neurology</w:t>
            </w:r>
            <w:proofErr w:type="spellEnd"/>
            <w:r w:rsidRPr="009F43B5">
              <w:rPr>
                <w:rFonts w:asciiTheme="minorHAnsi" w:hAnsiTheme="minorHAnsi" w:cstheme="minorHAnsi"/>
                <w:bCs/>
                <w:lang w:val="fr-FR"/>
              </w:rPr>
              <w:t xml:space="preserve"> &amp; Imaging of Cognition </w:t>
            </w:r>
            <w:proofErr w:type="spellStart"/>
            <w:r w:rsidRPr="009F43B5">
              <w:rPr>
                <w:rFonts w:asciiTheme="minorHAnsi" w:hAnsiTheme="minorHAnsi" w:cstheme="minorHAnsi"/>
                <w:bCs/>
                <w:lang w:val="fr-FR"/>
              </w:rPr>
              <w:t>Laboratory</w:t>
            </w:r>
            <w:proofErr w:type="spellEnd"/>
            <w:r w:rsidRPr="009F43B5">
              <w:rPr>
                <w:rFonts w:asciiTheme="minorHAnsi" w:hAnsiTheme="minorHAnsi" w:cstheme="minorHAnsi"/>
                <w:bCs/>
                <w:lang w:val="fr-FR"/>
              </w:rPr>
              <w:t>), Université de Genève</w:t>
            </w:r>
          </w:p>
          <w:p w14:paraId="2C1A636E" w14:textId="77777777" w:rsidR="00E739F8" w:rsidRDefault="00E739F8" w:rsidP="00E739F8">
            <w:pPr>
              <w:spacing w:line="276" w:lineRule="auto"/>
              <w:ind w:left="6"/>
              <w:jc w:val="both"/>
              <w:rPr>
                <w:rFonts w:asciiTheme="minorHAnsi" w:hAnsiTheme="minorHAnsi" w:cstheme="minorHAnsi"/>
                <w:lang w:val="fr-FR"/>
              </w:rPr>
            </w:pPr>
          </w:p>
          <w:p w14:paraId="0B653D71" w14:textId="77777777"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14:paraId="45F2E0A8"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14:paraId="11A16740"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p>
          <w:p w14:paraId="7802AA09" w14:textId="77777777"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p>
          <w:p w14:paraId="1942066B" w14:textId="77777777" w:rsidR="00E739F8" w:rsidRDefault="00E739F8" w:rsidP="00E739F8">
            <w:pPr>
              <w:spacing w:line="276" w:lineRule="auto"/>
              <w:ind w:left="6"/>
              <w:jc w:val="both"/>
              <w:rPr>
                <w:rFonts w:asciiTheme="minorHAnsi" w:hAnsiTheme="minorHAnsi" w:cstheme="minorHAnsi"/>
                <w:lang w:val="fr-FR"/>
              </w:rPr>
            </w:pPr>
          </w:p>
          <w:p w14:paraId="14FD071F" w14:textId="77777777" w:rsidR="00E739F8" w:rsidRPr="006A6F94" w:rsidRDefault="00E739F8" w:rsidP="006A6F94">
            <w:pPr>
              <w:spacing w:line="276" w:lineRule="auto"/>
              <w:ind w:left="6"/>
              <w:jc w:val="both"/>
              <w:rPr>
                <w:rFonts w:asciiTheme="minorHAnsi" w:hAnsiTheme="minorHAnsi" w:cstheme="minorHAnsi"/>
                <w:lang w:val="fr-FR"/>
              </w:rPr>
            </w:pPr>
          </w:p>
        </w:tc>
      </w:tr>
    </w:tbl>
    <w:p w14:paraId="087217C5" w14:textId="77777777"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14:paraId="1C06A534" w14:textId="77777777" w:rsidR="00CE7074" w:rsidRPr="006A6F94" w:rsidRDefault="00CE7074" w:rsidP="006A6F94">
      <w:pPr>
        <w:spacing w:after="207" w:line="276" w:lineRule="auto"/>
        <w:ind w:left="-5" w:right="207" w:hanging="10"/>
        <w:jc w:val="both"/>
        <w:rPr>
          <w:rFonts w:asciiTheme="minorHAnsi" w:hAnsiTheme="minorHAnsi" w:cstheme="minorHAnsi"/>
          <w:lang w:val="fr-FR"/>
        </w:rPr>
      </w:pPr>
    </w:p>
    <w:p w14:paraId="45FC7E0D" w14:textId="77777777"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lastRenderedPageBreak/>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14:paraId="027CA17A" w14:textId="77777777"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14:anchorId="024B7641" wp14:editId="2404402F">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FBCD9" w14:textId="77777777" w:rsidR="00EA1A54" w:rsidRDefault="00EA1A54">
      <w:pPr>
        <w:spacing w:after="0" w:line="240" w:lineRule="auto"/>
      </w:pPr>
      <w:r>
        <w:separator/>
      </w:r>
    </w:p>
  </w:endnote>
  <w:endnote w:type="continuationSeparator" w:id="0">
    <w:p w14:paraId="6851DDD5" w14:textId="77777777" w:rsidR="00EA1A54" w:rsidRDefault="00EA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ACC8" w14:textId="77777777" w:rsidR="009D3267" w:rsidRDefault="009D3267">
    <w:pPr>
      <w:spacing w:after="0"/>
      <w:ind w:left="3"/>
      <w:jc w:val="center"/>
    </w:pPr>
    <w:r>
      <w:t xml:space="preserve">1 </w:t>
    </w:r>
  </w:p>
  <w:p w14:paraId="546228BB" w14:textId="77777777"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878B2" w14:textId="77777777" w:rsidR="009D3267" w:rsidRDefault="006A6F94">
    <w:pPr>
      <w:spacing w:after="0"/>
      <w:ind w:left="3"/>
      <w:jc w:val="center"/>
    </w:pPr>
    <w:r>
      <w:rPr>
        <w:noProof/>
      </w:rPr>
      <w:t>3</w:t>
    </w:r>
    <w:r w:rsidR="009D3267">
      <w:t xml:space="preserve"> </w:t>
    </w:r>
  </w:p>
  <w:p w14:paraId="71DB15E2" w14:textId="77777777"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2BCF" w14:textId="77777777" w:rsidR="009D3267" w:rsidRDefault="009D3267">
    <w:pPr>
      <w:spacing w:after="0"/>
      <w:ind w:left="3"/>
      <w:jc w:val="center"/>
    </w:pPr>
    <w:r>
      <w:t xml:space="preserve">1 </w:t>
    </w:r>
  </w:p>
  <w:p w14:paraId="745774BF" w14:textId="77777777"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8B957" w14:textId="77777777" w:rsidR="00EA1A54" w:rsidRDefault="00EA1A54">
      <w:pPr>
        <w:spacing w:after="0" w:line="240" w:lineRule="auto"/>
      </w:pPr>
      <w:r>
        <w:separator/>
      </w:r>
    </w:p>
  </w:footnote>
  <w:footnote w:type="continuationSeparator" w:id="0">
    <w:p w14:paraId="2D0DE36E" w14:textId="77777777" w:rsidR="00EA1A54" w:rsidRDefault="00EA1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83997"/>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35380"/>
    <w:rsid w:val="00440DBD"/>
    <w:rsid w:val="004653B1"/>
    <w:rsid w:val="00466824"/>
    <w:rsid w:val="004810F9"/>
    <w:rsid w:val="004B4819"/>
    <w:rsid w:val="004D2BF5"/>
    <w:rsid w:val="004E1D61"/>
    <w:rsid w:val="004E4839"/>
    <w:rsid w:val="00521BBA"/>
    <w:rsid w:val="00527956"/>
    <w:rsid w:val="00534017"/>
    <w:rsid w:val="00540C92"/>
    <w:rsid w:val="00555CC6"/>
    <w:rsid w:val="00562195"/>
    <w:rsid w:val="005939E5"/>
    <w:rsid w:val="005C61BF"/>
    <w:rsid w:val="00602D14"/>
    <w:rsid w:val="00604E51"/>
    <w:rsid w:val="00610AB1"/>
    <w:rsid w:val="00615472"/>
    <w:rsid w:val="006220A9"/>
    <w:rsid w:val="0063010B"/>
    <w:rsid w:val="00637F23"/>
    <w:rsid w:val="00652A60"/>
    <w:rsid w:val="00692E7D"/>
    <w:rsid w:val="006A24D7"/>
    <w:rsid w:val="006A3115"/>
    <w:rsid w:val="006A63F6"/>
    <w:rsid w:val="006A6F94"/>
    <w:rsid w:val="006C43CB"/>
    <w:rsid w:val="00720E90"/>
    <w:rsid w:val="007211B4"/>
    <w:rsid w:val="00726B5D"/>
    <w:rsid w:val="0074231E"/>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43B5"/>
    <w:rsid w:val="009F4973"/>
    <w:rsid w:val="00A029C6"/>
    <w:rsid w:val="00A21488"/>
    <w:rsid w:val="00A4369E"/>
    <w:rsid w:val="00A664B1"/>
    <w:rsid w:val="00A66BCB"/>
    <w:rsid w:val="00A7320B"/>
    <w:rsid w:val="00A91413"/>
    <w:rsid w:val="00A92AFF"/>
    <w:rsid w:val="00A92C0B"/>
    <w:rsid w:val="00AA3E65"/>
    <w:rsid w:val="00AB515F"/>
    <w:rsid w:val="00AD7720"/>
    <w:rsid w:val="00AF44E8"/>
    <w:rsid w:val="00B064C7"/>
    <w:rsid w:val="00B234FC"/>
    <w:rsid w:val="00B23EDE"/>
    <w:rsid w:val="00B342D8"/>
    <w:rsid w:val="00B36CB8"/>
    <w:rsid w:val="00B4593A"/>
    <w:rsid w:val="00B5684F"/>
    <w:rsid w:val="00B56B49"/>
    <w:rsid w:val="00B60C68"/>
    <w:rsid w:val="00B67474"/>
    <w:rsid w:val="00B677C4"/>
    <w:rsid w:val="00B9184E"/>
    <w:rsid w:val="00B955E7"/>
    <w:rsid w:val="00B95772"/>
    <w:rsid w:val="00BB1EA1"/>
    <w:rsid w:val="00BC12DA"/>
    <w:rsid w:val="00BC4F1A"/>
    <w:rsid w:val="00BC6AF4"/>
    <w:rsid w:val="00BD1F40"/>
    <w:rsid w:val="00BD2132"/>
    <w:rsid w:val="00BF5395"/>
    <w:rsid w:val="00C21D6F"/>
    <w:rsid w:val="00C43259"/>
    <w:rsid w:val="00C45029"/>
    <w:rsid w:val="00CA3C69"/>
    <w:rsid w:val="00CA69C2"/>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B7C43"/>
    <w:rsid w:val="00DD1E12"/>
    <w:rsid w:val="00DD4621"/>
    <w:rsid w:val="00DF76B4"/>
    <w:rsid w:val="00E17E68"/>
    <w:rsid w:val="00E61FA8"/>
    <w:rsid w:val="00E739F8"/>
    <w:rsid w:val="00E91AD1"/>
    <w:rsid w:val="00EA1A54"/>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C11F8"/>
    <w:rsid w:val="00FC1AF5"/>
    <w:rsid w:val="00FC6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CE4"/>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 Id="rId8" Type="http://schemas.openxmlformats.org/officeDocument/2006/relationships/hyperlink" Target="mailto:jean.daunizeau@gmail.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CD15F-188E-474C-B800-657948B6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9</TotalTime>
  <Pages>13</Pages>
  <Words>4515</Words>
  <Characters>24835</Characters>
  <Application>Microsoft Office Word</Application>
  <DocSecurity>0</DocSecurity>
  <Lines>206</Lines>
  <Paragraphs>58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7</cp:revision>
  <cp:lastPrinted>2020-04-30T14:15:00Z</cp:lastPrinted>
  <dcterms:created xsi:type="dcterms:W3CDTF">2020-05-25T10:51:00Z</dcterms:created>
  <dcterms:modified xsi:type="dcterms:W3CDTF">2020-06-03T08:43:00Z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