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more information, cross-reference this doc with the Art Direction Document made by Vinny.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11500" cy="3111500"/>
            <wp:effectExtent b="0" l="0" r="0" t="0"/>
            <wp:docPr descr="Jet Set Radio-like Bomb Rush Cyberfunk comes out next year | Rock Paper  Shotgun" id="2" name="image2.png"/>
            <a:graphic>
              <a:graphicData uri="http://schemas.openxmlformats.org/drawingml/2006/picture">
                <pic:pic>
                  <pic:nvPicPr>
                    <pic:cNvPr descr="Jet Set Radio-like Bomb Rush Cyberfunk comes out next year | Rock Paper  Shotgun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 white circles for impact could be used for ground-pound.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Possible Fire VFX that could run on WebGL.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descr="Xbox Sonic Riders Hover Race" id="1" name="image1.jpg"/>
            <a:graphic>
              <a:graphicData uri="http://schemas.openxmlformats.org/drawingml/2006/picture">
                <pic:pic>
                  <pic:nvPicPr>
                    <pic:cNvPr descr="Xbox Sonic Riders Hover Race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Those white afterimages could also be used (up to you if it looks good or not)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