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C96A38" w14:textId="426E24AD" w:rsidR="00CC4C22" w:rsidRDefault="00234058">
      <w:pPr>
        <w:rPr>
          <w:lang w:val="es-ES"/>
        </w:rPr>
      </w:pPr>
      <w:r>
        <w:rPr>
          <w:lang w:val="es-ES"/>
        </w:rPr>
        <w:t>Estado del arte</w:t>
      </w:r>
    </w:p>
    <w:p w14:paraId="0BE683B0" w14:textId="77777777" w:rsidR="00234058" w:rsidRDefault="00234058">
      <w:pPr>
        <w:rPr>
          <w:lang w:val="es-ES"/>
        </w:rPr>
      </w:pPr>
    </w:p>
    <w:p w14:paraId="06B24EC1" w14:textId="079D7F07" w:rsidR="00234058" w:rsidRDefault="003C1C6F" w:rsidP="003C1C6F">
      <w:pPr>
        <w:rPr>
          <w:lang w:val="es-ES"/>
        </w:rPr>
      </w:pPr>
      <w:r w:rsidRPr="003C1C6F">
        <w:rPr>
          <w:lang w:val="es-ES"/>
        </w:rPr>
        <w:t>Los sistemas de mensajería son componentes cruciales en arquitecturas de software distribuidas, permitiendo la comunicación asincrónica entre diferentes partes de un sistema. Desde sus inicios, estos sistemas han evolucionado para satisfacer las crecientes demandas de las aplicaciones modernas, que requieren alta disponibilidad, escalabilidad, baja latencia y resiliencia frente a fallos. La evolución de los sistemas de mensajería refleja cambios significativos en la arquitectura de software y en los requisitos de las aplicaciones a lo largo del tiempo.</w:t>
      </w:r>
      <w:r>
        <w:rPr>
          <w:lang w:val="es-ES"/>
        </w:rPr>
        <w:t xml:space="preserve"> A continuación, un resumen de la evolución de estos sistemas y que actores han tenido un impacto en este campo.</w:t>
      </w:r>
    </w:p>
    <w:p w14:paraId="7DF7B177" w14:textId="448ED394" w:rsidR="003C1C6F" w:rsidRDefault="003C1C6F" w:rsidP="003C1C6F">
      <w:pPr>
        <w:rPr>
          <w:lang w:val="es-ES"/>
        </w:rPr>
      </w:pPr>
      <w:r>
        <w:rPr>
          <w:lang w:val="es-ES"/>
        </w:rPr>
        <w:t>Evolución histórica</w:t>
      </w:r>
    </w:p>
    <w:p w14:paraId="5DB277E4" w14:textId="79AB973E" w:rsidR="003C1C6F" w:rsidRDefault="003C1C6F" w:rsidP="003C1C6F">
      <w:pPr>
        <w:rPr>
          <w:lang w:val="es-ES"/>
        </w:rPr>
      </w:pPr>
      <w:r>
        <w:rPr>
          <w:lang w:val="es-ES"/>
        </w:rPr>
        <w:t>Primera generación: sistemas de mensajería centralizados</w:t>
      </w:r>
    </w:p>
    <w:p w14:paraId="4EE82A52" w14:textId="77777777" w:rsidR="003C1C6F" w:rsidRPr="003C1C6F" w:rsidRDefault="003C1C6F" w:rsidP="003C1C6F">
      <w:pPr>
        <w:rPr>
          <w:lang w:val="es-ES"/>
        </w:rPr>
      </w:pPr>
      <w:r w:rsidRPr="003C1C6F">
        <w:rPr>
          <w:lang w:val="es-ES"/>
        </w:rPr>
        <w:t xml:space="preserve">Década de 1980 - 1990: En los primeros días de la computación distribuida, los sistemas de mensajería como IBM MQ (anteriormente </w:t>
      </w:r>
      <w:proofErr w:type="spellStart"/>
      <w:r w:rsidRPr="003C1C6F">
        <w:rPr>
          <w:lang w:val="es-ES"/>
        </w:rPr>
        <w:t>MQSeries</w:t>
      </w:r>
      <w:proofErr w:type="spellEnd"/>
      <w:r w:rsidRPr="003C1C6F">
        <w:rPr>
          <w:lang w:val="es-ES"/>
        </w:rPr>
        <w:t xml:space="preserve">) y TIBCO </w:t>
      </w:r>
      <w:proofErr w:type="spellStart"/>
      <w:r w:rsidRPr="003C1C6F">
        <w:rPr>
          <w:lang w:val="es-ES"/>
        </w:rPr>
        <w:t>Rendezvous</w:t>
      </w:r>
      <w:proofErr w:type="spellEnd"/>
      <w:r w:rsidRPr="003C1C6F">
        <w:rPr>
          <w:lang w:val="es-ES"/>
        </w:rPr>
        <w:t xml:space="preserve"> surgieron como soluciones pioneras. Estos sistemas utilizaban una arquitectura centralizada con un </w:t>
      </w:r>
      <w:proofErr w:type="spellStart"/>
      <w:r w:rsidRPr="003C1C6F">
        <w:rPr>
          <w:lang w:val="es-ES"/>
        </w:rPr>
        <w:t>broker</w:t>
      </w:r>
      <w:proofErr w:type="spellEnd"/>
      <w:r w:rsidRPr="003C1C6F">
        <w:rPr>
          <w:lang w:val="es-ES"/>
        </w:rPr>
        <w:t xml:space="preserve"> que gestionaba todas las comunicaciones entre los clientes. El objetivo principal era garantizar la entrega confiable de mensajes en sistemas empresariales tradicionales, como las aplicaciones bancarias y de seguros. Estos sistemas soportaban características básicas como colas persistentes y entrega garantizada de mensajes.</w:t>
      </w:r>
    </w:p>
    <w:p w14:paraId="07D3ADD8" w14:textId="3BAC6867" w:rsidR="003C1C6F" w:rsidRDefault="003C1C6F" w:rsidP="003C1C6F">
      <w:pPr>
        <w:rPr>
          <w:lang w:val="es-ES"/>
        </w:rPr>
      </w:pPr>
      <w:r w:rsidRPr="003C1C6F">
        <w:rPr>
          <w:lang w:val="es-ES"/>
        </w:rPr>
        <w:t>Ventajas y Limitaciones: Si bien estos sistemas proporcionaban una entrega de mensajes fiable y transaccional, tenían una escalabilidad limitada y dependían de un único punto de fallo, lo que los hacía inadecuados para aplicaciones de gran escala y alto rendimiento.</w:t>
      </w:r>
    </w:p>
    <w:p w14:paraId="21CDF299" w14:textId="77777777" w:rsidR="003C1C6F" w:rsidRDefault="003C1C6F" w:rsidP="003C1C6F">
      <w:pPr>
        <w:rPr>
          <w:lang w:val="es-ES"/>
        </w:rPr>
      </w:pPr>
    </w:p>
    <w:p w14:paraId="653530C4" w14:textId="0B5DD591" w:rsidR="003C1C6F" w:rsidRDefault="003C1C6F" w:rsidP="003C1C6F">
      <w:pPr>
        <w:rPr>
          <w:lang w:val="es-ES"/>
        </w:rPr>
      </w:pPr>
      <w:r>
        <w:rPr>
          <w:lang w:val="es-ES"/>
        </w:rPr>
        <w:t xml:space="preserve">Segunda generación: protocolos estandarizados y sistemas interoperables </w:t>
      </w:r>
    </w:p>
    <w:p w14:paraId="0EEBFF58" w14:textId="77777777" w:rsidR="003C1C6F" w:rsidRPr="003C1C6F" w:rsidRDefault="003C1C6F" w:rsidP="003C1C6F">
      <w:pPr>
        <w:rPr>
          <w:lang w:val="es-ES"/>
        </w:rPr>
      </w:pPr>
      <w:r w:rsidRPr="003C1C6F">
        <w:rPr>
          <w:lang w:val="es-ES"/>
        </w:rPr>
        <w:t>Década de 1990 - 2000: A medida que la tecnología de Internet comenzó a crecer, hubo una demanda creciente de sistemas de mensajería más flexibles e interoperables. Se introdujeron protocolos estandarizados como AMQP (</w:t>
      </w:r>
      <w:proofErr w:type="spellStart"/>
      <w:r w:rsidRPr="003C1C6F">
        <w:rPr>
          <w:lang w:val="es-ES"/>
        </w:rPr>
        <w:t>Advanced</w:t>
      </w:r>
      <w:proofErr w:type="spellEnd"/>
      <w:r w:rsidRPr="003C1C6F">
        <w:rPr>
          <w:lang w:val="es-ES"/>
        </w:rPr>
        <w:t xml:space="preserve"> </w:t>
      </w:r>
      <w:proofErr w:type="spellStart"/>
      <w:r w:rsidRPr="003C1C6F">
        <w:rPr>
          <w:lang w:val="es-ES"/>
        </w:rPr>
        <w:t>Message</w:t>
      </w:r>
      <w:proofErr w:type="spellEnd"/>
      <w:r w:rsidRPr="003C1C6F">
        <w:rPr>
          <w:lang w:val="es-ES"/>
        </w:rPr>
        <w:t xml:space="preserve"> </w:t>
      </w:r>
      <w:proofErr w:type="spellStart"/>
      <w:r w:rsidRPr="003C1C6F">
        <w:rPr>
          <w:lang w:val="es-ES"/>
        </w:rPr>
        <w:t>Queuing</w:t>
      </w:r>
      <w:proofErr w:type="spellEnd"/>
      <w:r w:rsidRPr="003C1C6F">
        <w:rPr>
          <w:lang w:val="es-ES"/>
        </w:rPr>
        <w:t xml:space="preserve"> </w:t>
      </w:r>
      <w:proofErr w:type="spellStart"/>
      <w:r w:rsidRPr="003C1C6F">
        <w:rPr>
          <w:lang w:val="es-ES"/>
        </w:rPr>
        <w:t>Protocol</w:t>
      </w:r>
      <w:proofErr w:type="spellEnd"/>
      <w:r w:rsidRPr="003C1C6F">
        <w:rPr>
          <w:lang w:val="es-ES"/>
        </w:rPr>
        <w:t xml:space="preserve">), que promovieron la interoperabilidad entre diferentes plataformas y lenguajes. Durante este período, emergieron </w:t>
      </w:r>
      <w:proofErr w:type="spellStart"/>
      <w:r w:rsidRPr="003C1C6F">
        <w:rPr>
          <w:lang w:val="es-ES"/>
        </w:rPr>
        <w:t>brokers</w:t>
      </w:r>
      <w:proofErr w:type="spellEnd"/>
      <w:r w:rsidRPr="003C1C6F">
        <w:rPr>
          <w:lang w:val="es-ES"/>
        </w:rPr>
        <w:t xml:space="preserve"> de mensajes como </w:t>
      </w:r>
      <w:proofErr w:type="spellStart"/>
      <w:r w:rsidRPr="003C1C6F">
        <w:rPr>
          <w:lang w:val="es-ES"/>
        </w:rPr>
        <w:t>RabbitMQ</w:t>
      </w:r>
      <w:proofErr w:type="spellEnd"/>
      <w:r w:rsidRPr="003C1C6F">
        <w:rPr>
          <w:lang w:val="es-ES"/>
        </w:rPr>
        <w:t xml:space="preserve"> y Apache </w:t>
      </w:r>
      <w:proofErr w:type="spellStart"/>
      <w:r w:rsidRPr="003C1C6F">
        <w:rPr>
          <w:lang w:val="es-ES"/>
        </w:rPr>
        <w:t>ActiveMQ</w:t>
      </w:r>
      <w:proofErr w:type="spellEnd"/>
      <w:r w:rsidRPr="003C1C6F">
        <w:rPr>
          <w:lang w:val="es-ES"/>
        </w:rPr>
        <w:t>, que ofrecían soporte para múltiples protocolos y enrutamiento avanzado de mensajes.</w:t>
      </w:r>
    </w:p>
    <w:p w14:paraId="30F85B4A" w14:textId="0EAF7F08" w:rsidR="003C1C6F" w:rsidRDefault="003C1C6F" w:rsidP="003C1C6F">
      <w:pPr>
        <w:rPr>
          <w:lang w:val="es-ES"/>
        </w:rPr>
      </w:pPr>
      <w:r w:rsidRPr="003C1C6F">
        <w:rPr>
          <w:lang w:val="es-ES"/>
        </w:rPr>
        <w:lastRenderedPageBreak/>
        <w:t>Ventajas y Limitaciones: Esta generación permitió una mayor flexibilidad y soporte para diversos casos de uso, como la integración de aplicaciones empresariales y el enrutamiento dinámico de mensajes. Sin embargo, la escalabilidad seguía siendo un desafío, y estos sistemas no estaban diseñados para la alta disponibilidad y el rendimiento requerido por las aplicaciones en tiempo real.</w:t>
      </w:r>
    </w:p>
    <w:p w14:paraId="57BA5334" w14:textId="77777777" w:rsidR="003C1C6F" w:rsidRDefault="003C1C6F" w:rsidP="003C1C6F">
      <w:pPr>
        <w:rPr>
          <w:lang w:val="es-ES"/>
        </w:rPr>
      </w:pPr>
    </w:p>
    <w:p w14:paraId="63CB65FA" w14:textId="1836409C" w:rsidR="003C1C6F" w:rsidRDefault="003C1C6F" w:rsidP="003C1C6F">
      <w:pPr>
        <w:rPr>
          <w:lang w:val="es-ES"/>
        </w:rPr>
      </w:pPr>
      <w:r>
        <w:rPr>
          <w:lang w:val="es-ES"/>
        </w:rPr>
        <w:t>Tercera generación: sistemas distribuidos y alta escalabilidad</w:t>
      </w:r>
    </w:p>
    <w:p w14:paraId="26535F8A" w14:textId="1ACAF8E5" w:rsidR="003C1C6F" w:rsidRPr="003C1C6F" w:rsidRDefault="003C1C6F" w:rsidP="003C1C6F">
      <w:pPr>
        <w:rPr>
          <w:lang w:val="es-UY"/>
        </w:rPr>
      </w:pPr>
      <w:r w:rsidRPr="003C1C6F">
        <w:rPr>
          <w:b/>
          <w:bCs/>
          <w:lang w:val="es-UY"/>
        </w:rPr>
        <w:t>Década de 2000 - 2010:</w:t>
      </w:r>
      <w:r w:rsidRPr="003C1C6F">
        <w:rPr>
          <w:lang w:val="es-UY"/>
        </w:rPr>
        <w:t xml:space="preserve"> Con la explosión de las aplicaciones web y la llegada de arquitecturas basadas en microservicios, surgió la necesidad de sistemas de mensajería más escalables y tolerantes a fallos. Sistemas como </w:t>
      </w:r>
      <w:r w:rsidRPr="003C1C6F">
        <w:rPr>
          <w:b/>
          <w:bCs/>
          <w:lang w:val="es-UY"/>
        </w:rPr>
        <w:t>Apache Kafka</w:t>
      </w:r>
      <w:r w:rsidRPr="003C1C6F">
        <w:rPr>
          <w:lang w:val="es-UY"/>
        </w:rPr>
        <w:t xml:space="preserve"> fueron diseñados para manejar grandes volúmenes de datos en tiempo real con una arquitectura distribuida y sin puntos únicos de fallo. Kafka, en particular, adoptó un modelo basado en registros (logs) que permite la persistencia de datos de alta velocidad y la capacidad de procesar flujos de datos en tiempo real.</w:t>
      </w:r>
    </w:p>
    <w:p w14:paraId="2481EA82" w14:textId="2428267E" w:rsidR="003C1C6F" w:rsidRDefault="003C1C6F" w:rsidP="003C1C6F">
      <w:pPr>
        <w:rPr>
          <w:lang w:val="es-UY"/>
        </w:rPr>
      </w:pPr>
      <w:r w:rsidRPr="003C1C6F">
        <w:rPr>
          <w:b/>
          <w:bCs/>
          <w:lang w:val="es-UY"/>
        </w:rPr>
        <w:t>Ventajas y Limitaciones:</w:t>
      </w:r>
      <w:r w:rsidRPr="003C1C6F">
        <w:rPr>
          <w:lang w:val="es-UY"/>
        </w:rPr>
        <w:t xml:space="preserve"> Esta generación logró superar las limitaciones de escalabilidad y resiliencia de los sistemas anteriores. Los sistemas distribuidos, como Kafka, permiten un escalado horizontal casi ilimitado y ofrecen alta disponibilidad mediante la replicación de datos. No obstante, requieren una gestión más compleja y habilidades técnicas avanzadas para su despliegue y operación.</w:t>
      </w:r>
    </w:p>
    <w:p w14:paraId="0C51C599" w14:textId="77777777" w:rsidR="003C1C6F" w:rsidRDefault="003C1C6F" w:rsidP="003C1C6F">
      <w:pPr>
        <w:rPr>
          <w:lang w:val="es-UY"/>
        </w:rPr>
      </w:pPr>
    </w:p>
    <w:p w14:paraId="49A7774C" w14:textId="3B4514E8" w:rsidR="003C1C6F" w:rsidRDefault="003C1C6F" w:rsidP="003C1C6F">
      <w:pPr>
        <w:rPr>
          <w:lang w:val="es-UY"/>
        </w:rPr>
      </w:pPr>
      <w:r>
        <w:rPr>
          <w:lang w:val="es-UY"/>
        </w:rPr>
        <w:t xml:space="preserve">Cuarta generación: </w:t>
      </w:r>
      <w:r w:rsidR="008C4D66">
        <w:rPr>
          <w:lang w:val="es-UY"/>
        </w:rPr>
        <w:t xml:space="preserve">simplicidad y bajo costo de operación </w:t>
      </w:r>
    </w:p>
    <w:p w14:paraId="72117240" w14:textId="77777777" w:rsidR="008C4D66" w:rsidRPr="008C4D66" w:rsidRDefault="008C4D66" w:rsidP="008C4D66">
      <w:pPr>
        <w:rPr>
          <w:lang w:val="es-ES"/>
        </w:rPr>
      </w:pPr>
      <w:r w:rsidRPr="008C4D66">
        <w:rPr>
          <w:lang w:val="es-ES"/>
        </w:rPr>
        <w:t>Década de 2010 - Presente: La necesidad de simplicidad en el despliegue y la operación ha llevado al desarrollo de sistemas de mensajería como NATS y NSQ, que priorizan una arquitectura sencilla, el rendimiento en tiempo real y un bajo coste operacional. Estos sistemas están diseñados para ser fáciles de implementar y operar, proporcionando una solución más ligera para aplicaciones que no necesitan la complejidad y robustez de sistemas como Kafka.</w:t>
      </w:r>
    </w:p>
    <w:p w14:paraId="033CC0A4" w14:textId="2258F252" w:rsidR="008C4D66" w:rsidRDefault="008C4D66" w:rsidP="008C4D66">
      <w:pPr>
        <w:rPr>
          <w:lang w:val="es-ES"/>
        </w:rPr>
      </w:pPr>
      <w:r w:rsidRPr="008C4D66">
        <w:rPr>
          <w:lang w:val="es-ES"/>
        </w:rPr>
        <w:t>Ventajas y Limitaciones: Estos sistemas permiten una rápida adopción y despliegue debido a su simplicidad. Sin embargo, pueden no ser adecuados para casos de uso que requieren características avanzadas como la persistencia de mensajes o el procesamiento de flujos de datos complejos.</w:t>
      </w:r>
    </w:p>
    <w:p w14:paraId="5F409021" w14:textId="77777777" w:rsidR="008C4D66" w:rsidRDefault="008C4D66" w:rsidP="008C4D66">
      <w:pPr>
        <w:rPr>
          <w:lang w:val="es-ES"/>
        </w:rPr>
      </w:pPr>
    </w:p>
    <w:p w14:paraId="1233DA3B" w14:textId="77777777" w:rsidR="008C4D66" w:rsidRDefault="008C4D66" w:rsidP="003C1C6F">
      <w:pPr>
        <w:rPr>
          <w:lang w:val="es-ES"/>
        </w:rPr>
      </w:pPr>
      <w:r>
        <w:rPr>
          <w:lang w:val="es-ES"/>
        </w:rPr>
        <w:t>Necesidad de los Sistemas de Mensajería</w:t>
      </w:r>
    </w:p>
    <w:p w14:paraId="7DF38A11" w14:textId="5C8D5AD8" w:rsidR="008C4D66" w:rsidRPr="008C4D66" w:rsidRDefault="008C4D66" w:rsidP="003C1C6F">
      <w:pPr>
        <w:rPr>
          <w:lang w:val="es-UY"/>
        </w:rPr>
      </w:pPr>
      <w:r w:rsidRPr="008C4D66">
        <w:rPr>
          <w:lang w:val="es-UY"/>
        </w:rPr>
        <w:t>La necesidad de sistemas de mensajería ha evolucionado paralelamente a las necesidades de la industria tecnológica:</w:t>
      </w:r>
    </w:p>
    <w:p w14:paraId="05759049" w14:textId="63700744" w:rsidR="003C1C6F" w:rsidRDefault="008C4D66" w:rsidP="008C4D66">
      <w:pPr>
        <w:pStyle w:val="Prrafodelista"/>
        <w:numPr>
          <w:ilvl w:val="0"/>
          <w:numId w:val="1"/>
        </w:numPr>
        <w:rPr>
          <w:lang w:val="es-ES"/>
        </w:rPr>
      </w:pPr>
      <w:r>
        <w:rPr>
          <w:lang w:val="es-ES"/>
        </w:rPr>
        <w:lastRenderedPageBreak/>
        <w:t>Desacoplamiento y escalabilidad:</w:t>
      </w:r>
    </w:p>
    <w:p w14:paraId="61758C23" w14:textId="7B27BECC" w:rsidR="008C4D66" w:rsidRDefault="008C4D66" w:rsidP="008C4D66">
      <w:pPr>
        <w:pStyle w:val="Prrafodelista"/>
        <w:numPr>
          <w:ilvl w:val="1"/>
          <w:numId w:val="1"/>
        </w:numPr>
        <w:rPr>
          <w:lang w:val="es-ES"/>
        </w:rPr>
      </w:pPr>
      <w:r w:rsidRPr="008C4D66">
        <w:rPr>
          <w:lang w:val="es-ES"/>
        </w:rPr>
        <w:t>Las arquitecturas modernas, especialmente las basadas en microservicios, requieren un alto nivel de desacoplamiento entre los componentes. Los sistemas de mensajería permiten a los desarrolladores construir sistemas donde los componentes pueden comunicarse sin estar directamente conectados, lo que facilita la escalabilidad y el mantenimiento del sistema.</w:t>
      </w:r>
    </w:p>
    <w:p w14:paraId="3A0AE9BA" w14:textId="1D1AF1FC" w:rsidR="008C4D66" w:rsidRDefault="008C4D66" w:rsidP="008C4D66">
      <w:pPr>
        <w:pStyle w:val="Prrafodelista"/>
        <w:numPr>
          <w:ilvl w:val="0"/>
          <w:numId w:val="1"/>
        </w:numPr>
        <w:rPr>
          <w:lang w:val="es-ES"/>
        </w:rPr>
      </w:pPr>
      <w:r>
        <w:rPr>
          <w:lang w:val="es-ES"/>
        </w:rPr>
        <w:t>Procesamiento en tiempo real:</w:t>
      </w:r>
    </w:p>
    <w:p w14:paraId="088B5B8F" w14:textId="6A0B09CC" w:rsidR="008C4D66" w:rsidRDefault="008C4D66" w:rsidP="008C4D66">
      <w:pPr>
        <w:pStyle w:val="Prrafodelista"/>
        <w:numPr>
          <w:ilvl w:val="1"/>
          <w:numId w:val="1"/>
        </w:numPr>
        <w:rPr>
          <w:lang w:val="es-ES"/>
        </w:rPr>
      </w:pPr>
      <w:r w:rsidRPr="008C4D66">
        <w:rPr>
          <w:lang w:val="es-ES"/>
        </w:rPr>
        <w:t xml:space="preserve">Con la explosión de datos en tiempo real provenientes de aplicaciones web, dispositivos </w:t>
      </w:r>
      <w:proofErr w:type="spellStart"/>
      <w:r w:rsidRPr="008C4D66">
        <w:rPr>
          <w:lang w:val="es-ES"/>
        </w:rPr>
        <w:t>IoT</w:t>
      </w:r>
      <w:proofErr w:type="spellEnd"/>
      <w:r w:rsidRPr="008C4D66">
        <w:rPr>
          <w:lang w:val="es-ES"/>
        </w:rPr>
        <w:t>, y plataformas de análisis de datos, existe una necesidad creciente de sistemas de mensajería que puedan manejar grandes volúmenes de datos con baja latencia. Soluciones como Kafka y NATS están diseñadas para cumplir con estos requisitos.</w:t>
      </w:r>
    </w:p>
    <w:p w14:paraId="0E7825CD" w14:textId="084CBE97" w:rsidR="008C4D66" w:rsidRDefault="008C4D66" w:rsidP="008C4D66">
      <w:pPr>
        <w:pStyle w:val="Prrafodelista"/>
        <w:numPr>
          <w:ilvl w:val="0"/>
          <w:numId w:val="1"/>
        </w:numPr>
        <w:rPr>
          <w:lang w:val="es-ES"/>
        </w:rPr>
      </w:pPr>
      <w:r>
        <w:rPr>
          <w:lang w:val="es-ES"/>
        </w:rPr>
        <w:t>Alta disponibilidad y resiliencia:</w:t>
      </w:r>
    </w:p>
    <w:p w14:paraId="26A02184" w14:textId="4B01CC1E" w:rsidR="008C4D66" w:rsidRDefault="008C4D66" w:rsidP="008C4D66">
      <w:pPr>
        <w:pStyle w:val="Prrafodelista"/>
        <w:numPr>
          <w:ilvl w:val="1"/>
          <w:numId w:val="1"/>
        </w:numPr>
        <w:rPr>
          <w:lang w:val="es-ES"/>
        </w:rPr>
      </w:pPr>
      <w:r w:rsidRPr="008C4D66">
        <w:rPr>
          <w:lang w:val="es-ES"/>
        </w:rPr>
        <w:t>Los sistemas críticos requieren alta disponibilidad y resistencia a fallos. Los sistemas de mensajería distribuidos, como Kafka y NSQ, están diseñados para ser altamente disponibles y resistentes a fallos, lo cual es crucial en entornos de producción.</w:t>
      </w:r>
    </w:p>
    <w:p w14:paraId="72120B3B" w14:textId="62F96A50" w:rsidR="008C4D66" w:rsidRDefault="008C4D66" w:rsidP="008C4D66">
      <w:pPr>
        <w:pStyle w:val="Prrafodelista"/>
        <w:numPr>
          <w:ilvl w:val="0"/>
          <w:numId w:val="1"/>
        </w:numPr>
        <w:rPr>
          <w:lang w:val="es-ES"/>
        </w:rPr>
      </w:pPr>
      <w:r>
        <w:rPr>
          <w:lang w:val="es-ES"/>
        </w:rPr>
        <w:t>Facilidad de integración y operación:</w:t>
      </w:r>
    </w:p>
    <w:p w14:paraId="12C47F72" w14:textId="25B4DBC9" w:rsidR="008C4D66" w:rsidRDefault="008C4D66" w:rsidP="008C4D66">
      <w:pPr>
        <w:pStyle w:val="Prrafodelista"/>
        <w:numPr>
          <w:ilvl w:val="1"/>
          <w:numId w:val="1"/>
        </w:numPr>
        <w:rPr>
          <w:lang w:val="es-ES"/>
        </w:rPr>
      </w:pPr>
      <w:r w:rsidRPr="008C4D66">
        <w:rPr>
          <w:lang w:val="es-ES"/>
        </w:rPr>
        <w:t xml:space="preserve">Con la creciente adopción de arquitecturas en la nube y de DevOps, existe una demanda por sistemas que sean fáciles de integrar, desplegar y operar. Herramientas como </w:t>
      </w:r>
      <w:proofErr w:type="spellStart"/>
      <w:r w:rsidRPr="008C4D66">
        <w:rPr>
          <w:lang w:val="es-ES"/>
        </w:rPr>
        <w:t>RabbitMQ</w:t>
      </w:r>
      <w:proofErr w:type="spellEnd"/>
      <w:r w:rsidRPr="008C4D66">
        <w:rPr>
          <w:lang w:val="es-ES"/>
        </w:rPr>
        <w:t>, NATS y NSQ están optimizadas para la simplicidad de operación y despliegue en entornos en la nube.</w:t>
      </w:r>
    </w:p>
    <w:p w14:paraId="5D8B7426" w14:textId="77777777" w:rsidR="008C4D66" w:rsidRDefault="008C4D66" w:rsidP="008C4D66">
      <w:pPr>
        <w:rPr>
          <w:lang w:val="es-ES"/>
        </w:rPr>
      </w:pPr>
    </w:p>
    <w:p w14:paraId="3429B0DC" w14:textId="691856D4" w:rsidR="008C4D66" w:rsidRDefault="008C4D66" w:rsidP="008C4D66">
      <w:pPr>
        <w:rPr>
          <w:lang w:val="es-ES"/>
        </w:rPr>
      </w:pPr>
      <w:r>
        <w:rPr>
          <w:lang w:val="es-ES"/>
        </w:rPr>
        <w:t xml:space="preserve">Teniendo en cuenta lo antes planteado y habiendo hecho un análisis detallado de como estos sistemas fueron desarrollados y cuales objetivos perseguían, llegamos al punto de partida de nuestro trabajo de TFM “Trabajo de fin de Master”. Esta propuesta de mejora intenta solventar aspectos </w:t>
      </w:r>
      <w:r w:rsidR="00D76175">
        <w:rPr>
          <w:lang w:val="es-ES"/>
        </w:rPr>
        <w:t xml:space="preserve">tratados en trabajos anteriores, para poder llevar a cabo estas mejoras, hacemos uso de las últimas tecnologías existentes en el mercado relacionadas a la comunicación de microservicios, para ello partimos del uso de nuevos protocolos de comunicación como HTTP3, </w:t>
      </w:r>
      <w:proofErr w:type="spellStart"/>
      <w:r w:rsidR="00D76175">
        <w:rPr>
          <w:lang w:val="es-ES"/>
        </w:rPr>
        <w:t>gRPC</w:t>
      </w:r>
      <w:proofErr w:type="spellEnd"/>
      <w:r w:rsidR="00D76175">
        <w:rPr>
          <w:lang w:val="es-ES"/>
        </w:rPr>
        <w:t xml:space="preserve"> que brindan una mayor eficiencia en la comunicación entre microservicios.  Una breve descripción de estas 2 tecnologías esenciales para esta propuesta se brinda a continuación.</w:t>
      </w:r>
    </w:p>
    <w:p w14:paraId="0829D4CE" w14:textId="77777777" w:rsidR="00B17301" w:rsidRDefault="00B17301" w:rsidP="008C4D66">
      <w:pPr>
        <w:rPr>
          <w:lang w:val="es-ES"/>
        </w:rPr>
      </w:pPr>
    </w:p>
    <w:p w14:paraId="6B0AC92B" w14:textId="52A26481" w:rsidR="00B17301" w:rsidRDefault="00B17301" w:rsidP="008C4D66">
      <w:pPr>
        <w:rPr>
          <w:lang w:val="es-ES"/>
        </w:rPr>
      </w:pPr>
      <w:r>
        <w:rPr>
          <w:lang w:val="es-ES"/>
        </w:rPr>
        <w:t xml:space="preserve">HTTP/3 </w:t>
      </w:r>
    </w:p>
    <w:p w14:paraId="1C9BB64C" w14:textId="2B4AAB6E" w:rsidR="00B17301" w:rsidRDefault="00B17301" w:rsidP="008C4D66">
      <w:pPr>
        <w:rPr>
          <w:lang w:val="es-UY"/>
        </w:rPr>
      </w:pPr>
      <w:r w:rsidRPr="00B17301">
        <w:rPr>
          <w:lang w:val="es-UY"/>
        </w:rPr>
        <w:t>HTTP/3 es la tercera versión principal del Protocolo de Transferencia de Hipertexto (HTTP), el protocolo fundamental utilizado en la web para la comunicación entre navegadores y servidores. HTTP/3 es una evolución significativa con respecto a sus predecesores, HTTP/1.1 y HTTP/2, y se basa en el protocolo QUIC, desarrollado por Google.</w:t>
      </w:r>
    </w:p>
    <w:p w14:paraId="00CCAB1C" w14:textId="5727B1E9" w:rsidR="00B17301" w:rsidRDefault="00B17301" w:rsidP="008C4D66">
      <w:pPr>
        <w:rPr>
          <w:lang w:val="es-UY"/>
        </w:rPr>
      </w:pPr>
      <w:r>
        <w:rPr>
          <w:lang w:val="es-UY"/>
        </w:rPr>
        <w:lastRenderedPageBreak/>
        <w:t>Características principales:</w:t>
      </w:r>
    </w:p>
    <w:p w14:paraId="202349D1" w14:textId="0EE922FC" w:rsidR="00B17301" w:rsidRPr="00B17301" w:rsidRDefault="00B17301" w:rsidP="00B17301">
      <w:pPr>
        <w:rPr>
          <w:lang w:val="es-UY"/>
        </w:rPr>
      </w:pPr>
      <w:r w:rsidRPr="00B17301">
        <w:rPr>
          <w:lang w:val="es-UY"/>
        </w:rPr>
        <w:t>1.</w:t>
      </w:r>
      <w:r>
        <w:rPr>
          <w:lang w:val="es-UY"/>
        </w:rPr>
        <w:t xml:space="preserve"> </w:t>
      </w:r>
      <w:r w:rsidRPr="00B17301">
        <w:rPr>
          <w:lang w:val="es-UY"/>
        </w:rPr>
        <w:t>Basado en QUIC: A diferencia de HTTP/2, que se basa en TCP (Protocolo de Control de Transmisión), HTTP/3 utiliza QUIC, que es un protocolo de transporte desarrollado sobre UDP (Protocolo de Datagrama de Usuario). QUIC ofrece muchas mejoras sobre TCP, especialmente en términos de velocidad y seguridad.</w:t>
      </w:r>
    </w:p>
    <w:p w14:paraId="04D388FB" w14:textId="2BAE3F4B" w:rsidR="00B17301" w:rsidRPr="00B17301" w:rsidRDefault="00B17301" w:rsidP="00B17301">
      <w:pPr>
        <w:rPr>
          <w:lang w:val="es-UY"/>
        </w:rPr>
      </w:pPr>
      <w:r w:rsidRPr="00B17301">
        <w:rPr>
          <w:lang w:val="es-UY"/>
        </w:rPr>
        <w:t>2.</w:t>
      </w:r>
      <w:r>
        <w:rPr>
          <w:lang w:val="es-UY"/>
        </w:rPr>
        <w:t xml:space="preserve"> </w:t>
      </w:r>
      <w:r w:rsidRPr="00B17301">
        <w:rPr>
          <w:lang w:val="es-UY"/>
        </w:rPr>
        <w:t>Menor Latencia: HTTP/3 reduce la latencia de las conexiones, especialmente en redes con alta latencia o en conexiones móviles. Esto es posible gracias a las capacidades de multiplexación y recuperación de paquetes de QUIC, que evita los bloqueos de cabecera (head-</w:t>
      </w:r>
      <w:proofErr w:type="spellStart"/>
      <w:r w:rsidRPr="00B17301">
        <w:rPr>
          <w:lang w:val="es-UY"/>
        </w:rPr>
        <w:t>of</w:t>
      </w:r>
      <w:proofErr w:type="spellEnd"/>
      <w:r w:rsidRPr="00B17301">
        <w:rPr>
          <w:lang w:val="es-UY"/>
        </w:rPr>
        <w:t xml:space="preserve">-line </w:t>
      </w:r>
      <w:proofErr w:type="spellStart"/>
      <w:r w:rsidRPr="00B17301">
        <w:rPr>
          <w:lang w:val="es-UY"/>
        </w:rPr>
        <w:t>blocking</w:t>
      </w:r>
      <w:proofErr w:type="spellEnd"/>
      <w:r w:rsidRPr="00B17301">
        <w:rPr>
          <w:lang w:val="es-UY"/>
        </w:rPr>
        <w:t>) que ocurren en TCP.</w:t>
      </w:r>
    </w:p>
    <w:p w14:paraId="423AC58C" w14:textId="73EC796F" w:rsidR="00B17301" w:rsidRPr="00B17301" w:rsidRDefault="00B17301" w:rsidP="00B17301">
      <w:pPr>
        <w:rPr>
          <w:lang w:val="es-UY"/>
        </w:rPr>
      </w:pPr>
      <w:r w:rsidRPr="00B17301">
        <w:rPr>
          <w:lang w:val="es-UY"/>
        </w:rPr>
        <w:t>3.</w:t>
      </w:r>
      <w:r>
        <w:rPr>
          <w:lang w:val="es-UY"/>
        </w:rPr>
        <w:t xml:space="preserve"> </w:t>
      </w:r>
      <w:r w:rsidRPr="00B17301">
        <w:rPr>
          <w:lang w:val="es-UY"/>
        </w:rPr>
        <w:t xml:space="preserve">Reanudación de Conexiones: QUIC permite reanudar conexiones rápidamente, lo que es especialmente útil para dispositivos móviles que cambian de red (por ejemplo, de </w:t>
      </w:r>
      <w:proofErr w:type="spellStart"/>
      <w:r w:rsidRPr="00B17301">
        <w:rPr>
          <w:lang w:val="es-UY"/>
        </w:rPr>
        <w:t>Wi</w:t>
      </w:r>
      <w:proofErr w:type="spellEnd"/>
      <w:r w:rsidRPr="00B17301">
        <w:rPr>
          <w:lang w:val="es-UY"/>
        </w:rPr>
        <w:t>-Fi a 4G) sin necesidad de reiniciar la conexión desde cero.</w:t>
      </w:r>
    </w:p>
    <w:p w14:paraId="63B966D2" w14:textId="3A221CB0" w:rsidR="00B17301" w:rsidRPr="00B17301" w:rsidRDefault="00B17301" w:rsidP="00B17301">
      <w:pPr>
        <w:rPr>
          <w:lang w:val="es-UY"/>
        </w:rPr>
      </w:pPr>
      <w:r w:rsidRPr="00B17301">
        <w:rPr>
          <w:lang w:val="es-UY"/>
        </w:rPr>
        <w:t>4.</w:t>
      </w:r>
      <w:r>
        <w:rPr>
          <w:lang w:val="es-UY"/>
        </w:rPr>
        <w:t xml:space="preserve"> </w:t>
      </w:r>
      <w:r w:rsidRPr="00B17301">
        <w:rPr>
          <w:lang w:val="es-UY"/>
        </w:rPr>
        <w:t>Seguridad Incorporada: QUIC incorpora cifrado desde el principio (en el propio protocolo de transporte), lo que hace que las conexiones sean más seguras desde el momento en que se establecen. Este cifrado está basado en TLS 1.3, lo que proporciona un nivel de seguridad muy alto.</w:t>
      </w:r>
    </w:p>
    <w:p w14:paraId="5E48C9A1" w14:textId="004C0C61" w:rsidR="00B17301" w:rsidRDefault="00B17301" w:rsidP="00B17301">
      <w:pPr>
        <w:rPr>
          <w:lang w:val="es-UY"/>
        </w:rPr>
      </w:pPr>
      <w:r w:rsidRPr="00B17301">
        <w:rPr>
          <w:lang w:val="es-UY"/>
        </w:rPr>
        <w:t>5.</w:t>
      </w:r>
      <w:r>
        <w:rPr>
          <w:lang w:val="es-UY"/>
        </w:rPr>
        <w:t xml:space="preserve"> </w:t>
      </w:r>
      <w:r w:rsidRPr="00B17301">
        <w:rPr>
          <w:lang w:val="es-UY"/>
        </w:rPr>
        <w:t>Multiplexación Eficiente: HTTP/3 mejora la multiplexación de flujos dentro de una única conexión. Esto significa que múltiples solicitudes y respuestas pueden ser manejadas simultáneamente sin interferir entre sí, lo que mejora la eficiencia del uso de la red.</w:t>
      </w:r>
    </w:p>
    <w:p w14:paraId="5041FBC9" w14:textId="77777777" w:rsidR="00B17301" w:rsidRDefault="00B17301" w:rsidP="00B17301">
      <w:pPr>
        <w:rPr>
          <w:lang w:val="es-UY"/>
        </w:rPr>
      </w:pPr>
    </w:p>
    <w:p w14:paraId="5D4B6CDC" w14:textId="66F9FC04" w:rsidR="00B17301" w:rsidRDefault="00B17301" w:rsidP="00B17301">
      <w:pPr>
        <w:rPr>
          <w:lang w:val="es-UY"/>
        </w:rPr>
      </w:pPr>
      <w:proofErr w:type="spellStart"/>
      <w:r>
        <w:rPr>
          <w:lang w:val="es-UY"/>
        </w:rPr>
        <w:t>gRPC</w:t>
      </w:r>
      <w:proofErr w:type="spellEnd"/>
    </w:p>
    <w:p w14:paraId="600E5BFD" w14:textId="4B72EB0D" w:rsidR="00B17301" w:rsidRDefault="00B17301" w:rsidP="00B17301">
      <w:pPr>
        <w:rPr>
          <w:lang w:val="es-UY"/>
        </w:rPr>
      </w:pPr>
      <w:proofErr w:type="spellStart"/>
      <w:r w:rsidRPr="00B17301">
        <w:rPr>
          <w:lang w:val="es-UY"/>
        </w:rPr>
        <w:t>gRPC</w:t>
      </w:r>
      <w:proofErr w:type="spellEnd"/>
      <w:r w:rsidRPr="00B17301">
        <w:rPr>
          <w:lang w:val="es-UY"/>
        </w:rPr>
        <w:t xml:space="preserve"> significa Google Remote </w:t>
      </w:r>
      <w:proofErr w:type="spellStart"/>
      <w:r w:rsidRPr="00B17301">
        <w:rPr>
          <w:lang w:val="es-UY"/>
        </w:rPr>
        <w:t>Procedure</w:t>
      </w:r>
      <w:proofErr w:type="spellEnd"/>
      <w:r w:rsidRPr="00B17301">
        <w:rPr>
          <w:lang w:val="es-UY"/>
        </w:rPr>
        <w:t xml:space="preserve"> </w:t>
      </w:r>
      <w:proofErr w:type="spellStart"/>
      <w:r w:rsidRPr="00B17301">
        <w:rPr>
          <w:lang w:val="es-UY"/>
        </w:rPr>
        <w:t>Call</w:t>
      </w:r>
      <w:proofErr w:type="spellEnd"/>
      <w:r w:rsidRPr="00B17301">
        <w:rPr>
          <w:lang w:val="es-UY"/>
        </w:rPr>
        <w:t xml:space="preserve">. </w:t>
      </w:r>
      <w:proofErr w:type="spellStart"/>
      <w:r w:rsidRPr="00B17301">
        <w:rPr>
          <w:lang w:val="es-UY"/>
        </w:rPr>
        <w:t>gRPC</w:t>
      </w:r>
      <w:proofErr w:type="spellEnd"/>
      <w:r w:rsidRPr="00B17301">
        <w:rPr>
          <w:lang w:val="es-UY"/>
        </w:rPr>
        <w:t xml:space="preserve"> es un marco RPC de código abierto que se utiliza para crear </w:t>
      </w:r>
      <w:proofErr w:type="spellStart"/>
      <w:r w:rsidRPr="00B17301">
        <w:rPr>
          <w:lang w:val="es-UY"/>
        </w:rPr>
        <w:t>APIs</w:t>
      </w:r>
      <w:proofErr w:type="spellEnd"/>
      <w:r w:rsidRPr="00B17301">
        <w:rPr>
          <w:lang w:val="es-UY"/>
        </w:rPr>
        <w:t xml:space="preserve"> escalables y rápidas. Permite el desarrollo de sistemas en red y la comunicación abierta entre las aplicaciones cliente y servidor de </w:t>
      </w:r>
      <w:proofErr w:type="spellStart"/>
      <w:r w:rsidRPr="00B17301">
        <w:rPr>
          <w:lang w:val="es-UY"/>
        </w:rPr>
        <w:t>gRPC</w:t>
      </w:r>
      <w:proofErr w:type="spellEnd"/>
      <w:r w:rsidRPr="00B17301">
        <w:rPr>
          <w:lang w:val="es-UY"/>
        </w:rPr>
        <w:t xml:space="preserve">. </w:t>
      </w:r>
      <w:proofErr w:type="spellStart"/>
      <w:r w:rsidRPr="00B17301">
        <w:rPr>
          <w:lang w:val="es-UY"/>
        </w:rPr>
        <w:t>gRPC</w:t>
      </w:r>
      <w:proofErr w:type="spellEnd"/>
      <w:r w:rsidRPr="00B17301">
        <w:rPr>
          <w:lang w:val="es-UY"/>
        </w:rPr>
        <w:t xml:space="preserve"> ha sido adoptado por varias empresas tecnológicas de primer nivel, como Google, IBM y Netflix, entre otras. El marco de trabajo de </w:t>
      </w:r>
      <w:proofErr w:type="spellStart"/>
      <w:r w:rsidRPr="00B17301">
        <w:rPr>
          <w:lang w:val="es-UY"/>
        </w:rPr>
        <w:t>gRPC</w:t>
      </w:r>
      <w:proofErr w:type="spellEnd"/>
      <w:r w:rsidRPr="00B17301">
        <w:rPr>
          <w:lang w:val="es-UY"/>
        </w:rPr>
        <w:t xml:space="preserve"> depende de pilas de tecnología de vanguardia como HTTP/2, búferes de protocolo y más para una óptima protección de la API, llamadas a procedimientos remotos de alto rendimiento y escalabilidad.</w:t>
      </w:r>
    </w:p>
    <w:p w14:paraId="75725D72" w14:textId="77777777" w:rsidR="00B17301" w:rsidRDefault="00B17301" w:rsidP="00B17301">
      <w:pPr>
        <w:rPr>
          <w:lang w:val="es-UY"/>
        </w:rPr>
      </w:pPr>
    </w:p>
    <w:p w14:paraId="72D27A18" w14:textId="114C070A" w:rsidR="00B17301" w:rsidRDefault="00B17301" w:rsidP="00B17301">
      <w:pPr>
        <w:rPr>
          <w:lang w:val="es-UY"/>
        </w:rPr>
      </w:pPr>
      <w:r>
        <w:rPr>
          <w:lang w:val="es-UY"/>
        </w:rPr>
        <w:t>La unión de estas 2 tecnologías se ha podido hacer sobre la versión HTTP/2, esta</w:t>
      </w:r>
      <w:r w:rsidR="009E15E6">
        <w:rPr>
          <w:lang w:val="es-UY"/>
        </w:rPr>
        <w:t xml:space="preserve"> versión</w:t>
      </w:r>
      <w:r>
        <w:rPr>
          <w:lang w:val="es-UY"/>
        </w:rPr>
        <w:t xml:space="preserve"> </w:t>
      </w:r>
      <w:r w:rsidR="009E15E6">
        <w:rPr>
          <w:lang w:val="es-UY"/>
        </w:rPr>
        <w:t>está</w:t>
      </w:r>
      <w:r>
        <w:rPr>
          <w:lang w:val="es-UY"/>
        </w:rPr>
        <w:t xml:space="preserve"> basada en TPC como capa de transporte. En nuestra propuesta pretendemos combinar las ventajas de cada tecnología para beneficiarnos de los puntos positivos de ambas. </w:t>
      </w:r>
      <w:r w:rsidR="009E15E6" w:rsidRPr="009E15E6">
        <w:rPr>
          <w:lang w:val="es-UY"/>
        </w:rPr>
        <w:t>A modo comparativo se muestra una tabla donde se puede ver las diferentes características entre trabajos anteriores y nuestra propuesta de TFM.</w:t>
      </w:r>
    </w:p>
    <w:p w14:paraId="249A4CAF" w14:textId="77777777" w:rsidR="00B17301" w:rsidRDefault="00B17301" w:rsidP="00B17301">
      <w:pPr>
        <w:rPr>
          <w:lang w:val="es-UY"/>
        </w:rPr>
      </w:pPr>
    </w:p>
    <w:tbl>
      <w:tblPr>
        <w:tblStyle w:val="Tablaconcuadrcula"/>
        <w:tblpPr w:leftFromText="141" w:rightFromText="141" w:vertAnchor="text" w:horzAnchor="margin" w:tblpY="-1044"/>
        <w:tblW w:w="14234" w:type="dxa"/>
        <w:tblLook w:val="04A0" w:firstRow="1" w:lastRow="0" w:firstColumn="1" w:lastColumn="0" w:noHBand="0" w:noVBand="1"/>
      </w:tblPr>
      <w:tblGrid>
        <w:gridCol w:w="1207"/>
        <w:gridCol w:w="1977"/>
        <w:gridCol w:w="1945"/>
        <w:gridCol w:w="1611"/>
        <w:gridCol w:w="1892"/>
        <w:gridCol w:w="1855"/>
        <w:gridCol w:w="1904"/>
        <w:gridCol w:w="1843"/>
      </w:tblGrid>
      <w:tr w:rsidR="009E15E6" w:rsidRPr="00911BDC" w14:paraId="1DA9C176" w14:textId="77777777" w:rsidTr="009E15E6">
        <w:trPr>
          <w:trHeight w:val="1133"/>
        </w:trPr>
        <w:tc>
          <w:tcPr>
            <w:tcW w:w="1207" w:type="dxa"/>
            <w:shd w:val="clear" w:color="auto" w:fill="5B9BD5" w:themeFill="accent5"/>
          </w:tcPr>
          <w:p w14:paraId="3B9C7A0B" w14:textId="77777777" w:rsidR="009E15E6" w:rsidRPr="00911BDC" w:rsidRDefault="009E15E6" w:rsidP="009E15E6">
            <w:pPr>
              <w:rPr>
                <w:rFonts w:ascii="Arial" w:hAnsi="Arial" w:cs="Arial"/>
              </w:rPr>
            </w:pPr>
            <w:proofErr w:type="spellStart"/>
            <w:r w:rsidRPr="00911BDC">
              <w:rPr>
                <w:rFonts w:ascii="Arial" w:hAnsi="Arial" w:cs="Arial"/>
              </w:rPr>
              <w:lastRenderedPageBreak/>
              <w:t>Trabajos</w:t>
            </w:r>
            <w:proofErr w:type="spellEnd"/>
          </w:p>
        </w:tc>
        <w:tc>
          <w:tcPr>
            <w:tcW w:w="1977" w:type="dxa"/>
            <w:shd w:val="clear" w:color="auto" w:fill="5B9BD5" w:themeFill="accent5"/>
          </w:tcPr>
          <w:p w14:paraId="7D02BA3B" w14:textId="77777777" w:rsidR="009E15E6" w:rsidRPr="00911BDC" w:rsidRDefault="009E15E6" w:rsidP="009E15E6">
            <w:pPr>
              <w:rPr>
                <w:rFonts w:ascii="Arial" w:hAnsi="Arial" w:cs="Arial"/>
              </w:rPr>
            </w:pPr>
            <w:proofErr w:type="spellStart"/>
            <w:r w:rsidRPr="00911BDC">
              <w:rPr>
                <w:rFonts w:ascii="Arial" w:hAnsi="Arial" w:cs="Arial"/>
              </w:rPr>
              <w:t>Modelo</w:t>
            </w:r>
            <w:proofErr w:type="spellEnd"/>
            <w:r w:rsidRPr="00911BDC">
              <w:rPr>
                <w:rFonts w:ascii="Arial" w:hAnsi="Arial" w:cs="Arial"/>
              </w:rPr>
              <w:t xml:space="preserve"> de </w:t>
            </w:r>
            <w:proofErr w:type="spellStart"/>
            <w:r w:rsidRPr="00911BDC">
              <w:rPr>
                <w:rFonts w:ascii="Arial" w:hAnsi="Arial" w:cs="Arial"/>
              </w:rPr>
              <w:t>Mensajería</w:t>
            </w:r>
            <w:proofErr w:type="spellEnd"/>
          </w:p>
        </w:tc>
        <w:tc>
          <w:tcPr>
            <w:tcW w:w="1945" w:type="dxa"/>
            <w:shd w:val="clear" w:color="auto" w:fill="5B9BD5" w:themeFill="accent5"/>
          </w:tcPr>
          <w:p w14:paraId="6CAF5926" w14:textId="77777777" w:rsidR="009E15E6" w:rsidRPr="00911BDC" w:rsidRDefault="009E15E6" w:rsidP="009E15E6">
            <w:pPr>
              <w:rPr>
                <w:rFonts w:ascii="Arial" w:hAnsi="Arial" w:cs="Arial"/>
              </w:rPr>
            </w:pPr>
            <w:proofErr w:type="spellStart"/>
            <w:r w:rsidRPr="00911BDC">
              <w:rPr>
                <w:rFonts w:ascii="Arial" w:hAnsi="Arial" w:cs="Arial"/>
              </w:rPr>
              <w:t>Arquitectura</w:t>
            </w:r>
            <w:proofErr w:type="spellEnd"/>
          </w:p>
        </w:tc>
        <w:tc>
          <w:tcPr>
            <w:tcW w:w="1611" w:type="dxa"/>
            <w:shd w:val="clear" w:color="auto" w:fill="5B9BD5" w:themeFill="accent5"/>
          </w:tcPr>
          <w:p w14:paraId="1DFC006A" w14:textId="77777777" w:rsidR="009E15E6" w:rsidRPr="00911BDC" w:rsidRDefault="009E15E6" w:rsidP="009E15E6">
            <w:pPr>
              <w:rPr>
                <w:rFonts w:ascii="Arial" w:hAnsi="Arial" w:cs="Arial"/>
              </w:rPr>
            </w:pPr>
            <w:proofErr w:type="spellStart"/>
            <w:r w:rsidRPr="00911BDC">
              <w:rPr>
                <w:rFonts w:ascii="Arial" w:hAnsi="Arial" w:cs="Arial"/>
              </w:rPr>
              <w:t>Escalabilidad</w:t>
            </w:r>
            <w:proofErr w:type="spellEnd"/>
          </w:p>
        </w:tc>
        <w:tc>
          <w:tcPr>
            <w:tcW w:w="1892" w:type="dxa"/>
            <w:shd w:val="clear" w:color="auto" w:fill="5B9BD5" w:themeFill="accent5"/>
          </w:tcPr>
          <w:p w14:paraId="67A8B4DA" w14:textId="77777777" w:rsidR="009E15E6" w:rsidRPr="00911BDC" w:rsidRDefault="009E15E6" w:rsidP="009E15E6">
            <w:pPr>
              <w:rPr>
                <w:rFonts w:ascii="Arial" w:hAnsi="Arial" w:cs="Arial"/>
              </w:rPr>
            </w:pPr>
            <w:proofErr w:type="spellStart"/>
            <w:r w:rsidRPr="00911BDC">
              <w:rPr>
                <w:rFonts w:ascii="Arial" w:hAnsi="Arial" w:cs="Arial"/>
              </w:rPr>
              <w:t>Latencia</w:t>
            </w:r>
            <w:proofErr w:type="spellEnd"/>
          </w:p>
        </w:tc>
        <w:tc>
          <w:tcPr>
            <w:tcW w:w="1855" w:type="dxa"/>
            <w:shd w:val="clear" w:color="auto" w:fill="5B9BD5" w:themeFill="accent5"/>
          </w:tcPr>
          <w:p w14:paraId="4E2F00F0" w14:textId="77777777" w:rsidR="009E15E6" w:rsidRPr="00911BDC" w:rsidRDefault="009E15E6" w:rsidP="009E15E6">
            <w:pPr>
              <w:rPr>
                <w:rFonts w:ascii="Arial" w:hAnsi="Arial" w:cs="Arial"/>
              </w:rPr>
            </w:pPr>
            <w:proofErr w:type="spellStart"/>
            <w:r w:rsidRPr="00911BDC">
              <w:rPr>
                <w:rFonts w:ascii="Arial" w:hAnsi="Arial" w:cs="Arial"/>
              </w:rPr>
              <w:t>Persistencia</w:t>
            </w:r>
            <w:proofErr w:type="spellEnd"/>
          </w:p>
        </w:tc>
        <w:tc>
          <w:tcPr>
            <w:tcW w:w="1904" w:type="dxa"/>
            <w:shd w:val="clear" w:color="auto" w:fill="5B9BD5" w:themeFill="accent5"/>
          </w:tcPr>
          <w:p w14:paraId="7C43C6AF" w14:textId="77777777" w:rsidR="009E15E6" w:rsidRPr="00911BDC" w:rsidRDefault="009E15E6" w:rsidP="009E15E6">
            <w:pPr>
              <w:rPr>
                <w:rFonts w:ascii="Arial" w:hAnsi="Arial" w:cs="Arial"/>
              </w:rPr>
            </w:pPr>
            <w:proofErr w:type="spellStart"/>
            <w:r w:rsidRPr="00911BDC">
              <w:rPr>
                <w:rFonts w:ascii="Arial" w:hAnsi="Arial" w:cs="Arial"/>
              </w:rPr>
              <w:t>Complejidad</w:t>
            </w:r>
            <w:proofErr w:type="spellEnd"/>
            <w:r w:rsidRPr="00911BDC">
              <w:rPr>
                <w:rFonts w:ascii="Arial" w:hAnsi="Arial" w:cs="Arial"/>
              </w:rPr>
              <w:t xml:space="preserve"> de </w:t>
            </w:r>
            <w:proofErr w:type="spellStart"/>
            <w:r w:rsidRPr="00911BDC">
              <w:rPr>
                <w:rFonts w:ascii="Arial" w:hAnsi="Arial" w:cs="Arial"/>
              </w:rPr>
              <w:t>Gestión</w:t>
            </w:r>
            <w:proofErr w:type="spellEnd"/>
          </w:p>
        </w:tc>
        <w:tc>
          <w:tcPr>
            <w:tcW w:w="1843" w:type="dxa"/>
            <w:shd w:val="clear" w:color="auto" w:fill="5B9BD5" w:themeFill="accent5"/>
          </w:tcPr>
          <w:p w14:paraId="4F2A1D10" w14:textId="77777777" w:rsidR="009E15E6" w:rsidRPr="00911BDC" w:rsidRDefault="009E15E6" w:rsidP="009E15E6">
            <w:pPr>
              <w:rPr>
                <w:rFonts w:ascii="Arial" w:hAnsi="Arial" w:cs="Arial"/>
              </w:rPr>
            </w:pPr>
            <w:r w:rsidRPr="00911BDC">
              <w:rPr>
                <w:rFonts w:ascii="Arial" w:hAnsi="Arial" w:cs="Arial"/>
              </w:rPr>
              <w:t xml:space="preserve">Casos de Uso </w:t>
            </w:r>
            <w:proofErr w:type="spellStart"/>
            <w:r w:rsidRPr="00911BDC">
              <w:rPr>
                <w:rFonts w:ascii="Arial" w:hAnsi="Arial" w:cs="Arial"/>
              </w:rPr>
              <w:t>comunes</w:t>
            </w:r>
            <w:proofErr w:type="spellEnd"/>
            <w:r w:rsidRPr="00911BDC">
              <w:rPr>
                <w:rFonts w:ascii="Arial" w:hAnsi="Arial" w:cs="Arial"/>
              </w:rPr>
              <w:t xml:space="preserve">    </w:t>
            </w:r>
          </w:p>
        </w:tc>
      </w:tr>
      <w:tr w:rsidR="009E15E6" w:rsidRPr="009E15E6" w14:paraId="4EFF7833" w14:textId="77777777" w:rsidTr="009E15E6">
        <w:trPr>
          <w:trHeight w:val="571"/>
        </w:trPr>
        <w:tc>
          <w:tcPr>
            <w:tcW w:w="1207" w:type="dxa"/>
            <w:shd w:val="clear" w:color="auto" w:fill="5B9BD5" w:themeFill="accent5"/>
          </w:tcPr>
          <w:p w14:paraId="146F8CC2" w14:textId="77777777" w:rsidR="009E15E6" w:rsidRPr="00911BDC" w:rsidRDefault="009E15E6" w:rsidP="009E15E6">
            <w:pPr>
              <w:rPr>
                <w:rFonts w:ascii="Arial" w:hAnsi="Arial" w:cs="Arial"/>
              </w:rPr>
            </w:pPr>
            <w:r w:rsidRPr="00911BDC">
              <w:rPr>
                <w:rFonts w:ascii="Arial" w:hAnsi="Arial" w:cs="Arial"/>
              </w:rPr>
              <w:t>Apache Kafka</w:t>
            </w:r>
          </w:p>
        </w:tc>
        <w:tc>
          <w:tcPr>
            <w:tcW w:w="1977" w:type="dxa"/>
          </w:tcPr>
          <w:p w14:paraId="1677AD7E" w14:textId="77777777" w:rsidR="009E15E6" w:rsidRPr="009E15E6" w:rsidRDefault="009E15E6" w:rsidP="009E15E6">
            <w:pPr>
              <w:rPr>
                <w:rFonts w:ascii="Arial" w:hAnsi="Arial" w:cs="Arial"/>
                <w:lang w:val="es-UY"/>
              </w:rPr>
            </w:pPr>
            <w:r w:rsidRPr="009E15E6">
              <w:rPr>
                <w:rFonts w:ascii="Arial" w:hAnsi="Arial" w:cs="Arial"/>
                <w:lang w:val="es-UY"/>
              </w:rPr>
              <w:t>Publicar/Suscribir, Almacenamiento de Registros</w:t>
            </w:r>
          </w:p>
        </w:tc>
        <w:tc>
          <w:tcPr>
            <w:tcW w:w="1945" w:type="dxa"/>
          </w:tcPr>
          <w:p w14:paraId="08478B66" w14:textId="77777777" w:rsidR="009E15E6" w:rsidRPr="00911BDC" w:rsidRDefault="009E15E6" w:rsidP="009E15E6">
            <w:pPr>
              <w:rPr>
                <w:rFonts w:ascii="Arial" w:hAnsi="Arial" w:cs="Arial"/>
              </w:rPr>
            </w:pPr>
            <w:proofErr w:type="spellStart"/>
            <w:r w:rsidRPr="00911BDC">
              <w:rPr>
                <w:rFonts w:ascii="Arial" w:hAnsi="Arial" w:cs="Arial"/>
              </w:rPr>
              <w:t>Distribuida</w:t>
            </w:r>
            <w:proofErr w:type="spellEnd"/>
            <w:r w:rsidRPr="00911BDC">
              <w:rPr>
                <w:rFonts w:ascii="Arial" w:hAnsi="Arial" w:cs="Arial"/>
              </w:rPr>
              <w:t xml:space="preserve">, </w:t>
            </w:r>
            <w:proofErr w:type="spellStart"/>
            <w:r w:rsidRPr="00911BDC">
              <w:rPr>
                <w:rFonts w:ascii="Arial" w:hAnsi="Arial" w:cs="Arial"/>
              </w:rPr>
              <w:t>Clústeres</w:t>
            </w:r>
            <w:proofErr w:type="spellEnd"/>
            <w:r w:rsidRPr="00911BDC">
              <w:rPr>
                <w:rFonts w:ascii="Arial" w:hAnsi="Arial" w:cs="Arial"/>
              </w:rPr>
              <w:t xml:space="preserve"> </w:t>
            </w:r>
            <w:proofErr w:type="spellStart"/>
            <w:r w:rsidRPr="00911BDC">
              <w:rPr>
                <w:rFonts w:ascii="Arial" w:hAnsi="Arial" w:cs="Arial"/>
              </w:rPr>
              <w:t>Escalables</w:t>
            </w:r>
            <w:proofErr w:type="spellEnd"/>
          </w:p>
        </w:tc>
        <w:tc>
          <w:tcPr>
            <w:tcW w:w="16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15E6" w:rsidRPr="002A461D" w14:paraId="250E4498" w14:textId="77777777" w:rsidTr="00BF344D">
              <w:trPr>
                <w:tblCellSpacing w:w="15" w:type="dxa"/>
              </w:trPr>
              <w:tc>
                <w:tcPr>
                  <w:tcW w:w="0" w:type="auto"/>
                  <w:vAlign w:val="center"/>
                  <w:hideMark/>
                </w:tcPr>
                <w:p w14:paraId="3BBB8C9D" w14:textId="77777777" w:rsidR="009E15E6" w:rsidRPr="002A461D" w:rsidRDefault="009E15E6" w:rsidP="009E15E6">
                  <w:pPr>
                    <w:framePr w:hSpace="141" w:wrap="around" w:vAnchor="text" w:hAnchor="margin" w:y="-1044"/>
                    <w:spacing w:after="0" w:line="240" w:lineRule="auto"/>
                    <w:rPr>
                      <w:rFonts w:ascii="Arial" w:eastAsia="Times New Roman" w:hAnsi="Arial" w:cs="Arial"/>
                      <w:kern w:val="0"/>
                      <w:lang w:val="es-UY" w:eastAsia="es-UY"/>
                      <w14:ligatures w14:val="none"/>
                    </w:rPr>
                  </w:pPr>
                </w:p>
              </w:tc>
            </w:tr>
          </w:tbl>
          <w:p w14:paraId="2F6A41BA" w14:textId="77777777" w:rsidR="009E15E6" w:rsidRPr="002A461D" w:rsidRDefault="009E15E6" w:rsidP="009E15E6">
            <w:pPr>
              <w:rPr>
                <w:rFonts w:ascii="Arial" w:eastAsia="Times New Roman" w:hAnsi="Arial" w:cs="Arial"/>
                <w:vanish/>
                <w:kern w:val="0"/>
                <w:lang w:val="es-UY" w:eastAsia="es-UY"/>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tblGrid>
            <w:tr w:rsidR="009E15E6" w:rsidRPr="009E15E6" w14:paraId="2F57B0DD" w14:textId="77777777" w:rsidTr="00BF344D">
              <w:trPr>
                <w:tblCellSpacing w:w="15" w:type="dxa"/>
              </w:trPr>
              <w:tc>
                <w:tcPr>
                  <w:tcW w:w="0" w:type="auto"/>
                  <w:vAlign w:val="center"/>
                  <w:hideMark/>
                </w:tcPr>
                <w:p w14:paraId="1A68537D" w14:textId="77777777" w:rsidR="009E15E6" w:rsidRPr="002A461D" w:rsidRDefault="009E15E6" w:rsidP="009E15E6">
                  <w:pPr>
                    <w:framePr w:hSpace="141" w:wrap="around" w:vAnchor="text" w:hAnchor="margin" w:y="-1044"/>
                    <w:spacing w:after="0" w:line="240" w:lineRule="auto"/>
                    <w:rPr>
                      <w:rFonts w:ascii="Arial" w:eastAsia="Times New Roman" w:hAnsi="Arial" w:cs="Arial"/>
                      <w:kern w:val="0"/>
                      <w:lang w:val="es-UY" w:eastAsia="es-UY"/>
                      <w14:ligatures w14:val="none"/>
                    </w:rPr>
                  </w:pPr>
                  <w:r w:rsidRPr="002A461D">
                    <w:rPr>
                      <w:rFonts w:ascii="Arial" w:eastAsia="Times New Roman" w:hAnsi="Arial" w:cs="Arial"/>
                      <w:kern w:val="0"/>
                      <w:lang w:val="es-UY" w:eastAsia="es-UY"/>
                      <w14:ligatures w14:val="none"/>
                    </w:rPr>
                    <w:t>Alta, Capacidad de Manejar Millones de Mensajes por Segundo</w:t>
                  </w:r>
                </w:p>
              </w:tc>
            </w:tr>
          </w:tbl>
          <w:p w14:paraId="5228C894" w14:textId="77777777" w:rsidR="009E15E6" w:rsidRPr="00911BDC" w:rsidRDefault="009E15E6" w:rsidP="009E15E6">
            <w:pPr>
              <w:rPr>
                <w:rFonts w:ascii="Arial" w:hAnsi="Arial" w:cs="Arial"/>
                <w:lang w:val="es-UY"/>
              </w:rPr>
            </w:pPr>
          </w:p>
        </w:tc>
        <w:tc>
          <w:tcPr>
            <w:tcW w:w="1892" w:type="dxa"/>
          </w:tcPr>
          <w:p w14:paraId="01A3BBBF" w14:textId="77777777" w:rsidR="009E15E6" w:rsidRPr="00911BDC" w:rsidRDefault="009E15E6" w:rsidP="009E15E6">
            <w:pPr>
              <w:rPr>
                <w:rFonts w:ascii="Arial" w:hAnsi="Arial" w:cs="Arial"/>
              </w:rPr>
            </w:pPr>
            <w:r w:rsidRPr="00911BDC">
              <w:rPr>
                <w:rFonts w:ascii="Arial" w:hAnsi="Arial" w:cs="Arial"/>
              </w:rPr>
              <w:t xml:space="preserve">Baja, </w:t>
            </w:r>
            <w:proofErr w:type="spellStart"/>
            <w:r w:rsidRPr="00911BDC">
              <w:rPr>
                <w:rFonts w:ascii="Arial" w:hAnsi="Arial" w:cs="Arial"/>
              </w:rPr>
              <w:t>Milisegundos</w:t>
            </w:r>
            <w:proofErr w:type="spellEnd"/>
          </w:p>
        </w:tc>
        <w:tc>
          <w:tcPr>
            <w:tcW w:w="1855" w:type="dxa"/>
          </w:tcPr>
          <w:p w14:paraId="01664A09" w14:textId="77777777" w:rsidR="009E15E6" w:rsidRPr="009E15E6" w:rsidRDefault="009E15E6" w:rsidP="009E15E6">
            <w:pPr>
              <w:rPr>
                <w:rFonts w:ascii="Arial" w:hAnsi="Arial" w:cs="Arial"/>
                <w:lang w:val="es-UY"/>
              </w:rPr>
            </w:pPr>
            <w:r w:rsidRPr="009E15E6">
              <w:rPr>
                <w:rFonts w:ascii="Arial" w:hAnsi="Arial" w:cs="Arial"/>
                <w:lang w:val="es-UY"/>
              </w:rPr>
              <w:t>Alta, Almacenamiento Duradero y Tolerante a Fallos</w:t>
            </w:r>
          </w:p>
        </w:tc>
        <w:tc>
          <w:tcPr>
            <w:tcW w:w="1904" w:type="dxa"/>
          </w:tcPr>
          <w:p w14:paraId="4C32DEDC" w14:textId="77777777" w:rsidR="009E15E6" w:rsidRPr="009E15E6" w:rsidRDefault="009E15E6" w:rsidP="009E15E6">
            <w:pPr>
              <w:rPr>
                <w:rFonts w:ascii="Arial" w:hAnsi="Arial" w:cs="Arial"/>
                <w:lang w:val="es-UY"/>
              </w:rPr>
            </w:pPr>
            <w:r w:rsidRPr="009E15E6">
              <w:rPr>
                <w:rFonts w:ascii="Arial" w:hAnsi="Arial" w:cs="Arial"/>
                <w:lang w:val="es-UY"/>
              </w:rPr>
              <w:t>Alta, requiere conocimientos avanzados para configuración y gestión de clústeres</w:t>
            </w:r>
          </w:p>
        </w:tc>
        <w:tc>
          <w:tcPr>
            <w:tcW w:w="1843" w:type="dxa"/>
          </w:tcPr>
          <w:p w14:paraId="569C8DF9" w14:textId="77777777" w:rsidR="009E15E6" w:rsidRPr="009E15E6" w:rsidRDefault="009E15E6" w:rsidP="009E15E6">
            <w:pPr>
              <w:rPr>
                <w:rFonts w:ascii="Arial" w:hAnsi="Arial" w:cs="Arial"/>
                <w:lang w:val="es-UY"/>
              </w:rPr>
            </w:pPr>
            <w:r w:rsidRPr="009E15E6">
              <w:rPr>
                <w:rFonts w:ascii="Arial" w:hAnsi="Arial" w:cs="Arial"/>
                <w:lang w:val="es-UY"/>
              </w:rPr>
              <w:t>Analítica en Tiempo Real, Procesamiento de Eventos, Integración de Datos</w:t>
            </w:r>
          </w:p>
        </w:tc>
      </w:tr>
      <w:tr w:rsidR="009E15E6" w:rsidRPr="009E15E6" w14:paraId="2196C96D" w14:textId="77777777" w:rsidTr="009E15E6">
        <w:trPr>
          <w:trHeight w:val="571"/>
        </w:trPr>
        <w:tc>
          <w:tcPr>
            <w:tcW w:w="1207" w:type="dxa"/>
            <w:shd w:val="clear" w:color="auto" w:fill="5B9BD5" w:themeFill="accent5"/>
          </w:tcPr>
          <w:p w14:paraId="39B32833" w14:textId="77777777" w:rsidR="009E15E6" w:rsidRPr="00911BDC" w:rsidRDefault="009E15E6" w:rsidP="009E15E6">
            <w:pPr>
              <w:rPr>
                <w:rFonts w:ascii="Arial" w:hAnsi="Arial" w:cs="Arial"/>
              </w:rPr>
            </w:pPr>
            <w:r w:rsidRPr="00911BDC">
              <w:rPr>
                <w:rFonts w:ascii="Arial" w:hAnsi="Arial" w:cs="Arial"/>
              </w:rPr>
              <w:t>RabbitMQ</w:t>
            </w:r>
          </w:p>
        </w:tc>
        <w:tc>
          <w:tcPr>
            <w:tcW w:w="1977" w:type="dxa"/>
          </w:tcPr>
          <w:p w14:paraId="291A070B" w14:textId="77777777" w:rsidR="009E15E6" w:rsidRPr="009E15E6" w:rsidRDefault="009E15E6" w:rsidP="009E15E6">
            <w:pPr>
              <w:rPr>
                <w:rFonts w:ascii="Arial" w:hAnsi="Arial" w:cs="Arial"/>
                <w:lang w:val="es-UY"/>
              </w:rPr>
            </w:pPr>
            <w:proofErr w:type="spellStart"/>
            <w:r w:rsidRPr="009E15E6">
              <w:rPr>
                <w:rFonts w:ascii="Arial" w:hAnsi="Arial" w:cs="Arial"/>
                <w:lang w:val="es-UY"/>
              </w:rPr>
              <w:t>Broker</w:t>
            </w:r>
            <w:proofErr w:type="spellEnd"/>
            <w:r w:rsidRPr="009E15E6">
              <w:rPr>
                <w:rFonts w:ascii="Arial" w:hAnsi="Arial" w:cs="Arial"/>
                <w:lang w:val="es-UY"/>
              </w:rPr>
              <w:t xml:space="preserve"> de Mensajes, Enrutamiento Avanzado</w:t>
            </w:r>
          </w:p>
        </w:tc>
        <w:tc>
          <w:tcPr>
            <w:tcW w:w="1945" w:type="dxa"/>
          </w:tcPr>
          <w:p w14:paraId="668CF4A8" w14:textId="77777777" w:rsidR="009E15E6" w:rsidRPr="00911BDC" w:rsidRDefault="009E15E6" w:rsidP="009E15E6">
            <w:pPr>
              <w:rPr>
                <w:rFonts w:ascii="Arial" w:hAnsi="Arial" w:cs="Arial"/>
              </w:rPr>
            </w:pPr>
            <w:r w:rsidRPr="00911BDC">
              <w:rPr>
                <w:rFonts w:ascii="Arial" w:hAnsi="Arial" w:cs="Arial"/>
              </w:rPr>
              <w:t>Broker-</w:t>
            </w:r>
            <w:proofErr w:type="spellStart"/>
            <w:r w:rsidRPr="00911BDC">
              <w:rPr>
                <w:rFonts w:ascii="Arial" w:hAnsi="Arial" w:cs="Arial"/>
              </w:rPr>
              <w:t>Centralizada</w:t>
            </w:r>
            <w:proofErr w:type="spellEnd"/>
          </w:p>
        </w:tc>
        <w:tc>
          <w:tcPr>
            <w:tcW w:w="1611" w:type="dxa"/>
          </w:tcPr>
          <w:p w14:paraId="4892ABB2" w14:textId="77777777" w:rsidR="009E15E6" w:rsidRPr="009E15E6" w:rsidRDefault="009E15E6" w:rsidP="009E15E6">
            <w:pPr>
              <w:rPr>
                <w:rFonts w:ascii="Arial" w:hAnsi="Arial" w:cs="Arial"/>
                <w:lang w:val="es-UY"/>
              </w:rPr>
            </w:pPr>
            <w:r w:rsidRPr="009E15E6">
              <w:rPr>
                <w:rFonts w:ascii="Arial" w:hAnsi="Arial" w:cs="Arial"/>
                <w:lang w:val="es-UY"/>
              </w:rPr>
              <w:t xml:space="preserve">Alta, pero limitada por la centralización del </w:t>
            </w:r>
            <w:proofErr w:type="spellStart"/>
            <w:r w:rsidRPr="009E15E6">
              <w:rPr>
                <w:rFonts w:ascii="Arial" w:hAnsi="Arial" w:cs="Arial"/>
                <w:lang w:val="es-UY"/>
              </w:rPr>
              <w:t>broker</w:t>
            </w:r>
            <w:proofErr w:type="spellEnd"/>
          </w:p>
        </w:tc>
        <w:tc>
          <w:tcPr>
            <w:tcW w:w="1892" w:type="dxa"/>
          </w:tcPr>
          <w:p w14:paraId="3DD19D43" w14:textId="77777777" w:rsidR="009E15E6" w:rsidRPr="009E15E6" w:rsidRDefault="009E15E6" w:rsidP="009E15E6">
            <w:pPr>
              <w:rPr>
                <w:rFonts w:ascii="Arial" w:hAnsi="Arial" w:cs="Arial"/>
                <w:lang w:val="es-UY"/>
              </w:rPr>
            </w:pPr>
            <w:r w:rsidRPr="009E15E6">
              <w:rPr>
                <w:rFonts w:ascii="Arial" w:hAnsi="Arial" w:cs="Arial"/>
                <w:lang w:val="es-UY"/>
              </w:rPr>
              <w:t>Baja, pero puede aumentar con la complejidad del enrutamiento</w:t>
            </w:r>
          </w:p>
        </w:tc>
        <w:tc>
          <w:tcPr>
            <w:tcW w:w="1855" w:type="dxa"/>
          </w:tcPr>
          <w:p w14:paraId="2D8AE5C3" w14:textId="77777777" w:rsidR="009E15E6" w:rsidRPr="009E15E6" w:rsidRDefault="009E15E6" w:rsidP="009E15E6">
            <w:pPr>
              <w:rPr>
                <w:rFonts w:ascii="Arial" w:hAnsi="Arial" w:cs="Arial"/>
                <w:lang w:val="es-UY"/>
              </w:rPr>
            </w:pPr>
            <w:r w:rsidRPr="009E15E6">
              <w:rPr>
                <w:rFonts w:ascii="Arial" w:hAnsi="Arial" w:cs="Arial"/>
                <w:lang w:val="es-UY"/>
              </w:rPr>
              <w:t>Alta, con soporte para múltiples formatos de almacenamiento</w:t>
            </w:r>
          </w:p>
        </w:tc>
        <w:tc>
          <w:tcPr>
            <w:tcW w:w="1904" w:type="dxa"/>
          </w:tcPr>
          <w:p w14:paraId="449D3C30" w14:textId="77777777" w:rsidR="009E15E6" w:rsidRPr="009E15E6" w:rsidRDefault="009E15E6" w:rsidP="009E15E6">
            <w:pPr>
              <w:rPr>
                <w:rFonts w:ascii="Arial" w:hAnsi="Arial" w:cs="Arial"/>
                <w:lang w:val="es-UY"/>
              </w:rPr>
            </w:pPr>
            <w:r w:rsidRPr="009E15E6">
              <w:rPr>
                <w:rFonts w:ascii="Arial" w:hAnsi="Arial" w:cs="Arial"/>
                <w:lang w:val="es-UY"/>
              </w:rPr>
              <w:t xml:space="preserve">Media, administración de </w:t>
            </w:r>
            <w:proofErr w:type="spellStart"/>
            <w:r w:rsidRPr="009E15E6">
              <w:rPr>
                <w:rFonts w:ascii="Arial" w:hAnsi="Arial" w:cs="Arial"/>
                <w:lang w:val="es-UY"/>
              </w:rPr>
              <w:t>broker</w:t>
            </w:r>
            <w:proofErr w:type="spellEnd"/>
            <w:r w:rsidRPr="009E15E6">
              <w:rPr>
                <w:rFonts w:ascii="Arial" w:hAnsi="Arial" w:cs="Arial"/>
                <w:lang w:val="es-UY"/>
              </w:rPr>
              <w:t xml:space="preserve"> puede ser compleja en grandes sistemas</w:t>
            </w:r>
          </w:p>
        </w:tc>
        <w:tc>
          <w:tcPr>
            <w:tcW w:w="1843" w:type="dxa"/>
          </w:tcPr>
          <w:p w14:paraId="5F1AC8D0" w14:textId="77777777" w:rsidR="009E15E6" w:rsidRPr="009E15E6" w:rsidRDefault="009E15E6" w:rsidP="009E15E6">
            <w:pPr>
              <w:rPr>
                <w:rFonts w:ascii="Arial" w:hAnsi="Arial" w:cs="Arial"/>
                <w:lang w:val="es-UY"/>
              </w:rPr>
            </w:pPr>
            <w:r w:rsidRPr="009E15E6">
              <w:rPr>
                <w:rFonts w:ascii="Arial" w:hAnsi="Arial" w:cs="Arial"/>
                <w:lang w:val="es-UY"/>
              </w:rPr>
              <w:t>Comunicación entre Microservicios, Enrutamiento y Transformación de Mensajes</w:t>
            </w:r>
          </w:p>
        </w:tc>
      </w:tr>
      <w:tr w:rsidR="009E15E6" w:rsidRPr="009E15E6" w14:paraId="6F3C67A8" w14:textId="77777777" w:rsidTr="009E15E6">
        <w:trPr>
          <w:trHeight w:val="285"/>
        </w:trPr>
        <w:tc>
          <w:tcPr>
            <w:tcW w:w="1207" w:type="dxa"/>
            <w:shd w:val="clear" w:color="auto" w:fill="5B9BD5" w:themeFill="accent5"/>
          </w:tcPr>
          <w:p w14:paraId="30BA29B9" w14:textId="77777777" w:rsidR="009E15E6" w:rsidRPr="00911BDC" w:rsidRDefault="009E15E6" w:rsidP="009E15E6">
            <w:pPr>
              <w:rPr>
                <w:rFonts w:ascii="Arial" w:hAnsi="Arial" w:cs="Arial"/>
              </w:rPr>
            </w:pPr>
            <w:r w:rsidRPr="00911BDC">
              <w:rPr>
                <w:rFonts w:ascii="Arial" w:hAnsi="Arial" w:cs="Arial"/>
              </w:rPr>
              <w:t>NSQ</w:t>
            </w:r>
          </w:p>
        </w:tc>
        <w:tc>
          <w:tcPr>
            <w:tcW w:w="1977" w:type="dxa"/>
          </w:tcPr>
          <w:p w14:paraId="70DF70DA" w14:textId="77777777" w:rsidR="009E15E6" w:rsidRPr="009E15E6" w:rsidRDefault="009E15E6" w:rsidP="009E15E6">
            <w:pPr>
              <w:rPr>
                <w:rFonts w:ascii="Arial" w:hAnsi="Arial" w:cs="Arial"/>
                <w:lang w:val="es-UY"/>
              </w:rPr>
            </w:pPr>
            <w:r w:rsidRPr="009E15E6">
              <w:rPr>
                <w:rFonts w:ascii="Arial" w:hAnsi="Arial" w:cs="Arial"/>
                <w:lang w:val="es-UY"/>
              </w:rPr>
              <w:t xml:space="preserve">Sistema de Mensajería Distribuido sin </w:t>
            </w:r>
            <w:proofErr w:type="spellStart"/>
            <w:r w:rsidRPr="009E15E6">
              <w:rPr>
                <w:rFonts w:ascii="Arial" w:hAnsi="Arial" w:cs="Arial"/>
                <w:lang w:val="es-UY"/>
              </w:rPr>
              <w:t>Broker</w:t>
            </w:r>
            <w:proofErr w:type="spellEnd"/>
          </w:p>
        </w:tc>
        <w:tc>
          <w:tcPr>
            <w:tcW w:w="1945" w:type="dxa"/>
          </w:tcPr>
          <w:p w14:paraId="46F94272" w14:textId="77777777" w:rsidR="009E15E6" w:rsidRPr="00911BDC" w:rsidRDefault="009E15E6" w:rsidP="009E15E6">
            <w:pPr>
              <w:rPr>
                <w:rFonts w:ascii="Arial" w:hAnsi="Arial" w:cs="Arial"/>
              </w:rPr>
            </w:pPr>
            <w:proofErr w:type="spellStart"/>
            <w:r w:rsidRPr="00911BDC">
              <w:rPr>
                <w:rFonts w:ascii="Arial" w:hAnsi="Arial" w:cs="Arial"/>
              </w:rPr>
              <w:t>Distribuida</w:t>
            </w:r>
            <w:proofErr w:type="spellEnd"/>
            <w:r w:rsidRPr="00911BDC">
              <w:rPr>
                <w:rFonts w:ascii="Arial" w:hAnsi="Arial" w:cs="Arial"/>
              </w:rPr>
              <w:t xml:space="preserve">, No </w:t>
            </w:r>
            <w:proofErr w:type="spellStart"/>
            <w:r w:rsidRPr="00911BDC">
              <w:rPr>
                <w:rFonts w:ascii="Arial" w:hAnsi="Arial" w:cs="Arial"/>
              </w:rPr>
              <w:t>Requiere</w:t>
            </w:r>
            <w:proofErr w:type="spellEnd"/>
            <w:r w:rsidRPr="00911BDC">
              <w:rPr>
                <w:rFonts w:ascii="Arial" w:hAnsi="Arial" w:cs="Arial"/>
              </w:rPr>
              <w:t xml:space="preserve"> Brokers</w:t>
            </w:r>
          </w:p>
        </w:tc>
        <w:tc>
          <w:tcPr>
            <w:tcW w:w="1611" w:type="dxa"/>
          </w:tcPr>
          <w:p w14:paraId="6376F4F1" w14:textId="77777777" w:rsidR="009E15E6" w:rsidRPr="009E15E6" w:rsidRDefault="009E15E6" w:rsidP="009E15E6">
            <w:pPr>
              <w:rPr>
                <w:rFonts w:ascii="Arial" w:hAnsi="Arial" w:cs="Arial"/>
                <w:lang w:val="es-UY"/>
              </w:rPr>
            </w:pPr>
            <w:r w:rsidRPr="009E15E6">
              <w:rPr>
                <w:rFonts w:ascii="Arial" w:hAnsi="Arial" w:cs="Arial"/>
                <w:lang w:val="es-UY"/>
              </w:rPr>
              <w:t xml:space="preserve">Alta, gracias a la ausencia de </w:t>
            </w:r>
            <w:proofErr w:type="spellStart"/>
            <w:r w:rsidRPr="009E15E6">
              <w:rPr>
                <w:rFonts w:ascii="Arial" w:hAnsi="Arial" w:cs="Arial"/>
                <w:lang w:val="es-UY"/>
              </w:rPr>
              <w:t>broker</w:t>
            </w:r>
            <w:proofErr w:type="spellEnd"/>
          </w:p>
        </w:tc>
        <w:tc>
          <w:tcPr>
            <w:tcW w:w="1892" w:type="dxa"/>
          </w:tcPr>
          <w:p w14:paraId="659FA01C" w14:textId="77777777" w:rsidR="009E15E6" w:rsidRPr="009E15E6" w:rsidRDefault="009E15E6" w:rsidP="009E15E6">
            <w:pPr>
              <w:rPr>
                <w:rFonts w:ascii="Arial" w:hAnsi="Arial" w:cs="Arial"/>
                <w:lang w:val="es-UY"/>
              </w:rPr>
            </w:pPr>
            <w:r w:rsidRPr="009E15E6">
              <w:rPr>
                <w:rFonts w:ascii="Arial" w:hAnsi="Arial" w:cs="Arial"/>
                <w:lang w:val="es-UY"/>
              </w:rPr>
              <w:t>Baja, ideal para sistemas de baja latencia</w:t>
            </w:r>
          </w:p>
        </w:tc>
        <w:tc>
          <w:tcPr>
            <w:tcW w:w="1855" w:type="dxa"/>
          </w:tcPr>
          <w:p w14:paraId="37CE34DA" w14:textId="77777777" w:rsidR="009E15E6" w:rsidRPr="009E15E6" w:rsidRDefault="009E15E6" w:rsidP="009E15E6">
            <w:pPr>
              <w:rPr>
                <w:rFonts w:ascii="Arial" w:hAnsi="Arial" w:cs="Arial"/>
                <w:lang w:val="es-UY"/>
              </w:rPr>
            </w:pPr>
            <w:r w:rsidRPr="009E15E6">
              <w:rPr>
                <w:rFonts w:ascii="Arial" w:hAnsi="Arial" w:cs="Arial"/>
                <w:lang w:val="es-UY"/>
              </w:rPr>
              <w:t>Baja, no diseñada para almacenamiento persistente</w:t>
            </w:r>
          </w:p>
        </w:tc>
        <w:tc>
          <w:tcPr>
            <w:tcW w:w="1904" w:type="dxa"/>
          </w:tcPr>
          <w:p w14:paraId="7CCE717F" w14:textId="77777777" w:rsidR="009E15E6" w:rsidRPr="009E15E6" w:rsidRDefault="009E15E6" w:rsidP="009E15E6">
            <w:pPr>
              <w:rPr>
                <w:rFonts w:ascii="Arial" w:hAnsi="Arial" w:cs="Arial"/>
                <w:lang w:val="es-UY"/>
              </w:rPr>
            </w:pPr>
            <w:r w:rsidRPr="009E15E6">
              <w:rPr>
                <w:rFonts w:ascii="Arial" w:hAnsi="Arial" w:cs="Arial"/>
                <w:lang w:val="es-UY"/>
              </w:rPr>
              <w:t>Baja, configuración y despliegue sencillos</w:t>
            </w:r>
          </w:p>
        </w:tc>
        <w:tc>
          <w:tcPr>
            <w:tcW w:w="1843" w:type="dxa"/>
          </w:tcPr>
          <w:p w14:paraId="16E52155" w14:textId="77777777" w:rsidR="009E15E6" w:rsidRPr="009E15E6" w:rsidRDefault="009E15E6" w:rsidP="009E15E6">
            <w:pPr>
              <w:rPr>
                <w:rFonts w:ascii="Arial" w:hAnsi="Arial" w:cs="Arial"/>
                <w:lang w:val="es-UY"/>
              </w:rPr>
            </w:pPr>
            <w:r w:rsidRPr="009E15E6">
              <w:rPr>
                <w:rFonts w:ascii="Arial" w:hAnsi="Arial" w:cs="Arial"/>
                <w:lang w:val="es-UY"/>
              </w:rPr>
              <w:t>Sistemas de Mensajería de Alta Disponibilidad y Baja Latencia</w:t>
            </w:r>
          </w:p>
        </w:tc>
      </w:tr>
      <w:tr w:rsidR="009E15E6" w:rsidRPr="009E15E6" w14:paraId="45AD07D9" w14:textId="77777777" w:rsidTr="009E15E6">
        <w:trPr>
          <w:trHeight w:val="561"/>
        </w:trPr>
        <w:tc>
          <w:tcPr>
            <w:tcW w:w="1207" w:type="dxa"/>
            <w:shd w:val="clear" w:color="auto" w:fill="5B9BD5" w:themeFill="accent5"/>
          </w:tcPr>
          <w:p w14:paraId="7B61978E" w14:textId="77777777" w:rsidR="009E15E6" w:rsidRPr="00911BDC" w:rsidRDefault="009E15E6" w:rsidP="009E15E6">
            <w:pPr>
              <w:rPr>
                <w:rFonts w:ascii="Arial" w:hAnsi="Arial" w:cs="Arial"/>
              </w:rPr>
            </w:pPr>
            <w:r w:rsidRPr="00911BDC">
              <w:rPr>
                <w:rFonts w:ascii="Arial" w:hAnsi="Arial" w:cs="Arial"/>
              </w:rPr>
              <w:t>ActiveMQ</w:t>
            </w:r>
          </w:p>
        </w:tc>
        <w:tc>
          <w:tcPr>
            <w:tcW w:w="1977" w:type="dxa"/>
          </w:tcPr>
          <w:p w14:paraId="6A0028C8" w14:textId="77777777" w:rsidR="009E15E6" w:rsidRPr="009E15E6" w:rsidRDefault="009E15E6" w:rsidP="009E15E6">
            <w:pPr>
              <w:rPr>
                <w:rFonts w:ascii="Arial" w:hAnsi="Arial" w:cs="Arial"/>
                <w:lang w:val="es-UY"/>
              </w:rPr>
            </w:pPr>
            <w:proofErr w:type="spellStart"/>
            <w:r w:rsidRPr="009E15E6">
              <w:rPr>
                <w:rFonts w:ascii="Arial" w:hAnsi="Arial" w:cs="Arial"/>
                <w:lang w:val="es-UY"/>
              </w:rPr>
              <w:t>Broker</w:t>
            </w:r>
            <w:proofErr w:type="spellEnd"/>
            <w:r w:rsidRPr="009E15E6">
              <w:rPr>
                <w:rFonts w:ascii="Arial" w:hAnsi="Arial" w:cs="Arial"/>
                <w:lang w:val="es-UY"/>
              </w:rPr>
              <w:t xml:space="preserve"> de Mensajes con soporte JMS</w:t>
            </w:r>
          </w:p>
        </w:tc>
        <w:tc>
          <w:tcPr>
            <w:tcW w:w="1945" w:type="dxa"/>
          </w:tcPr>
          <w:p w14:paraId="232966C9" w14:textId="77777777" w:rsidR="009E15E6" w:rsidRPr="00911BDC" w:rsidRDefault="009E15E6" w:rsidP="009E15E6">
            <w:pPr>
              <w:rPr>
                <w:rFonts w:ascii="Arial" w:hAnsi="Arial" w:cs="Arial"/>
              </w:rPr>
            </w:pPr>
            <w:r w:rsidRPr="00911BDC">
              <w:rPr>
                <w:rFonts w:ascii="Arial" w:hAnsi="Arial" w:cs="Arial"/>
              </w:rPr>
              <w:t>Broker-</w:t>
            </w:r>
            <w:proofErr w:type="spellStart"/>
            <w:r w:rsidRPr="00911BDC">
              <w:rPr>
                <w:rFonts w:ascii="Arial" w:hAnsi="Arial" w:cs="Arial"/>
              </w:rPr>
              <w:t>Centralizada</w:t>
            </w:r>
            <w:proofErr w:type="spellEnd"/>
          </w:p>
        </w:tc>
        <w:tc>
          <w:tcPr>
            <w:tcW w:w="1611" w:type="dxa"/>
          </w:tcPr>
          <w:p w14:paraId="0658F69A" w14:textId="77777777" w:rsidR="009E15E6" w:rsidRPr="009E15E6" w:rsidRDefault="009E15E6" w:rsidP="009E15E6">
            <w:pPr>
              <w:rPr>
                <w:rFonts w:ascii="Arial" w:hAnsi="Arial" w:cs="Arial"/>
                <w:lang w:val="es-UY"/>
              </w:rPr>
            </w:pPr>
            <w:r w:rsidRPr="009E15E6">
              <w:rPr>
                <w:rFonts w:ascii="Arial" w:hAnsi="Arial" w:cs="Arial"/>
                <w:lang w:val="es-UY"/>
              </w:rPr>
              <w:t>Alta, mediante clústeres y replicación</w:t>
            </w:r>
          </w:p>
        </w:tc>
        <w:tc>
          <w:tcPr>
            <w:tcW w:w="1892" w:type="dxa"/>
          </w:tcPr>
          <w:p w14:paraId="1DF933A9" w14:textId="77777777" w:rsidR="009E15E6" w:rsidRPr="009E15E6" w:rsidRDefault="009E15E6" w:rsidP="009E15E6">
            <w:pPr>
              <w:rPr>
                <w:rFonts w:ascii="Arial" w:hAnsi="Arial" w:cs="Arial"/>
                <w:lang w:val="es-UY"/>
              </w:rPr>
            </w:pPr>
            <w:r w:rsidRPr="009E15E6">
              <w:rPr>
                <w:rFonts w:ascii="Arial" w:hAnsi="Arial" w:cs="Arial"/>
                <w:lang w:val="es-UY"/>
              </w:rPr>
              <w:t>Baja, pero puede verse afectada por la complejidad del sistema</w:t>
            </w:r>
          </w:p>
        </w:tc>
        <w:tc>
          <w:tcPr>
            <w:tcW w:w="1855" w:type="dxa"/>
          </w:tcPr>
          <w:p w14:paraId="7C3F9955" w14:textId="77777777" w:rsidR="009E15E6" w:rsidRPr="009E15E6" w:rsidRDefault="009E15E6" w:rsidP="009E15E6">
            <w:pPr>
              <w:rPr>
                <w:rFonts w:ascii="Arial" w:hAnsi="Arial" w:cs="Arial"/>
                <w:lang w:val="es-UY"/>
              </w:rPr>
            </w:pPr>
            <w:r w:rsidRPr="009E15E6">
              <w:rPr>
                <w:rFonts w:ascii="Arial" w:hAnsi="Arial" w:cs="Arial"/>
                <w:lang w:val="es-UY"/>
              </w:rPr>
              <w:t>Alta, con soporte para persistencia en múltiples bases de datos</w:t>
            </w:r>
          </w:p>
        </w:tc>
        <w:tc>
          <w:tcPr>
            <w:tcW w:w="1904" w:type="dxa"/>
          </w:tcPr>
          <w:p w14:paraId="2EEA41E6" w14:textId="77777777" w:rsidR="009E15E6" w:rsidRPr="009E15E6" w:rsidRDefault="009E15E6" w:rsidP="009E15E6">
            <w:pPr>
              <w:rPr>
                <w:rFonts w:ascii="Arial" w:hAnsi="Arial" w:cs="Arial"/>
                <w:lang w:val="es-UY"/>
              </w:rPr>
            </w:pPr>
            <w:r w:rsidRPr="009E15E6">
              <w:rPr>
                <w:rFonts w:ascii="Arial" w:hAnsi="Arial" w:cs="Arial"/>
                <w:lang w:val="es-UY"/>
              </w:rPr>
              <w:t xml:space="preserve">Media, configuración de clústeres y </w:t>
            </w:r>
            <w:proofErr w:type="spellStart"/>
            <w:r w:rsidRPr="009E15E6">
              <w:rPr>
                <w:rFonts w:ascii="Arial" w:hAnsi="Arial" w:cs="Arial"/>
                <w:lang w:val="es-UY"/>
              </w:rPr>
              <w:t>brokers</w:t>
            </w:r>
            <w:proofErr w:type="spellEnd"/>
            <w:r w:rsidRPr="009E15E6">
              <w:rPr>
                <w:rFonts w:ascii="Arial" w:hAnsi="Arial" w:cs="Arial"/>
                <w:lang w:val="es-UY"/>
              </w:rPr>
              <w:t xml:space="preserve"> requiere conocimientos avanzados</w:t>
            </w:r>
          </w:p>
        </w:tc>
        <w:tc>
          <w:tcPr>
            <w:tcW w:w="1843" w:type="dxa"/>
          </w:tcPr>
          <w:p w14:paraId="6BEEDD4F" w14:textId="77777777" w:rsidR="009E15E6" w:rsidRPr="009E15E6" w:rsidRDefault="009E15E6" w:rsidP="009E15E6">
            <w:pPr>
              <w:rPr>
                <w:rFonts w:ascii="Arial" w:hAnsi="Arial" w:cs="Arial"/>
                <w:lang w:val="es-UY"/>
              </w:rPr>
            </w:pPr>
            <w:r w:rsidRPr="009E15E6">
              <w:rPr>
                <w:rFonts w:ascii="Arial" w:hAnsi="Arial" w:cs="Arial"/>
                <w:lang w:val="es-UY"/>
              </w:rPr>
              <w:t>Integración de Aplicaciones, Mensajería Empresarial</w:t>
            </w:r>
          </w:p>
        </w:tc>
      </w:tr>
      <w:tr w:rsidR="009E15E6" w:rsidRPr="009E15E6" w14:paraId="772FC7A8" w14:textId="77777777" w:rsidTr="009E15E6">
        <w:trPr>
          <w:trHeight w:val="285"/>
        </w:trPr>
        <w:tc>
          <w:tcPr>
            <w:tcW w:w="1207" w:type="dxa"/>
            <w:shd w:val="clear" w:color="auto" w:fill="5B9BD5" w:themeFill="accent5"/>
          </w:tcPr>
          <w:p w14:paraId="1A12FC42" w14:textId="77777777" w:rsidR="009E15E6" w:rsidRPr="00911BDC" w:rsidRDefault="009E15E6" w:rsidP="009E15E6">
            <w:pPr>
              <w:rPr>
                <w:rFonts w:ascii="Arial" w:hAnsi="Arial" w:cs="Arial"/>
              </w:rPr>
            </w:pPr>
            <w:proofErr w:type="spellStart"/>
            <w:r w:rsidRPr="00911BDC">
              <w:rPr>
                <w:rFonts w:ascii="Arial" w:hAnsi="Arial" w:cs="Arial"/>
              </w:rPr>
              <w:t>ZeroMQ</w:t>
            </w:r>
            <w:proofErr w:type="spellEnd"/>
          </w:p>
        </w:tc>
        <w:tc>
          <w:tcPr>
            <w:tcW w:w="1977" w:type="dxa"/>
          </w:tcPr>
          <w:p w14:paraId="65641D15" w14:textId="77777777" w:rsidR="009E15E6" w:rsidRPr="009E15E6" w:rsidRDefault="009E15E6" w:rsidP="009E15E6">
            <w:pPr>
              <w:rPr>
                <w:rFonts w:ascii="Arial" w:hAnsi="Arial" w:cs="Arial"/>
                <w:lang w:val="es-UY"/>
              </w:rPr>
            </w:pPr>
            <w:r w:rsidRPr="009E15E6">
              <w:rPr>
                <w:rFonts w:ascii="Arial" w:hAnsi="Arial" w:cs="Arial"/>
                <w:lang w:val="es-UY"/>
              </w:rPr>
              <w:t>Biblioteca de Mensajería con Baja Latencia</w:t>
            </w:r>
          </w:p>
        </w:tc>
        <w:tc>
          <w:tcPr>
            <w:tcW w:w="1945" w:type="dxa"/>
          </w:tcPr>
          <w:p w14:paraId="4CBC95CE" w14:textId="77777777" w:rsidR="009E15E6" w:rsidRPr="00911BDC" w:rsidRDefault="009E15E6" w:rsidP="009E15E6">
            <w:pPr>
              <w:rPr>
                <w:rFonts w:ascii="Arial" w:hAnsi="Arial" w:cs="Arial"/>
              </w:rPr>
            </w:pPr>
            <w:r w:rsidRPr="00911BDC">
              <w:rPr>
                <w:rFonts w:ascii="Arial" w:hAnsi="Arial" w:cs="Arial"/>
              </w:rPr>
              <w:t xml:space="preserve">Punto a Punto, </w:t>
            </w:r>
            <w:proofErr w:type="spellStart"/>
            <w:r w:rsidRPr="00911BDC">
              <w:rPr>
                <w:rFonts w:ascii="Arial" w:hAnsi="Arial" w:cs="Arial"/>
              </w:rPr>
              <w:t>Distribuida</w:t>
            </w:r>
            <w:proofErr w:type="spellEnd"/>
          </w:p>
        </w:tc>
        <w:tc>
          <w:tcPr>
            <w:tcW w:w="1611" w:type="dxa"/>
          </w:tcPr>
          <w:p w14:paraId="79CBDE3E" w14:textId="77777777" w:rsidR="009E15E6" w:rsidRPr="009E15E6" w:rsidRDefault="009E15E6" w:rsidP="009E15E6">
            <w:pPr>
              <w:rPr>
                <w:rFonts w:ascii="Arial" w:hAnsi="Arial" w:cs="Arial"/>
                <w:lang w:val="es-UY"/>
              </w:rPr>
            </w:pPr>
            <w:r w:rsidRPr="009E15E6">
              <w:rPr>
                <w:rFonts w:ascii="Arial" w:hAnsi="Arial" w:cs="Arial"/>
                <w:lang w:val="es-UY"/>
              </w:rPr>
              <w:t>Alta, puede ser integrado en aplicaciones de gran escala</w:t>
            </w:r>
          </w:p>
        </w:tc>
        <w:tc>
          <w:tcPr>
            <w:tcW w:w="1892" w:type="dxa"/>
          </w:tcPr>
          <w:p w14:paraId="1D19EBA2" w14:textId="77777777" w:rsidR="009E15E6" w:rsidRPr="009E15E6" w:rsidRDefault="009E15E6" w:rsidP="009E15E6">
            <w:pPr>
              <w:rPr>
                <w:rFonts w:ascii="Arial" w:hAnsi="Arial" w:cs="Arial"/>
                <w:lang w:val="es-UY"/>
              </w:rPr>
            </w:pPr>
            <w:r w:rsidRPr="009E15E6">
              <w:rPr>
                <w:rFonts w:ascii="Arial" w:hAnsi="Arial" w:cs="Arial"/>
                <w:lang w:val="es-UY"/>
              </w:rPr>
              <w:t>Extremadamente baja, diseñada para aplicaciones críticas</w:t>
            </w:r>
          </w:p>
        </w:tc>
        <w:tc>
          <w:tcPr>
            <w:tcW w:w="1855" w:type="dxa"/>
          </w:tcPr>
          <w:p w14:paraId="06716A1D" w14:textId="77777777" w:rsidR="009E15E6" w:rsidRPr="009E15E6" w:rsidRDefault="009E15E6" w:rsidP="009E15E6">
            <w:pPr>
              <w:rPr>
                <w:rFonts w:ascii="Arial" w:hAnsi="Arial" w:cs="Arial"/>
                <w:lang w:val="es-UY"/>
              </w:rPr>
            </w:pPr>
            <w:r w:rsidRPr="009E15E6">
              <w:rPr>
                <w:rFonts w:ascii="Arial" w:hAnsi="Arial" w:cs="Arial"/>
                <w:lang w:val="es-UY"/>
              </w:rPr>
              <w:t>Baja, no diseñada para almacenamiento persistente</w:t>
            </w:r>
          </w:p>
        </w:tc>
        <w:tc>
          <w:tcPr>
            <w:tcW w:w="1904" w:type="dxa"/>
          </w:tcPr>
          <w:p w14:paraId="4800A038" w14:textId="77777777" w:rsidR="009E15E6" w:rsidRPr="009E15E6" w:rsidRDefault="009E15E6" w:rsidP="009E15E6">
            <w:pPr>
              <w:rPr>
                <w:rFonts w:ascii="Arial" w:hAnsi="Arial" w:cs="Arial"/>
                <w:lang w:val="es-UY"/>
              </w:rPr>
            </w:pPr>
            <w:r w:rsidRPr="009E15E6">
              <w:rPr>
                <w:rFonts w:ascii="Arial" w:hAnsi="Arial" w:cs="Arial"/>
                <w:lang w:val="es-UY"/>
              </w:rPr>
              <w:t>Media, requiere integración en el código de la aplicación</w:t>
            </w:r>
          </w:p>
        </w:tc>
        <w:tc>
          <w:tcPr>
            <w:tcW w:w="1843" w:type="dxa"/>
          </w:tcPr>
          <w:p w14:paraId="5B0F5B56" w14:textId="77777777" w:rsidR="009E15E6" w:rsidRPr="009E15E6" w:rsidRDefault="009E15E6" w:rsidP="009E15E6">
            <w:pPr>
              <w:rPr>
                <w:rFonts w:ascii="Arial" w:hAnsi="Arial" w:cs="Arial"/>
                <w:lang w:val="es-UY"/>
              </w:rPr>
            </w:pPr>
            <w:r w:rsidRPr="009E15E6">
              <w:rPr>
                <w:rFonts w:ascii="Arial" w:hAnsi="Arial" w:cs="Arial"/>
                <w:lang w:val="es-UY"/>
              </w:rPr>
              <w:t>Sistemas Críticos de Baja Latencia, Comunicaciones en Tiempo Real</w:t>
            </w:r>
          </w:p>
        </w:tc>
      </w:tr>
      <w:tr w:rsidR="009E15E6" w:rsidRPr="009E15E6" w14:paraId="2569E38E" w14:textId="77777777" w:rsidTr="009E15E6">
        <w:trPr>
          <w:trHeight w:val="285"/>
        </w:trPr>
        <w:tc>
          <w:tcPr>
            <w:tcW w:w="1207" w:type="dxa"/>
            <w:shd w:val="clear" w:color="auto" w:fill="5B9BD5" w:themeFill="accent5"/>
          </w:tcPr>
          <w:p w14:paraId="70DFF98D" w14:textId="73B31B42" w:rsidR="009E15E6" w:rsidRPr="00911BDC" w:rsidRDefault="009E15E6" w:rsidP="009E15E6">
            <w:pPr>
              <w:rPr>
                <w:rFonts w:ascii="Arial" w:hAnsi="Arial" w:cs="Arial"/>
              </w:rPr>
            </w:pPr>
            <w:r>
              <w:rPr>
                <w:rFonts w:ascii="Arial" w:hAnsi="Arial" w:cs="Arial"/>
              </w:rPr>
              <w:t>NATS</w:t>
            </w:r>
          </w:p>
        </w:tc>
        <w:tc>
          <w:tcPr>
            <w:tcW w:w="1977" w:type="dxa"/>
          </w:tcPr>
          <w:p w14:paraId="5B7595C0" w14:textId="197A7285" w:rsidR="009E15E6" w:rsidRPr="009E15E6" w:rsidRDefault="009E15E6" w:rsidP="009E15E6">
            <w:pPr>
              <w:rPr>
                <w:rFonts w:ascii="Arial" w:hAnsi="Arial" w:cs="Arial"/>
                <w:lang w:val="es-UY"/>
              </w:rPr>
            </w:pPr>
            <w:r w:rsidRPr="009E15E6">
              <w:rPr>
                <w:rFonts w:ascii="Arial" w:hAnsi="Arial" w:cs="Arial"/>
                <w:lang w:val="es-UY"/>
              </w:rPr>
              <w:t>Pub-Sub, punto a punto</w:t>
            </w:r>
          </w:p>
        </w:tc>
        <w:tc>
          <w:tcPr>
            <w:tcW w:w="1945" w:type="dxa"/>
          </w:tcPr>
          <w:p w14:paraId="48FEC695" w14:textId="19200547" w:rsidR="009E15E6" w:rsidRPr="009E15E6" w:rsidRDefault="009E15E6" w:rsidP="009E15E6">
            <w:pPr>
              <w:rPr>
                <w:rFonts w:ascii="Arial" w:hAnsi="Arial" w:cs="Arial"/>
                <w:lang w:val="es-UY"/>
              </w:rPr>
            </w:pPr>
            <w:r w:rsidRPr="009E15E6">
              <w:rPr>
                <w:rFonts w:ascii="Arial" w:hAnsi="Arial" w:cs="Arial"/>
                <w:lang w:val="es-UY"/>
              </w:rPr>
              <w:t>Distribuida</w:t>
            </w:r>
          </w:p>
        </w:tc>
        <w:tc>
          <w:tcPr>
            <w:tcW w:w="1611" w:type="dxa"/>
          </w:tcPr>
          <w:p w14:paraId="7115282E" w14:textId="535B1577" w:rsidR="009E15E6" w:rsidRPr="009E15E6" w:rsidRDefault="009E15E6" w:rsidP="009E15E6">
            <w:pPr>
              <w:rPr>
                <w:rFonts w:ascii="Arial" w:hAnsi="Arial" w:cs="Arial"/>
                <w:lang w:val="es-UY"/>
              </w:rPr>
            </w:pPr>
            <w:r>
              <w:rPr>
                <w:rFonts w:ascii="Arial" w:hAnsi="Arial" w:cs="Arial"/>
                <w:lang w:val="es-UY"/>
              </w:rPr>
              <w:t>Alta</w:t>
            </w:r>
          </w:p>
        </w:tc>
        <w:tc>
          <w:tcPr>
            <w:tcW w:w="1892" w:type="dxa"/>
          </w:tcPr>
          <w:p w14:paraId="53B355AF" w14:textId="0A1FF823" w:rsidR="009E15E6" w:rsidRPr="009E15E6" w:rsidRDefault="009E15E6" w:rsidP="009E15E6">
            <w:pPr>
              <w:rPr>
                <w:rFonts w:ascii="Arial" w:hAnsi="Arial" w:cs="Arial"/>
                <w:lang w:val="es-UY"/>
              </w:rPr>
            </w:pPr>
            <w:r>
              <w:rPr>
                <w:rFonts w:ascii="Arial" w:hAnsi="Arial" w:cs="Arial"/>
                <w:lang w:val="es-UY"/>
              </w:rPr>
              <w:t xml:space="preserve"> Muy baja </w:t>
            </w:r>
          </w:p>
        </w:tc>
        <w:tc>
          <w:tcPr>
            <w:tcW w:w="1855" w:type="dxa"/>
          </w:tcPr>
          <w:p w14:paraId="21EB06D9" w14:textId="1E8E4FF8" w:rsidR="009E15E6" w:rsidRPr="009E15E6" w:rsidRDefault="009E15E6" w:rsidP="009E15E6">
            <w:pPr>
              <w:rPr>
                <w:rFonts w:ascii="Arial" w:hAnsi="Arial" w:cs="Arial"/>
                <w:lang w:val="es-UY"/>
              </w:rPr>
            </w:pPr>
            <w:r>
              <w:rPr>
                <w:rFonts w:ascii="Arial" w:hAnsi="Arial" w:cs="Arial"/>
                <w:lang w:val="es-UY"/>
              </w:rPr>
              <w:t>Opcional</w:t>
            </w:r>
          </w:p>
        </w:tc>
        <w:tc>
          <w:tcPr>
            <w:tcW w:w="1904" w:type="dxa"/>
          </w:tcPr>
          <w:p w14:paraId="5072785D" w14:textId="42AA9A66" w:rsidR="009E15E6" w:rsidRPr="009E15E6" w:rsidRDefault="009E15E6" w:rsidP="009E15E6">
            <w:pPr>
              <w:rPr>
                <w:rFonts w:ascii="Arial" w:hAnsi="Arial" w:cs="Arial"/>
                <w:lang w:val="es-UY"/>
              </w:rPr>
            </w:pPr>
            <w:r>
              <w:rPr>
                <w:rFonts w:ascii="Arial" w:hAnsi="Arial" w:cs="Arial"/>
                <w:lang w:val="es-UY"/>
              </w:rPr>
              <w:t xml:space="preserve"> Baja</w:t>
            </w:r>
          </w:p>
        </w:tc>
        <w:tc>
          <w:tcPr>
            <w:tcW w:w="1843" w:type="dxa"/>
          </w:tcPr>
          <w:p w14:paraId="52807734" w14:textId="101DEDD2" w:rsidR="009E15E6" w:rsidRPr="009E15E6" w:rsidRDefault="009E15E6" w:rsidP="009E15E6">
            <w:pPr>
              <w:rPr>
                <w:rFonts w:ascii="Arial" w:hAnsi="Arial" w:cs="Arial"/>
                <w:lang w:val="es-UY"/>
              </w:rPr>
            </w:pPr>
            <w:proofErr w:type="spellStart"/>
            <w:r w:rsidRPr="009E15E6">
              <w:rPr>
                <w:rFonts w:ascii="Arial" w:hAnsi="Arial" w:cs="Arial"/>
                <w:lang w:val="es-UY"/>
              </w:rPr>
              <w:t>IoT</w:t>
            </w:r>
            <w:proofErr w:type="spellEnd"/>
            <w:r w:rsidRPr="009E15E6">
              <w:rPr>
                <w:rFonts w:ascii="Arial" w:hAnsi="Arial" w:cs="Arial"/>
                <w:lang w:val="es-UY"/>
              </w:rPr>
              <w:t xml:space="preserve">, microservicios, </w:t>
            </w:r>
            <w:r w:rsidRPr="009E15E6">
              <w:rPr>
                <w:rFonts w:ascii="Arial" w:hAnsi="Arial" w:cs="Arial"/>
                <w:lang w:val="es-UY"/>
              </w:rPr>
              <w:lastRenderedPageBreak/>
              <w:t>aplicaciones en la nube</w:t>
            </w:r>
          </w:p>
        </w:tc>
      </w:tr>
      <w:tr w:rsidR="009E15E6" w:rsidRPr="009E15E6" w14:paraId="326C3DE6" w14:textId="77777777" w:rsidTr="009E15E6">
        <w:trPr>
          <w:trHeight w:val="1711"/>
        </w:trPr>
        <w:tc>
          <w:tcPr>
            <w:tcW w:w="1207" w:type="dxa"/>
            <w:shd w:val="clear" w:color="auto" w:fill="5B9BD5" w:themeFill="accent5"/>
          </w:tcPr>
          <w:p w14:paraId="7F0B7AED" w14:textId="77777777" w:rsidR="009E15E6" w:rsidRPr="00911BDC" w:rsidRDefault="009E15E6" w:rsidP="009E15E6">
            <w:pPr>
              <w:rPr>
                <w:rFonts w:ascii="Arial" w:hAnsi="Arial" w:cs="Arial"/>
              </w:rPr>
            </w:pPr>
            <w:r w:rsidRPr="00911BDC">
              <w:rPr>
                <w:rFonts w:ascii="Arial" w:hAnsi="Arial" w:cs="Arial"/>
              </w:rPr>
              <w:lastRenderedPageBreak/>
              <w:t>TFM</w:t>
            </w:r>
          </w:p>
        </w:tc>
        <w:tc>
          <w:tcPr>
            <w:tcW w:w="1977" w:type="dxa"/>
          </w:tcPr>
          <w:p w14:paraId="7677E2E3" w14:textId="77777777" w:rsidR="009E15E6" w:rsidRPr="009E15E6" w:rsidRDefault="009E15E6" w:rsidP="009E15E6">
            <w:pPr>
              <w:rPr>
                <w:rFonts w:ascii="Arial" w:hAnsi="Arial" w:cs="Arial"/>
                <w:lang w:val="es-UY"/>
              </w:rPr>
            </w:pPr>
            <w:r w:rsidRPr="009E15E6">
              <w:rPr>
                <w:rFonts w:ascii="Arial" w:hAnsi="Arial" w:cs="Arial"/>
                <w:lang w:val="es-UY"/>
              </w:rPr>
              <w:t>Redes P2P formando grafos de mensajería</w:t>
            </w:r>
          </w:p>
        </w:tc>
        <w:tc>
          <w:tcPr>
            <w:tcW w:w="1945" w:type="dxa"/>
          </w:tcPr>
          <w:p w14:paraId="704803FD" w14:textId="77777777" w:rsidR="009E15E6" w:rsidRPr="002A461D" w:rsidRDefault="009E15E6" w:rsidP="009E15E6">
            <w:pPr>
              <w:rPr>
                <w:rFonts w:ascii="Arial" w:eastAsia="Times New Roman" w:hAnsi="Arial" w:cs="Arial"/>
                <w:vanish/>
                <w:kern w:val="0"/>
                <w:lang w:val="es-UY" w:eastAsia="es-UY"/>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tblGrid>
            <w:tr w:rsidR="009E15E6" w:rsidRPr="002A461D" w14:paraId="1BC57F02" w14:textId="77777777" w:rsidTr="00BF344D">
              <w:trPr>
                <w:tblCellSpacing w:w="15" w:type="dxa"/>
              </w:trPr>
              <w:tc>
                <w:tcPr>
                  <w:tcW w:w="0" w:type="auto"/>
                  <w:vAlign w:val="center"/>
                  <w:hideMark/>
                </w:tcPr>
                <w:p w14:paraId="15CE05E9" w14:textId="77777777" w:rsidR="009E15E6" w:rsidRPr="002A461D" w:rsidRDefault="009E15E6" w:rsidP="009E15E6">
                  <w:pPr>
                    <w:framePr w:hSpace="141" w:wrap="around" w:vAnchor="text" w:hAnchor="margin" w:y="-1044"/>
                    <w:spacing w:after="0" w:line="240" w:lineRule="auto"/>
                    <w:rPr>
                      <w:rFonts w:ascii="Arial" w:eastAsia="Times New Roman" w:hAnsi="Arial" w:cs="Arial"/>
                      <w:kern w:val="0"/>
                      <w:lang w:val="es-UY" w:eastAsia="es-UY"/>
                      <w14:ligatures w14:val="none"/>
                    </w:rPr>
                  </w:pPr>
                  <w:r w:rsidRPr="002A461D">
                    <w:rPr>
                      <w:rFonts w:ascii="Arial" w:eastAsia="Times New Roman" w:hAnsi="Arial" w:cs="Arial"/>
                      <w:kern w:val="0"/>
                      <w:lang w:val="es-UY" w:eastAsia="es-UY"/>
                      <w14:ligatures w14:val="none"/>
                    </w:rPr>
                    <w:t>Descentralizada, Comunicación P2P</w:t>
                  </w:r>
                </w:p>
              </w:tc>
            </w:tr>
          </w:tbl>
          <w:p w14:paraId="02A62E85" w14:textId="77777777" w:rsidR="009E15E6" w:rsidRPr="00911BDC" w:rsidRDefault="009E15E6" w:rsidP="009E15E6">
            <w:pPr>
              <w:rPr>
                <w:rFonts w:ascii="Arial" w:hAnsi="Arial" w:cs="Arial"/>
              </w:rPr>
            </w:pPr>
          </w:p>
        </w:tc>
        <w:tc>
          <w:tcPr>
            <w:tcW w:w="1611" w:type="dxa"/>
          </w:tcPr>
          <w:p w14:paraId="3C536009" w14:textId="77777777" w:rsidR="009E15E6" w:rsidRPr="009E15E6" w:rsidRDefault="009E15E6" w:rsidP="009E15E6">
            <w:pPr>
              <w:rPr>
                <w:rFonts w:ascii="Arial" w:hAnsi="Arial" w:cs="Arial"/>
                <w:lang w:val="es-UY"/>
              </w:rPr>
            </w:pPr>
            <w:r w:rsidRPr="009E15E6">
              <w:rPr>
                <w:rFonts w:ascii="Arial" w:hAnsi="Arial" w:cs="Arial"/>
                <w:lang w:val="es-UY"/>
              </w:rPr>
              <w:t>Alta, aprovechando la naturaleza distribuida de la red P2P</w:t>
            </w:r>
          </w:p>
        </w:tc>
        <w:tc>
          <w:tcPr>
            <w:tcW w:w="1892" w:type="dxa"/>
          </w:tcPr>
          <w:p w14:paraId="65980A31" w14:textId="77777777" w:rsidR="009E15E6" w:rsidRPr="009E15E6" w:rsidRDefault="009E15E6" w:rsidP="009E15E6">
            <w:pPr>
              <w:rPr>
                <w:rFonts w:ascii="Arial" w:hAnsi="Arial" w:cs="Arial"/>
                <w:lang w:val="es-UY"/>
              </w:rPr>
            </w:pPr>
            <w:r w:rsidRPr="009E15E6">
              <w:rPr>
                <w:rFonts w:ascii="Arial" w:hAnsi="Arial" w:cs="Arial"/>
                <w:lang w:val="es-UY"/>
              </w:rPr>
              <w:t xml:space="preserve">Baja, similar a </w:t>
            </w:r>
            <w:proofErr w:type="spellStart"/>
            <w:r w:rsidRPr="009E15E6">
              <w:rPr>
                <w:rFonts w:ascii="Arial" w:hAnsi="Arial" w:cs="Arial"/>
                <w:lang w:val="es-UY"/>
              </w:rPr>
              <w:t>ZeroMQ</w:t>
            </w:r>
            <w:proofErr w:type="spellEnd"/>
            <w:r w:rsidRPr="009E15E6">
              <w:rPr>
                <w:rFonts w:ascii="Arial" w:hAnsi="Arial" w:cs="Arial"/>
                <w:lang w:val="es-UY"/>
              </w:rPr>
              <w:t>, ya que cada nodo se comunica directamente con otros nodos</w:t>
            </w:r>
          </w:p>
        </w:tc>
        <w:tc>
          <w:tcPr>
            <w:tcW w:w="1855" w:type="dxa"/>
          </w:tcPr>
          <w:p w14:paraId="14CBF13D" w14:textId="77777777" w:rsidR="009E15E6" w:rsidRPr="009E15E6" w:rsidRDefault="009E15E6" w:rsidP="009E15E6">
            <w:pPr>
              <w:rPr>
                <w:rFonts w:ascii="Arial" w:hAnsi="Arial" w:cs="Arial"/>
                <w:lang w:val="es-UY"/>
              </w:rPr>
            </w:pPr>
            <w:r w:rsidRPr="009E15E6">
              <w:rPr>
                <w:rFonts w:ascii="Arial" w:hAnsi="Arial" w:cs="Arial"/>
                <w:lang w:val="es-UY"/>
              </w:rPr>
              <w:t>Alta, mediante replicación y almacenamiento distribuido</w:t>
            </w:r>
          </w:p>
        </w:tc>
        <w:tc>
          <w:tcPr>
            <w:tcW w:w="1904" w:type="dxa"/>
          </w:tcPr>
          <w:p w14:paraId="6EF2792A" w14:textId="77777777" w:rsidR="009E15E6" w:rsidRPr="009E15E6" w:rsidRDefault="009E15E6" w:rsidP="009E15E6">
            <w:pPr>
              <w:rPr>
                <w:rFonts w:ascii="Arial" w:hAnsi="Arial" w:cs="Arial"/>
                <w:lang w:val="es-UY"/>
              </w:rPr>
            </w:pPr>
            <w:r w:rsidRPr="009E15E6">
              <w:rPr>
                <w:rFonts w:ascii="Arial" w:hAnsi="Arial" w:cs="Arial"/>
                <w:lang w:val="es-UY"/>
              </w:rPr>
              <w:t>Baja, la gestión de la red P2P se maneja automáticamente</w:t>
            </w:r>
          </w:p>
        </w:tc>
        <w:tc>
          <w:tcPr>
            <w:tcW w:w="1843" w:type="dxa"/>
          </w:tcPr>
          <w:p w14:paraId="671F2F73" w14:textId="77777777" w:rsidR="009E15E6" w:rsidRPr="009E15E6" w:rsidRDefault="009E15E6" w:rsidP="009E15E6">
            <w:pPr>
              <w:rPr>
                <w:rFonts w:ascii="Arial" w:hAnsi="Arial" w:cs="Arial"/>
                <w:lang w:val="es-UY"/>
              </w:rPr>
            </w:pPr>
            <w:r w:rsidRPr="009E15E6">
              <w:rPr>
                <w:rFonts w:ascii="Arial" w:hAnsi="Arial" w:cs="Arial"/>
                <w:lang w:val="es-UY"/>
              </w:rPr>
              <w:t>Comunicación descentralizada entre microservicios, sistemas distribuidos que requieren alta resiliencia y baja latencia</w:t>
            </w:r>
          </w:p>
        </w:tc>
      </w:tr>
    </w:tbl>
    <w:p w14:paraId="5B3AE613" w14:textId="77777777" w:rsidR="009E15E6" w:rsidRPr="00B17301" w:rsidRDefault="009E15E6" w:rsidP="00B17301">
      <w:pPr>
        <w:rPr>
          <w:lang w:val="es-UY"/>
        </w:rPr>
      </w:pPr>
    </w:p>
    <w:p w14:paraId="43FCBADB" w14:textId="77777777" w:rsidR="00D76175" w:rsidRPr="008C4D66" w:rsidRDefault="00D76175" w:rsidP="008C4D66">
      <w:pPr>
        <w:rPr>
          <w:lang w:val="es-ES"/>
        </w:rPr>
      </w:pPr>
    </w:p>
    <w:sectPr w:rsidR="00D76175" w:rsidRPr="008C4D66" w:rsidSect="009E15E6">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82FF4"/>
    <w:multiLevelType w:val="hybridMultilevel"/>
    <w:tmpl w:val="D92E37A6"/>
    <w:lvl w:ilvl="0" w:tplc="380A000F">
      <w:start w:val="1"/>
      <w:numFmt w:val="decimal"/>
      <w:lvlText w:val="%1."/>
      <w:lvlJc w:val="left"/>
      <w:pPr>
        <w:ind w:left="770" w:hanging="360"/>
      </w:pPr>
    </w:lvl>
    <w:lvl w:ilvl="1" w:tplc="380A0019">
      <w:start w:val="1"/>
      <w:numFmt w:val="lowerLetter"/>
      <w:lvlText w:val="%2."/>
      <w:lvlJc w:val="left"/>
      <w:pPr>
        <w:ind w:left="1490" w:hanging="360"/>
      </w:pPr>
    </w:lvl>
    <w:lvl w:ilvl="2" w:tplc="380A001B" w:tentative="1">
      <w:start w:val="1"/>
      <w:numFmt w:val="lowerRoman"/>
      <w:lvlText w:val="%3."/>
      <w:lvlJc w:val="right"/>
      <w:pPr>
        <w:ind w:left="2210" w:hanging="180"/>
      </w:pPr>
    </w:lvl>
    <w:lvl w:ilvl="3" w:tplc="380A000F" w:tentative="1">
      <w:start w:val="1"/>
      <w:numFmt w:val="decimal"/>
      <w:lvlText w:val="%4."/>
      <w:lvlJc w:val="left"/>
      <w:pPr>
        <w:ind w:left="2930" w:hanging="360"/>
      </w:pPr>
    </w:lvl>
    <w:lvl w:ilvl="4" w:tplc="380A0019" w:tentative="1">
      <w:start w:val="1"/>
      <w:numFmt w:val="lowerLetter"/>
      <w:lvlText w:val="%5."/>
      <w:lvlJc w:val="left"/>
      <w:pPr>
        <w:ind w:left="3650" w:hanging="360"/>
      </w:pPr>
    </w:lvl>
    <w:lvl w:ilvl="5" w:tplc="380A001B" w:tentative="1">
      <w:start w:val="1"/>
      <w:numFmt w:val="lowerRoman"/>
      <w:lvlText w:val="%6."/>
      <w:lvlJc w:val="right"/>
      <w:pPr>
        <w:ind w:left="4370" w:hanging="180"/>
      </w:pPr>
    </w:lvl>
    <w:lvl w:ilvl="6" w:tplc="380A000F" w:tentative="1">
      <w:start w:val="1"/>
      <w:numFmt w:val="decimal"/>
      <w:lvlText w:val="%7."/>
      <w:lvlJc w:val="left"/>
      <w:pPr>
        <w:ind w:left="5090" w:hanging="360"/>
      </w:pPr>
    </w:lvl>
    <w:lvl w:ilvl="7" w:tplc="380A0019" w:tentative="1">
      <w:start w:val="1"/>
      <w:numFmt w:val="lowerLetter"/>
      <w:lvlText w:val="%8."/>
      <w:lvlJc w:val="left"/>
      <w:pPr>
        <w:ind w:left="5810" w:hanging="360"/>
      </w:pPr>
    </w:lvl>
    <w:lvl w:ilvl="8" w:tplc="380A001B" w:tentative="1">
      <w:start w:val="1"/>
      <w:numFmt w:val="lowerRoman"/>
      <w:lvlText w:val="%9."/>
      <w:lvlJc w:val="right"/>
      <w:pPr>
        <w:ind w:left="6530" w:hanging="180"/>
      </w:pPr>
    </w:lvl>
  </w:abstractNum>
  <w:num w:numId="1" w16cid:durableId="7217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80B"/>
    <w:rsid w:val="00234058"/>
    <w:rsid w:val="003C1C6F"/>
    <w:rsid w:val="007F6ED5"/>
    <w:rsid w:val="008C4D66"/>
    <w:rsid w:val="009628C6"/>
    <w:rsid w:val="009E15E6"/>
    <w:rsid w:val="00AA1265"/>
    <w:rsid w:val="00B17301"/>
    <w:rsid w:val="00CC4C22"/>
    <w:rsid w:val="00D76175"/>
    <w:rsid w:val="00FC780B"/>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B36B7"/>
  <w15:chartTrackingRefBased/>
  <w15:docId w15:val="{06500AD3-544A-4E58-84D1-778BC1809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U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C4D66"/>
    <w:pPr>
      <w:ind w:left="720"/>
      <w:contextualSpacing/>
    </w:pPr>
  </w:style>
  <w:style w:type="table" w:styleId="Tablaconcuadrcula">
    <w:name w:val="Table Grid"/>
    <w:basedOn w:val="Tablanormal"/>
    <w:uiPriority w:val="39"/>
    <w:rsid w:val="009E15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7386157">
      <w:bodyDiv w:val="1"/>
      <w:marLeft w:val="0"/>
      <w:marRight w:val="0"/>
      <w:marTop w:val="0"/>
      <w:marBottom w:val="0"/>
      <w:divBdr>
        <w:top w:val="none" w:sz="0" w:space="0" w:color="auto"/>
        <w:left w:val="none" w:sz="0" w:space="0" w:color="auto"/>
        <w:bottom w:val="none" w:sz="0" w:space="0" w:color="auto"/>
        <w:right w:val="none" w:sz="0" w:space="0" w:color="auto"/>
      </w:divBdr>
    </w:div>
    <w:div w:id="636842407">
      <w:bodyDiv w:val="1"/>
      <w:marLeft w:val="0"/>
      <w:marRight w:val="0"/>
      <w:marTop w:val="0"/>
      <w:marBottom w:val="0"/>
      <w:divBdr>
        <w:top w:val="none" w:sz="0" w:space="0" w:color="auto"/>
        <w:left w:val="none" w:sz="0" w:space="0" w:color="auto"/>
        <w:bottom w:val="none" w:sz="0" w:space="0" w:color="auto"/>
        <w:right w:val="none" w:sz="0" w:space="0" w:color="auto"/>
      </w:divBdr>
    </w:div>
    <w:div w:id="721439848">
      <w:bodyDiv w:val="1"/>
      <w:marLeft w:val="0"/>
      <w:marRight w:val="0"/>
      <w:marTop w:val="0"/>
      <w:marBottom w:val="0"/>
      <w:divBdr>
        <w:top w:val="none" w:sz="0" w:space="0" w:color="auto"/>
        <w:left w:val="none" w:sz="0" w:space="0" w:color="auto"/>
        <w:bottom w:val="none" w:sz="0" w:space="0" w:color="auto"/>
        <w:right w:val="none" w:sz="0" w:space="0" w:color="auto"/>
      </w:divBdr>
    </w:div>
    <w:div w:id="819924344">
      <w:bodyDiv w:val="1"/>
      <w:marLeft w:val="0"/>
      <w:marRight w:val="0"/>
      <w:marTop w:val="0"/>
      <w:marBottom w:val="0"/>
      <w:divBdr>
        <w:top w:val="none" w:sz="0" w:space="0" w:color="auto"/>
        <w:left w:val="none" w:sz="0" w:space="0" w:color="auto"/>
        <w:bottom w:val="none" w:sz="0" w:space="0" w:color="auto"/>
        <w:right w:val="none" w:sz="0" w:space="0" w:color="auto"/>
      </w:divBdr>
    </w:div>
    <w:div w:id="1409578866">
      <w:bodyDiv w:val="1"/>
      <w:marLeft w:val="0"/>
      <w:marRight w:val="0"/>
      <w:marTop w:val="0"/>
      <w:marBottom w:val="0"/>
      <w:divBdr>
        <w:top w:val="none" w:sz="0" w:space="0" w:color="auto"/>
        <w:left w:val="none" w:sz="0" w:space="0" w:color="auto"/>
        <w:bottom w:val="none" w:sz="0" w:space="0" w:color="auto"/>
        <w:right w:val="none" w:sz="0" w:space="0" w:color="auto"/>
      </w:divBdr>
    </w:div>
    <w:div w:id="1596286402">
      <w:bodyDiv w:val="1"/>
      <w:marLeft w:val="0"/>
      <w:marRight w:val="0"/>
      <w:marTop w:val="0"/>
      <w:marBottom w:val="0"/>
      <w:divBdr>
        <w:top w:val="none" w:sz="0" w:space="0" w:color="auto"/>
        <w:left w:val="none" w:sz="0" w:space="0" w:color="auto"/>
        <w:bottom w:val="none" w:sz="0" w:space="0" w:color="auto"/>
        <w:right w:val="none" w:sz="0" w:space="0" w:color="auto"/>
      </w:divBdr>
    </w:div>
    <w:div w:id="1650935205">
      <w:bodyDiv w:val="1"/>
      <w:marLeft w:val="0"/>
      <w:marRight w:val="0"/>
      <w:marTop w:val="0"/>
      <w:marBottom w:val="0"/>
      <w:divBdr>
        <w:top w:val="none" w:sz="0" w:space="0" w:color="auto"/>
        <w:left w:val="none" w:sz="0" w:space="0" w:color="auto"/>
        <w:bottom w:val="none" w:sz="0" w:space="0" w:color="auto"/>
        <w:right w:val="none" w:sz="0" w:space="0" w:color="auto"/>
      </w:divBdr>
    </w:div>
    <w:div w:id="1995599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1834</Words>
  <Characters>10087</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MBI BI</dc:creator>
  <cp:keywords/>
  <dc:description/>
  <cp:lastModifiedBy>MBI BI</cp:lastModifiedBy>
  <cp:revision>3</cp:revision>
  <dcterms:created xsi:type="dcterms:W3CDTF">2024-08-30T07:14:00Z</dcterms:created>
  <dcterms:modified xsi:type="dcterms:W3CDTF">2024-08-30T08:27:00Z</dcterms:modified>
</cp:coreProperties>
</file>