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b/>
          <w:color w:val="0B4EA2"/>
          <w:sz w:val="34"/>
          <w:szCs w:val="34"/>
        </w:rPr>
        <w:t xml:space="preserve">Monitorage indépendant Polio — RDC</w:t>
      </w:r>
    </w:p>
    <w:p>
      <w:pPr/>
      <w:r>
        <w:rPr>
          <w:b/>
          <w:color w:val="C0392B"/>
          <w:sz w:val="24"/>
          <w:szCs w:val="24"/>
        </w:rPr>
        <w:t xml:space="preserve">Province du KASAÏ CENTRAL</w:t>
      </w:r>
    </w:p>
    <w:p>
      <w:pPr/>
      <w:r>
        <w:rPr>
          <w:color w:val="555555"/>
          <w:sz w:val="20"/>
          <w:szCs w:val="20"/>
        </w:rPr>
        <w:t xml:space="preserve">Analyse comparative des soumissions ODK — Campagne Avril 2026 (23–30/04) vs Campagne Mai 2026 (23/05–10/06)</w:t>
      </w:r>
    </w:p>
    <w:p>
      <w:pPr>
        <w:spacing w:before="240"/>
      </w:pPr>
      <w:r>
        <w:rPr>
          <w:b/>
          <w:color w:val="0B4EA2"/>
          <w:sz w:val="30"/>
          <w:szCs w:val="30"/>
        </w:rPr>
        <w:t xml:space="preserve">1. Mobilisation des ressources locales — soumissions par formulaire</w:t>
      </w:r>
    </w:p>
    <w:tbl>
      <w:tblPr>
        <w:tblW w:w="5000" w:type="pct"/>
        <w:tblLayout w:type="autofit"/>
      </w:tblP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0B4EA2"/>
          </w:tcPr>
          <w:p>
            <w:pPr>
              <w:jc w:val="left"/>
            </w:pPr>
            <w:r>
              <w:rPr>
                <w:b/>
                <w:color w:val="FFFFFF"/>
                <w:sz w:val="21"/>
                <w:szCs w:val="21"/>
              </w:rPr>
              <w:t xml:space="preserve">Type de formulaire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0B4EA2"/>
          </w:tcPr>
          <w:p>
            <w:pPr>
              <w:jc w:val="right"/>
            </w:pPr>
            <w:r>
              <w:rPr>
                <w:b/>
                <w:color w:val="FFFFFF"/>
                <w:sz w:val="21"/>
                <w:szCs w:val="21"/>
              </w:rPr>
              <w:t xml:space="preserve">ID ODK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0B4EA2"/>
          </w:tcPr>
          <w:p>
            <w:pPr>
              <w:jc w:val="right"/>
            </w:pPr>
            <w:r>
              <w:rPr>
                <w:b/>
                <w:color w:val="FFFFFF"/>
                <w:sz w:val="21"/>
                <w:szCs w:val="21"/>
              </w:rPr>
              <w:t xml:space="preserve">Avril 2026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0B4EA2"/>
          </w:tcPr>
          <w:p>
            <w:pPr>
              <w:jc w:val="right"/>
            </w:pPr>
            <w:r>
              <w:rPr>
                <w:b/>
                <w:color w:val="FFFFFF"/>
                <w:sz w:val="21"/>
                <w:szCs w:val="21"/>
              </w:rPr>
              <w:t xml:space="preserve">Mai 2026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Supervision des équipes de vaccination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4497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21 832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17 226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Formulaire A pour VPOb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14850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167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146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Formulaire A pour nVPO2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5645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266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245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Inventaire des MCF (chaîne de froid)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9442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225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146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Liste de contrôle des formations AVS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5278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61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45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Liste de vérification validation des préparatifs AVS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4501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102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55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Monitorage indépendant dans les ménages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4498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3 325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2 761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DCE9F7"/>
          </w:tcPr>
          <w:p>
            <w:pPr>
              <w:jc w:val="left"/>
            </w:pPr>
            <w:r>
              <w:rPr>
                <w:b/>
                <w:color w:val="1A1A1A"/>
                <w:sz w:val="21"/>
                <w:szCs w:val="21"/>
              </w:rPr>
              <w:t xml:space="preserve">Total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DCE9F7"/>
          </w:tcPr>
          <w:p>
            <w:pPr>
              <w:jc w:val="right"/>
            </w:pPr>
            <w:r>
              <w:rPr>
                <w:b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DCE9F7"/>
          </w:tcPr>
          <w:p>
            <w:pPr>
              <w:jc w:val="right"/>
            </w:pPr>
            <w:r>
              <w:rPr>
                <w:b/>
                <w:color w:val="1A1A1A"/>
                <w:sz w:val="21"/>
                <w:szCs w:val="21"/>
              </w:rPr>
              <w:t xml:space="preserve">25 978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DCE9F7"/>
          </w:tcPr>
          <w:p>
            <w:pPr>
              <w:jc w:val="right"/>
            </w:pPr>
            <w:r>
              <w:rPr>
                <w:b/>
                <w:color w:val="1A1A1A"/>
                <w:sz w:val="21"/>
                <w:szCs w:val="21"/>
              </w:rPr>
              <w:t xml:space="preserve">20 624</w:t>
            </w:r>
          </w:p>
        </w:tc>
      </w:tr>
    </w:tbl>
    <w:p/>
    <w:p>
      <w:pPr>
        <w:spacing w:before="240"/>
      </w:pPr>
      <w:r>
        <w:rPr>
          <w:b/>
          <w:color w:val="0B4EA2"/>
          <w:sz w:val="30"/>
          <w:szCs w:val="30"/>
        </w:rPr>
        <w:t xml:space="preserve">2. Profil d'acteur (niveau / désignation du superviseur)</w:t>
      </w:r>
    </w:p>
    <w:p>
      <w:pPr/>
      <w:r>
        <w:rPr>
          <w:color w:val="555555"/>
          <w:sz w:val="18"/>
          <w:szCs w:val="18"/>
        </w:rPr>
        <w:t xml:space="preserve">Aucun champ « profil » littéral n'existe : le profil d'acteur est porté par Designation_Supervisor (form. 5278) ou Monitored_Level (form. 4497, 4501, 4498). Les Formulaires A (14850, 5645) et l'Inventaire MCF (9442) ne contiennent pas de profil d'acteur.</w:t>
      </w:r>
    </w:p>
    <w:tbl>
      <w:tblPr>
        <w:tblW w:w="5000" w:type="pct"/>
        <w:tblLayout w:type="autofit"/>
      </w:tblP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0B4EA2"/>
          </w:tcPr>
          <w:p>
            <w:pPr>
              <w:jc w:val="left"/>
            </w:pPr>
            <w:r>
              <w:rPr>
                <w:b/>
                <w:color w:val="FFFFFF"/>
                <w:sz w:val="21"/>
                <w:szCs w:val="21"/>
              </w:rPr>
              <w:t xml:space="preserve">Profil d'acteur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0B4EA2"/>
          </w:tcPr>
          <w:p>
            <w:pPr>
              <w:jc w:val="right"/>
            </w:pPr>
            <w:r>
              <w:rPr>
                <w:b/>
                <w:color w:val="FFFFFF"/>
                <w:sz w:val="21"/>
                <w:szCs w:val="21"/>
              </w:rPr>
              <w:t xml:space="preserve">Avril 2026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0B4EA2"/>
          </w:tcPr>
          <w:p>
            <w:pPr>
              <w:jc w:val="right"/>
            </w:pPr>
            <w:r>
              <w:rPr>
                <w:b/>
                <w:color w:val="FFFFFF"/>
                <w:sz w:val="21"/>
                <w:szCs w:val="21"/>
              </w:rPr>
              <w:t xml:space="preserve">Mai 2026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Superviseurs nationaux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82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59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Superviseurs provinciaux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578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446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Superviseurs d'axes (district)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1 230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1 015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Superviseurs d'équipes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21 695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16 916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Moniteurs indépendants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1 349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1 300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Consultants (OMS, UNICEF, CDC, BMGF, IQVIA, AFENET, ONG, Croix-Rouge, stoppeurs…)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316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277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Autres profils (non précisés)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70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74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DCE9F7"/>
          </w:tcPr>
          <w:p>
            <w:pPr>
              <w:jc w:val="left"/>
            </w:pPr>
            <w:r>
              <w:rPr>
                <w:b/>
                <w:color w:val="1A1A1A"/>
                <w:sz w:val="21"/>
                <w:szCs w:val="21"/>
              </w:rPr>
              <w:t xml:space="preserve">Total renseigné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DCE9F7"/>
          </w:tcPr>
          <w:p>
            <w:pPr>
              <w:jc w:val="right"/>
            </w:pPr>
            <w:r>
              <w:rPr>
                <w:b/>
                <w:color w:val="1A1A1A"/>
                <w:sz w:val="21"/>
                <w:szCs w:val="21"/>
              </w:rPr>
              <w:t xml:space="preserve">25 320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DCE9F7"/>
          </w:tcPr>
          <w:p>
            <w:pPr>
              <w:jc w:val="right"/>
            </w:pPr>
            <w:r>
              <w:rPr>
                <w:b/>
                <w:color w:val="1A1A1A"/>
                <w:sz w:val="21"/>
                <w:szCs w:val="21"/>
              </w:rPr>
              <w:t xml:space="preserve">20 087</w:t>
            </w:r>
          </w:p>
        </w:tc>
      </w:tr>
    </w:tbl>
    <w:p/>
    <w:p>
      <w:pPr>
        <w:spacing w:before="240"/>
      </w:pPr>
      <w:r>
        <w:rPr>
          <w:b/>
          <w:color w:val="0B4EA2"/>
          <w:sz w:val="30"/>
          <w:szCs w:val="30"/>
        </w:rPr>
        <w:t xml:space="preserve">3. Distribution brute des codes de désignation</w:t>
      </w:r>
    </w:p>
    <w:p>
      <w:pPr/>
      <w:r>
        <w:rPr>
          <w:color w:val="555555"/>
          <w:sz w:val="18"/>
          <w:szCs w:val="18"/>
        </w:rPr>
        <w:t xml:space="preserve">Données brutes ODK (avant regroupement du §2), pour transparence et vérification.</w:t>
      </w:r>
    </w:p>
    <w:tbl>
      <w:tblPr>
        <w:tblW w:w="5000" w:type="pct"/>
        <w:tblLayout w:type="autofit"/>
      </w:tblP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0B4EA2"/>
          </w:tcPr>
          <w:p>
            <w:pPr>
              <w:jc w:val="left"/>
            </w:pPr>
            <w:r>
              <w:rPr>
                <w:b/>
                <w:color w:val="FFFFFF"/>
                <w:sz w:val="21"/>
                <w:szCs w:val="21"/>
              </w:rPr>
              <w:t xml:space="preserve">Code ODK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0B4EA2"/>
          </w:tcPr>
          <w:p>
            <w:pPr>
              <w:jc w:val="right"/>
            </w:pPr>
            <w:r>
              <w:rPr>
                <w:b/>
                <w:color w:val="FFFFFF"/>
                <w:sz w:val="21"/>
                <w:szCs w:val="21"/>
              </w:rPr>
              <w:t xml:space="preserve">Avril 2026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0B4EA2"/>
          </w:tcPr>
          <w:p>
            <w:pPr>
              <w:jc w:val="right"/>
            </w:pPr>
            <w:r>
              <w:rPr>
                <w:b/>
                <w:color w:val="FFFFFF"/>
                <w:sz w:val="21"/>
                <w:szCs w:val="21"/>
              </w:rPr>
              <w:t xml:space="preserve">Mai 2026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team_sup (superviseur d'équipe)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21 668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16 894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Team_supervisor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27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22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Indp_Monitor (moniteur indépendant)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1 349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1 300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District_sup (superviseur d'axe)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1 230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1 014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subdistrict_sup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0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region_supervi (superviseur provincial)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578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446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national_super (superviseur national)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82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59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WHO_Staff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147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139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IQVIA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59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88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Stopper (stoppeurs)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69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27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Others (non précisé)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70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74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UNICEF_Staff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10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4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AFINET / AFNET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13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5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Oth_NGO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9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AFR_Staf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0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ESR_Staff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BMGF_Staff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0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McKing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2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CDC_Staff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0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</w:t>
            </w:r>
          </w:p>
        </w:tc>
      </w:tr>
      <w:tr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AfriCDC / Rotary / wcr_Staff / Red Cross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sz="4" w:color="B8B8B8"/>
              <w:left w:val="single" w:sz="4" w:color="B8B8B8"/>
              <w:bottom w:val="single" w:sz="4" w:color="B8B8B8"/>
              <w:right w:val="single" w:sz="4" w:color="B8B8B8"/>
            </w:tcBorders>
            <w:shd w:val="clear" w:fill="F2F6FB"/>
          </w:tcPr>
          <w:p>
            <w:pPr>
              <w:jc w:val="right"/>
            </w:pPr>
            <w:r>
              <w:rPr>
                <w:color w:val="1A1A1A"/>
                <w:sz w:val="21"/>
                <w:szCs w:val="21"/>
              </w:rPr>
              <w:t xml:space="preserve">1</w:t>
            </w:r>
          </w:p>
        </w:tc>
      </w:tr>
    </w:tbl>
    <w:p/>
    <w:p>
      <w:pPr>
        <w:spacing w:before="200"/>
      </w:pPr>
      <w:r>
        <w:rPr>
          <w:color w:val="777777"/>
          <w:sz w:val="16"/>
          <w:szCs w:val="16"/>
        </w:rPr>
        <w:t xml:space="preserve">Filtre : province = Kasaï Central (champ Region). Source : API ODK/ONA whonghub.org (projet omsdrc/851) — formulaires 4497, 14850, 5645, 9442, 5278, 4501, 4498. Fenêtres : Avril 23–30/04/2026 ; Mai 23/05–10/06/2026. Extraction du 04/06/2026 — la fenêtre de mai étant encore en cours, les chiffres de mai sont partiels à cette date.</w:t>
      </w:r>
    </w:p>
    <w:sectPr>
      <w:pgSz w:w="11906" w:h="16838"/>
      <w:pgMar w:top="1134" w:bottom="1134" w:left="1134" w:right="1134"/>
    </w:sectPr>
  </w:body>
</w:document>
</file>