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CONFIDENTIAL ACADEMIC SUBMISSION - CSE499 review and grading only.</w:t>
      </w:r>
    </w:p>
    <w:p>
      <w:pPr>
        <w:pStyle w:val="Title"/>
        <w:jc w:val="center"/>
      </w:pPr>
      <w:r>
        <w:t>Mercury Project</w:t>
      </w:r>
    </w:p>
    <w:p>
      <w:pPr>
        <w:pStyle w:val="Heading1"/>
        <w:jc w:val="center"/>
      </w:pPr>
      <w:r>
        <w:t>Design Document</w:t>
      </w:r>
    </w:p>
    <w:p>
      <w:pPr>
        <w:jc w:val="center"/>
      </w:pPr>
      <w:r>
        <w:rPr>
          <w:i/>
          <w:sz w:val="24"/>
        </w:rPr>
        <w:t>Architecture, components, message flow, authenticated data, and major design decisions.</w:t>
      </w:r>
    </w:p>
    <w:p/>
    <w:tbl>
      <w:tblPr>
        <w:tblStyle w:val="TableGrid"/>
        <w:tblW w:type="auto" w:w="0"/>
        <w:jc w:val="center"/>
        <w:tblLook w:firstColumn="1" w:firstRow="1" w:lastColumn="0" w:lastRow="0" w:noHBand="0" w:noVBand="1" w:val="04A0"/>
      </w:tblPr>
      <w:tblGrid>
        <w:gridCol w:w="5040"/>
        <w:gridCol w:w="5040"/>
      </w:tblGrid>
      <w:tr>
        <w:tc>
          <w:tcPr>
            <w:tcW w:type="dxa" w:w="5256"/>
            <w:shd w:fill="D9EAF7"/>
            <w:tcMar>
              <w:top w:w="70" w:type="dxa"/>
              <w:start w:w="90" w:type="dxa"/>
              <w:bottom w:w="70" w:type="dxa"/>
              <w:end w:w="90" w:type="dxa"/>
            </w:tcMar>
          </w:tcPr>
          <w:p>
            <w:pPr>
              <w:spacing w:after="0"/>
            </w:pPr>
            <w:r>
              <w:rPr>
                <w:b/>
                <w:sz w:val="20"/>
              </w:rPr>
              <w:t>Course</w:t>
            </w:r>
          </w:p>
        </w:tc>
        <w:tc>
          <w:tcPr>
            <w:tcW w:type="dxa" w:w="5256"/>
            <w:tcMar>
              <w:top w:w="70" w:type="dxa"/>
              <w:start w:w="90" w:type="dxa"/>
              <w:bottom w:w="70" w:type="dxa"/>
              <w:end w:w="90" w:type="dxa"/>
            </w:tcMar>
          </w:tcPr>
          <w:p>
            <w:pPr>
              <w:spacing w:after="0"/>
            </w:pPr>
            <w:r>
              <w:rPr>
                <w:sz w:val="20"/>
              </w:rPr>
              <w:t>CSE499 Senior Project</w:t>
            </w:r>
          </w:p>
        </w:tc>
      </w:tr>
      <w:tr>
        <w:tc>
          <w:tcPr>
            <w:tcW w:type="dxa" w:w="5256"/>
            <w:shd w:fill="D9EAF7"/>
            <w:tcMar>
              <w:top w:w="70" w:type="dxa"/>
              <w:start w:w="90" w:type="dxa"/>
              <w:bottom w:w="70" w:type="dxa"/>
              <w:end w:w="90" w:type="dxa"/>
            </w:tcMar>
          </w:tcPr>
          <w:p>
            <w:pPr>
              <w:spacing w:after="0"/>
            </w:pPr>
            <w:r>
              <w:rPr>
                <w:b/>
                <w:sz w:val="20"/>
              </w:rPr>
              <w:t>Author</w:t>
            </w:r>
          </w:p>
        </w:tc>
        <w:tc>
          <w:tcPr>
            <w:tcW w:type="dxa" w:w="5256"/>
            <w:tcMar>
              <w:top w:w="70" w:type="dxa"/>
              <w:start w:w="90" w:type="dxa"/>
              <w:bottom w:w="70" w:type="dxa"/>
              <w:end w:w="90" w:type="dxa"/>
            </w:tcMar>
          </w:tcPr>
          <w:p>
            <w:pPr>
              <w:spacing w:after="0"/>
            </w:pPr>
            <w:r>
              <w:rPr>
                <w:sz w:val="20"/>
              </w:rPr>
              <w:t>Matthew D. Barker</w:t>
            </w:r>
          </w:p>
        </w:tc>
      </w:tr>
      <w:tr>
        <w:tc>
          <w:tcPr>
            <w:tcW w:type="dxa" w:w="5256"/>
            <w:shd w:fill="D9EAF7"/>
            <w:tcMar>
              <w:top w:w="70" w:type="dxa"/>
              <w:start w:w="90" w:type="dxa"/>
              <w:bottom w:w="70" w:type="dxa"/>
              <w:end w:w="90" w:type="dxa"/>
            </w:tcMar>
          </w:tcPr>
          <w:p>
            <w:pPr>
              <w:spacing w:after="0"/>
            </w:pPr>
            <w:r>
              <w:rPr>
                <w:b/>
                <w:sz w:val="20"/>
              </w:rPr>
              <w:t>Version</w:t>
            </w:r>
          </w:p>
        </w:tc>
        <w:tc>
          <w:tcPr>
            <w:tcW w:type="dxa" w:w="5256"/>
            <w:tcMar>
              <w:top w:w="70" w:type="dxa"/>
              <w:start w:w="90" w:type="dxa"/>
              <w:bottom w:w="70" w:type="dxa"/>
              <w:end w:w="90" w:type="dxa"/>
            </w:tcMar>
          </w:tcPr>
          <w:p>
            <w:pPr>
              <w:spacing w:after="0"/>
            </w:pPr>
            <w:r>
              <w:rPr>
                <w:sz w:val="20"/>
              </w:rPr>
              <w:t>RC 1.2 (1.2.0-rc.1)</w:t>
            </w:r>
          </w:p>
        </w:tc>
      </w:tr>
      <w:tr>
        <w:tc>
          <w:tcPr>
            <w:tcW w:type="dxa" w:w="5256"/>
            <w:shd w:fill="D9EAF7"/>
            <w:tcMar>
              <w:top w:w="70" w:type="dxa"/>
              <w:start w:w="90" w:type="dxa"/>
              <w:bottom w:w="70" w:type="dxa"/>
              <w:end w:w="90" w:type="dxa"/>
            </w:tcMar>
          </w:tcPr>
          <w:p>
            <w:pPr>
              <w:spacing w:after="0"/>
            </w:pPr>
            <w:r>
              <w:rPr>
                <w:b/>
                <w:sz w:val="20"/>
              </w:rPr>
              <w:t>Date</w:t>
            </w:r>
          </w:p>
        </w:tc>
        <w:tc>
          <w:tcPr>
            <w:tcW w:type="dxa" w:w="5256"/>
            <w:tcMar>
              <w:top w:w="70" w:type="dxa"/>
              <w:start w:w="90" w:type="dxa"/>
              <w:bottom w:w="70" w:type="dxa"/>
              <w:end w:w="90" w:type="dxa"/>
            </w:tcMar>
          </w:tcPr>
          <w:p>
            <w:pPr>
              <w:spacing w:after="0"/>
            </w:pPr>
            <w:r>
              <w:rPr>
                <w:sz w:val="20"/>
              </w:rPr>
              <w:t>July 2026</w:t>
            </w:r>
          </w:p>
        </w:tc>
      </w:tr>
      <w:tr>
        <w:tc>
          <w:tcPr>
            <w:tcW w:type="dxa" w:w="5256"/>
            <w:shd w:fill="D9EAF7"/>
            <w:tcMar>
              <w:top w:w="70" w:type="dxa"/>
              <w:start w:w="90" w:type="dxa"/>
              <w:bottom w:w="70" w:type="dxa"/>
              <w:end w:w="90" w:type="dxa"/>
            </w:tcMar>
          </w:tcPr>
          <w:p>
            <w:pPr>
              <w:spacing w:after="0"/>
            </w:pPr>
            <w:r>
              <w:rPr>
                <w:b/>
                <w:sz w:val="20"/>
              </w:rPr>
              <w:t>Use</w:t>
            </w:r>
          </w:p>
        </w:tc>
        <w:tc>
          <w:tcPr>
            <w:tcW w:type="dxa" w:w="5256"/>
            <w:tcMar>
              <w:top w:w="70" w:type="dxa"/>
              <w:start w:w="90" w:type="dxa"/>
              <w:bottom w:w="70" w:type="dxa"/>
              <w:end w:w="90" w:type="dxa"/>
            </w:tcMar>
          </w:tcPr>
          <w:p>
            <w:pPr>
              <w:spacing w:after="0"/>
            </w:pPr>
            <w:r>
              <w:rPr>
                <w:sz w:val="20"/>
              </w:rPr>
              <w:t>Academic review and grading only</w:t>
            </w:r>
          </w:p>
        </w:tc>
      </w:tr>
    </w:tbl>
    <w:p/>
    <w:p>
      <w:pPr>
        <w:jc w:val="center"/>
      </w:pPr>
      <w:r>
        <w:rPr>
          <w:b/>
          <w:sz w:val="19"/>
        </w:rPr>
        <w:t>This document and related project materials may not be publicly posted, redistributed, showcased, or shared outside the course review process without prior written permission from the copyright owner.</w:t>
      </w:r>
    </w:p>
    <w:p>
      <w:r>
        <w:br w:type="page"/>
      </w:r>
    </w:p>
    <w:p>
      <w:pPr>
        <w:pStyle w:val="Heading1"/>
      </w:pPr>
      <w:r>
        <w:t>Document Purpose</w:t>
      </w:r>
    </w:p>
    <w:p>
      <w:r>
        <w:t>This document describes the Mercury RC 1.2 architecture and how its major components work together. It focuses on separation of responsibility, secure data flow, extensibility, testability, and defensive design.</w:t>
      </w:r>
    </w:p>
    <w:p>
      <w:pPr>
        <w:pStyle w:val="Heading1"/>
      </w:pPr>
      <w:r>
        <w:t>Architecture Objective</w:t>
      </w:r>
    </w:p>
    <w:p>
      <w:r>
        <w:t>Mercury protects payloads above the transport layer. Applications provide payloads and cryptographic context. Crypto providers create and authenticate SecureEnvelope instances. Codecs serialize protected envelopes. Transports move frames. Mercury Core coordinates validation, replay rejection, logging, and plaintext release decisions.</w:t>
      </w:r>
    </w:p>
    <w:p>
      <w:pPr>
        <w:pStyle w:val="Heading1"/>
      </w:pPr>
      <w:r>
        <w:t>High-Level Architecture</w:t>
      </w:r>
    </w:p>
    <w:p>
      <w:pPr>
        <w:pStyle w:val="NoSpacing"/>
        <w:spacing w:before="60" w:after="60"/>
        <w:ind w:left="432"/>
      </w:pPr>
      <w:r>
        <w:rPr>
          <w:rFonts w:ascii="Consolas" w:hAnsi="Consolas"/>
          <w:sz w:val="17"/>
        </w:rPr>
        <w:t>Application</w:t>
        <w:br/>
      </w:r>
      <w:r>
        <w:rPr>
          <w:rFonts w:ascii="Consolas" w:hAnsi="Consolas"/>
          <w:sz w:val="17"/>
        </w:rPr>
        <w:t xml:space="preserve">   |</w:t>
        <w:br/>
      </w:r>
      <w:r>
        <w:rPr>
          <w:rFonts w:ascii="Consolas" w:hAnsi="Consolas"/>
          <w:sz w:val="17"/>
        </w:rPr>
        <w:t xml:space="preserve">   v</w:t>
        <w:br/>
      </w:r>
      <w:r>
        <w:rPr>
          <w:rFonts w:ascii="Consolas" w:hAnsi="Consolas"/>
          <w:sz w:val="17"/>
        </w:rPr>
        <w:t>IMercuryClient</w:t>
        <w:br/>
      </w:r>
      <w:r>
        <w:rPr>
          <w:rFonts w:ascii="Consolas" w:hAnsi="Consolas"/>
          <w:sz w:val="17"/>
        </w:rPr>
        <w:t xml:space="preserve">   |</w:t>
        <w:br/>
      </w:r>
      <w:r>
        <w:rPr>
          <w:rFonts w:ascii="Consolas" w:hAnsi="Consolas"/>
          <w:sz w:val="17"/>
        </w:rPr>
        <w:t xml:space="preserve">   v</w:t>
        <w:br/>
      </w:r>
      <w:r>
        <w:rPr>
          <w:rFonts w:ascii="Consolas" w:hAnsi="Consolas"/>
          <w:sz w:val="17"/>
        </w:rPr>
        <w:t>ICryptoProvider (SealAsync)</w:t>
        <w:br/>
      </w:r>
      <w:r>
        <w:rPr>
          <w:rFonts w:ascii="Consolas" w:hAnsi="Consolas"/>
          <w:sz w:val="17"/>
        </w:rPr>
        <w:t xml:space="preserve">   |</w:t>
        <w:br/>
      </w:r>
      <w:r>
        <w:rPr>
          <w:rFonts w:ascii="Consolas" w:hAnsi="Consolas"/>
          <w:sz w:val="17"/>
        </w:rPr>
        <w:t xml:space="preserve">   v</w:t>
        <w:br/>
      </w:r>
      <w:r>
        <w:rPr>
          <w:rFonts w:ascii="Consolas" w:hAnsi="Consolas"/>
          <w:sz w:val="17"/>
        </w:rPr>
        <w:t>SecureEnvelope</w:t>
        <w:br/>
      </w:r>
      <w:r>
        <w:rPr>
          <w:rFonts w:ascii="Consolas" w:hAnsi="Consolas"/>
          <w:sz w:val="17"/>
        </w:rPr>
        <w:t xml:space="preserve">   |</w:t>
        <w:br/>
      </w:r>
      <w:r>
        <w:rPr>
          <w:rFonts w:ascii="Consolas" w:hAnsi="Consolas"/>
          <w:sz w:val="17"/>
        </w:rPr>
        <w:t xml:space="preserve">   v</w:t>
        <w:br/>
      </w:r>
      <w:r>
        <w:rPr>
          <w:rFonts w:ascii="Consolas" w:hAnsi="Consolas"/>
          <w:sz w:val="17"/>
        </w:rPr>
        <w:t>IEnvelopeCodec</w:t>
        <w:br/>
      </w:r>
      <w:r>
        <w:rPr>
          <w:rFonts w:ascii="Consolas" w:hAnsi="Consolas"/>
          <w:sz w:val="17"/>
        </w:rPr>
        <w:t xml:space="preserve">   |</w:t>
        <w:br/>
      </w:r>
      <w:r>
        <w:rPr>
          <w:rFonts w:ascii="Consolas" w:hAnsi="Consolas"/>
          <w:sz w:val="17"/>
        </w:rPr>
        <w:t xml:space="preserve">   v</w:t>
        <w:br/>
      </w:r>
      <w:r>
        <w:rPr>
          <w:rFonts w:ascii="Consolas" w:hAnsi="Consolas"/>
          <w:sz w:val="17"/>
        </w:rPr>
        <w:t>ITransport</w:t>
        <w:br/>
      </w:r>
      <w:r>
        <w:rPr>
          <w:rFonts w:ascii="Consolas" w:hAnsi="Consolas"/>
          <w:sz w:val="17"/>
        </w:rPr>
        <w:t xml:space="preserve">   |</w:t>
        <w:br/>
      </w:r>
      <w:r>
        <w:rPr>
          <w:rFonts w:ascii="Consolas" w:hAnsi="Consolas"/>
          <w:sz w:val="17"/>
        </w:rPr>
        <w:t xml:space="preserve">   v</w:t>
        <w:br/>
      </w:r>
      <w:r>
        <w:rPr>
          <w:rFonts w:ascii="Consolas" w:hAnsi="Consolas"/>
          <w:sz w:val="17"/>
        </w:rPr>
        <w:t>Receiving IMercuryClient</w:t>
        <w:br/>
      </w:r>
      <w:r>
        <w:rPr>
          <w:rFonts w:ascii="Consolas" w:hAnsi="Consolas"/>
          <w:sz w:val="17"/>
        </w:rPr>
        <w:t xml:space="preserve">   |</w:t>
        <w:br/>
      </w:r>
      <w:r>
        <w:rPr>
          <w:rFonts w:ascii="Consolas" w:hAnsi="Consolas"/>
          <w:sz w:val="17"/>
        </w:rPr>
        <w:t xml:space="preserve">   v</w:t>
        <w:br/>
      </w:r>
      <w:r>
        <w:rPr>
          <w:rFonts w:ascii="Consolas" w:hAnsi="Consolas"/>
          <w:sz w:val="17"/>
        </w:rPr>
        <w:t>Application</w:t>
        <w:br/>
      </w:r>
    </w:p>
    <w:p>
      <w:r>
        <w:t>This separation prevents the transport and codec from becoming security decision points. It also allows new crypto providers, codecs, transports, replay protectors, loggers, and application hosts to be added without rewriting the core pipeline.</w:t>
      </w:r>
    </w:p>
    <w:p>
      <w:pPr>
        <w:pStyle w:val="Heading1"/>
      </w:pPr>
      <w:r>
        <w:t>Solution Structure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96"/>
            <w:shd w:fill="1F4E79"/>
            <w:vAlign w:val="center"/>
            <w:tcMar>
              <w:top w:w="80" w:type="dxa"/>
              <w:start w:w="90" w:type="dxa"/>
              <w:bottom w:w="80" w:type="dxa"/>
              <w:end w:w="90" w:type="dxa"/>
            </w:tcMar>
          </w:tcPr>
          <w:p>
            <w:pPr>
              <w:spacing w:after="0"/>
            </w:pPr>
            <w:r>
              <w:rPr>
                <w:b/>
                <w:color w:val="FFFFFF"/>
                <w:sz w:val="17"/>
              </w:rPr>
              <w:t>Project</w:t>
            </w:r>
          </w:p>
        </w:tc>
        <w:tc>
          <w:tcPr>
            <w:tcW w:type="dxa" w:w="7416"/>
            <w:shd w:fill="1F4E79"/>
            <w:vAlign w:val="center"/>
            <w:tcMar>
              <w:top w:w="80" w:type="dxa"/>
              <w:start w:w="90" w:type="dxa"/>
              <w:bottom w:w="80" w:type="dxa"/>
              <w:end w:w="90" w:type="dxa"/>
            </w:tcMar>
          </w:tcPr>
          <w:p>
            <w:pPr>
              <w:spacing w:after="0"/>
            </w:pPr>
            <w:r>
              <w:rPr>
                <w:b/>
                <w:color w:val="FFFFFF"/>
                <w:sz w:val="17"/>
              </w:rPr>
              <w:t>Responsibility</w:t>
            </w:r>
          </w:p>
        </w:tc>
      </w:tr>
      <w:tr>
        <w:trPr>
          <w:cantSplit/>
        </w:trPr>
        <w:tc>
          <w:tcPr>
            <w:tcW w:type="dxa" w:w="3096"/>
            <w:vAlign w:val="top"/>
            <w:tcMar>
              <w:top w:w="80" w:type="dxa"/>
              <w:start w:w="90" w:type="dxa"/>
              <w:bottom w:w="80" w:type="dxa"/>
              <w:end w:w="90" w:type="dxa"/>
            </w:tcMar>
          </w:tcPr>
          <w:p>
            <w:pPr>
              <w:spacing w:after="0"/>
            </w:pPr>
            <w:r>
              <w:rPr>
                <w:sz w:val="17"/>
              </w:rPr>
              <w:t>Mercury.Abstractions</w:t>
            </w:r>
          </w:p>
        </w:tc>
        <w:tc>
          <w:tcPr>
            <w:tcW w:type="dxa" w:w="7416"/>
            <w:vAlign w:val="top"/>
            <w:tcMar>
              <w:top w:w="80" w:type="dxa"/>
              <w:start w:w="90" w:type="dxa"/>
              <w:bottom w:w="80" w:type="dxa"/>
              <w:end w:w="90" w:type="dxa"/>
            </w:tcMar>
          </w:tcPr>
          <w:p>
            <w:pPr>
              <w:spacing w:after="0"/>
            </w:pPr>
            <w:r>
              <w:rPr>
                <w:sz w:val="17"/>
              </w:rPr>
              <w:t>Framework contracts, primitives, envelope interfaces, crypto interfaces, replay interface, transport interface, logging interface, results, and shared authenticated-data helpers.</w:t>
            </w:r>
          </w:p>
        </w:tc>
      </w:tr>
      <w:tr>
        <w:trPr>
          <w:cantSplit/>
        </w:trPr>
        <w:tc>
          <w:tcPr>
            <w:tcW w:type="dxa" w:w="3096"/>
            <w:vAlign w:val="top"/>
            <w:tcMar>
              <w:top w:w="80" w:type="dxa"/>
              <w:start w:w="90" w:type="dxa"/>
              <w:bottom w:w="80" w:type="dxa"/>
              <w:end w:w="90" w:type="dxa"/>
            </w:tcMar>
          </w:tcPr>
          <w:p>
            <w:pPr>
              <w:spacing w:after="0"/>
            </w:pPr>
            <w:r>
              <w:rPr>
                <w:sz w:val="17"/>
              </w:rPr>
              <w:t>Mercury.Core</w:t>
            </w:r>
          </w:p>
        </w:tc>
        <w:tc>
          <w:tcPr>
            <w:tcW w:type="dxa" w:w="7416"/>
            <w:vAlign w:val="top"/>
            <w:tcMar>
              <w:top w:w="80" w:type="dxa"/>
              <w:start w:w="90" w:type="dxa"/>
              <w:bottom w:w="80" w:type="dxa"/>
              <w:end w:w="90" w:type="dxa"/>
            </w:tcMar>
          </w:tcPr>
          <w:p>
            <w:pPr>
              <w:spacing w:after="0"/>
            </w:pPr>
            <w:r>
              <w:rPr>
                <w:sz w:val="17"/>
              </w:rPr>
              <w:t>Mercury client, dependency coordination, factories, envelope services, codecs, replay implementation, validation, and pipeline behavior.</w:t>
            </w:r>
          </w:p>
        </w:tc>
      </w:tr>
      <w:tr>
        <w:trPr>
          <w:cantSplit/>
        </w:trPr>
        <w:tc>
          <w:tcPr>
            <w:tcW w:type="dxa" w:w="3096"/>
            <w:vAlign w:val="top"/>
            <w:tcMar>
              <w:top w:w="80" w:type="dxa"/>
              <w:start w:w="90" w:type="dxa"/>
              <w:bottom w:w="80" w:type="dxa"/>
              <w:end w:w="90" w:type="dxa"/>
            </w:tcMar>
          </w:tcPr>
          <w:p>
            <w:pPr>
              <w:spacing w:after="0"/>
            </w:pPr>
            <w:r>
              <w:rPr>
                <w:sz w:val="17"/>
              </w:rPr>
              <w:t>Mercury.Provider.AesGcm</w:t>
            </w:r>
          </w:p>
        </w:tc>
        <w:tc>
          <w:tcPr>
            <w:tcW w:type="dxa" w:w="7416"/>
            <w:vAlign w:val="top"/>
            <w:tcMar>
              <w:top w:w="80" w:type="dxa"/>
              <w:start w:w="90" w:type="dxa"/>
              <w:bottom w:w="80" w:type="dxa"/>
              <w:end w:w="90" w:type="dxa"/>
            </w:tcMar>
          </w:tcPr>
          <w:p>
            <w:pPr>
              <w:spacing w:after="0"/>
            </w:pPr>
            <w:r>
              <w:rPr>
                <w:sz w:val="17"/>
              </w:rPr>
              <w:t>AES-GCM authenticated-encryption provider.</w:t>
            </w:r>
          </w:p>
        </w:tc>
      </w:tr>
      <w:tr>
        <w:trPr>
          <w:cantSplit/>
        </w:trPr>
        <w:tc>
          <w:tcPr>
            <w:tcW w:type="dxa" w:w="3096"/>
            <w:vAlign w:val="top"/>
            <w:tcMar>
              <w:top w:w="80" w:type="dxa"/>
              <w:start w:w="90" w:type="dxa"/>
              <w:bottom w:w="80" w:type="dxa"/>
              <w:end w:w="90" w:type="dxa"/>
            </w:tcMar>
          </w:tcPr>
          <w:p>
            <w:pPr>
              <w:spacing w:after="0"/>
            </w:pPr>
            <w:r>
              <w:rPr>
                <w:sz w:val="17"/>
              </w:rPr>
              <w:t>Mercury.Provider.ChaCha20</w:t>
            </w:r>
          </w:p>
        </w:tc>
        <w:tc>
          <w:tcPr>
            <w:tcW w:type="dxa" w:w="7416"/>
            <w:vAlign w:val="top"/>
            <w:tcMar>
              <w:top w:w="80" w:type="dxa"/>
              <w:start w:w="90" w:type="dxa"/>
              <w:bottom w:w="80" w:type="dxa"/>
              <w:end w:w="90" w:type="dxa"/>
            </w:tcMar>
          </w:tcPr>
          <w:p>
            <w:pPr>
              <w:spacing w:after="0"/>
            </w:pPr>
            <w:r>
              <w:rPr>
                <w:sz w:val="17"/>
              </w:rPr>
              <w:t>ChaCha20-Poly1305 authenticated-encryption provider.</w:t>
            </w:r>
          </w:p>
        </w:tc>
      </w:tr>
      <w:tr>
        <w:trPr>
          <w:cantSplit/>
        </w:trPr>
        <w:tc>
          <w:tcPr>
            <w:tcW w:type="dxa" w:w="3096"/>
            <w:vAlign w:val="top"/>
            <w:tcMar>
              <w:top w:w="80" w:type="dxa"/>
              <w:start w:w="90" w:type="dxa"/>
              <w:bottom w:w="80" w:type="dxa"/>
              <w:end w:w="90" w:type="dxa"/>
            </w:tcMar>
          </w:tcPr>
          <w:p>
            <w:pPr>
              <w:spacing w:after="0"/>
            </w:pPr>
            <w:r>
              <w:rPr>
                <w:sz w:val="17"/>
              </w:rPr>
              <w:t>Mercury.Transport.InMemory</w:t>
            </w:r>
          </w:p>
        </w:tc>
        <w:tc>
          <w:tcPr>
            <w:tcW w:type="dxa" w:w="7416"/>
            <w:vAlign w:val="top"/>
            <w:tcMar>
              <w:top w:w="80" w:type="dxa"/>
              <w:start w:w="90" w:type="dxa"/>
              <w:bottom w:w="80" w:type="dxa"/>
              <w:end w:w="90" w:type="dxa"/>
            </w:tcMar>
          </w:tcPr>
          <w:p>
            <w:pPr>
              <w:spacing w:after="0"/>
            </w:pPr>
            <w:r>
              <w:rPr>
                <w:sz w:val="17"/>
              </w:rPr>
              <w:t>In-memory transport for deterministic tests and demonstrations.</w:t>
            </w:r>
          </w:p>
        </w:tc>
      </w:tr>
      <w:tr>
        <w:trPr>
          <w:cantSplit/>
        </w:trPr>
        <w:tc>
          <w:tcPr>
            <w:tcW w:type="dxa" w:w="3096"/>
            <w:vAlign w:val="top"/>
            <w:tcMar>
              <w:top w:w="80" w:type="dxa"/>
              <w:start w:w="90" w:type="dxa"/>
              <w:bottom w:w="80" w:type="dxa"/>
              <w:end w:w="90" w:type="dxa"/>
            </w:tcMar>
          </w:tcPr>
          <w:p>
            <w:pPr>
              <w:spacing w:after="0"/>
            </w:pPr>
            <w:r>
              <w:rPr>
                <w:sz w:val="17"/>
              </w:rPr>
              <w:t>Mercury.Transport.Tcp</w:t>
            </w:r>
          </w:p>
        </w:tc>
        <w:tc>
          <w:tcPr>
            <w:tcW w:type="dxa" w:w="7416"/>
            <w:vAlign w:val="top"/>
            <w:tcMar>
              <w:top w:w="80" w:type="dxa"/>
              <w:start w:w="90" w:type="dxa"/>
              <w:bottom w:w="80" w:type="dxa"/>
              <w:end w:w="90" w:type="dxa"/>
            </w:tcMar>
          </w:tcPr>
          <w:p>
            <w:pPr>
              <w:spacing w:after="0"/>
            </w:pPr>
            <w:r>
              <w:rPr>
                <w:sz w:val="17"/>
              </w:rPr>
              <w:t>Framed TCP transport with complete-frame delivery and maximum frame guard rails.</w:t>
            </w:r>
          </w:p>
        </w:tc>
      </w:tr>
      <w:tr>
        <w:trPr>
          <w:cantSplit/>
        </w:trPr>
        <w:tc>
          <w:tcPr>
            <w:tcW w:type="dxa" w:w="3096"/>
            <w:vAlign w:val="top"/>
            <w:tcMar>
              <w:top w:w="80" w:type="dxa"/>
              <w:start w:w="90" w:type="dxa"/>
              <w:bottom w:w="80" w:type="dxa"/>
              <w:end w:w="90" w:type="dxa"/>
            </w:tcMar>
          </w:tcPr>
          <w:p>
            <w:pPr>
              <w:spacing w:after="0"/>
            </w:pPr>
            <w:r>
              <w:rPr>
                <w:sz w:val="17"/>
              </w:rPr>
              <w:t>Mercury.Transport.FileDrop</w:t>
            </w:r>
          </w:p>
        </w:tc>
        <w:tc>
          <w:tcPr>
            <w:tcW w:type="dxa" w:w="7416"/>
            <w:vAlign w:val="top"/>
            <w:tcMar>
              <w:top w:w="80" w:type="dxa"/>
              <w:start w:w="90" w:type="dxa"/>
              <w:bottom w:w="80" w:type="dxa"/>
              <w:end w:w="90" w:type="dxa"/>
            </w:tcMar>
          </w:tcPr>
          <w:p>
            <w:pPr>
              <w:spacing w:after="0"/>
            </w:pPr>
            <w:r>
              <w:rPr>
                <w:sz w:val="17"/>
              </w:rPr>
              <w:t>File-based transport plugin using filesystem publication and claiming behavior.</w:t>
            </w:r>
          </w:p>
        </w:tc>
      </w:tr>
      <w:tr>
        <w:trPr>
          <w:cantSplit/>
        </w:trPr>
        <w:tc>
          <w:tcPr>
            <w:tcW w:type="dxa" w:w="3096"/>
            <w:vAlign w:val="top"/>
            <w:tcMar>
              <w:top w:w="80" w:type="dxa"/>
              <w:start w:w="90" w:type="dxa"/>
              <w:bottom w:w="80" w:type="dxa"/>
              <w:end w:w="90" w:type="dxa"/>
            </w:tcMar>
          </w:tcPr>
          <w:p>
            <w:pPr>
              <w:spacing w:after="0"/>
            </w:pPr>
            <w:r>
              <w:rPr>
                <w:sz w:val="17"/>
              </w:rPr>
              <w:t>Mercury.Demo.Console</w:t>
            </w:r>
          </w:p>
        </w:tc>
        <w:tc>
          <w:tcPr>
            <w:tcW w:type="dxa" w:w="7416"/>
            <w:vAlign w:val="top"/>
            <w:tcMar>
              <w:top w:w="80" w:type="dxa"/>
              <w:start w:w="90" w:type="dxa"/>
              <w:bottom w:w="80" w:type="dxa"/>
              <w:end w:w="90" w:type="dxa"/>
            </w:tcMar>
          </w:tcPr>
          <w:p>
            <w:pPr>
              <w:spacing w:after="0"/>
            </w:pPr>
            <w:r>
              <w:rPr>
                <w:sz w:val="17"/>
              </w:rPr>
              <w:t>Cross-platform console host for provider, codec, transport, text, and chunked file scenarios.</w:t>
            </w:r>
          </w:p>
        </w:tc>
      </w:tr>
      <w:tr>
        <w:trPr>
          <w:cantSplit/>
        </w:trPr>
        <w:tc>
          <w:tcPr>
            <w:tcW w:type="dxa" w:w="3096"/>
            <w:vAlign w:val="top"/>
            <w:tcMar>
              <w:top w:w="80" w:type="dxa"/>
              <w:start w:w="90" w:type="dxa"/>
              <w:bottom w:w="80" w:type="dxa"/>
              <w:end w:w="90" w:type="dxa"/>
            </w:tcMar>
          </w:tcPr>
          <w:p>
            <w:pPr>
              <w:spacing w:after="0"/>
            </w:pPr>
            <w:r>
              <w:rPr>
                <w:sz w:val="17"/>
              </w:rPr>
              <w:t>Mercury.Demo.WinForms</w:t>
            </w:r>
          </w:p>
        </w:tc>
        <w:tc>
          <w:tcPr>
            <w:tcW w:type="dxa" w:w="7416"/>
            <w:vAlign w:val="top"/>
            <w:tcMar>
              <w:top w:w="80" w:type="dxa"/>
              <w:start w:w="90" w:type="dxa"/>
              <w:bottom w:w="80" w:type="dxa"/>
              <w:end w:w="90" w:type="dxa"/>
            </w:tcMar>
          </w:tcPr>
          <w:p>
            <w:pPr>
              <w:spacing w:after="0"/>
            </w:pPr>
            <w:r>
              <w:rPr>
                <w:sz w:val="17"/>
              </w:rPr>
              <w:t>Windows graphical demonstration with configuration, secure-envelope display, logging, and controlled attack scenarios.</w:t>
            </w:r>
          </w:p>
        </w:tc>
      </w:tr>
      <w:tr>
        <w:trPr>
          <w:cantSplit/>
        </w:trPr>
        <w:tc>
          <w:tcPr>
            <w:tcW w:type="dxa" w:w="3096"/>
            <w:vAlign w:val="top"/>
            <w:tcMar>
              <w:top w:w="80" w:type="dxa"/>
              <w:start w:w="90" w:type="dxa"/>
              <w:bottom w:w="80" w:type="dxa"/>
              <w:end w:w="90" w:type="dxa"/>
            </w:tcMar>
          </w:tcPr>
          <w:p>
            <w:pPr>
              <w:spacing w:after="0"/>
            </w:pPr>
            <w:r>
              <w:rPr>
                <w:sz w:val="17"/>
              </w:rPr>
              <w:t>Mercury.Tests</w:t>
            </w:r>
          </w:p>
        </w:tc>
        <w:tc>
          <w:tcPr>
            <w:tcW w:type="dxa" w:w="7416"/>
            <w:vAlign w:val="top"/>
            <w:tcMar>
              <w:top w:w="80" w:type="dxa"/>
              <w:start w:w="90" w:type="dxa"/>
              <w:bottom w:w="80" w:type="dxa"/>
              <w:end w:w="90" w:type="dxa"/>
            </w:tcMar>
          </w:tcPr>
          <w:p>
            <w:pPr>
              <w:spacing w:after="0"/>
            </w:pPr>
            <w:r>
              <w:rPr>
                <w:sz w:val="17"/>
              </w:rPr>
              <w:t>xUnit unit, contract, pipeline, transport, codec, replay, easy-setup, and integration tests.</w:t>
            </w:r>
          </w:p>
        </w:tc>
      </w:tr>
    </w:tbl>
    <w:p>
      <w:pPr>
        <w:pStyle w:val="Heading1"/>
      </w:pPr>
      <w:r>
        <w:t>Core Contracts and Data Model</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vAlign w:val="center"/>
            <w:tcMar>
              <w:top w:w="80" w:type="dxa"/>
              <w:start w:w="90" w:type="dxa"/>
              <w:bottom w:w="80" w:type="dxa"/>
              <w:end w:w="90" w:type="dxa"/>
            </w:tcMar>
          </w:tcPr>
          <w:p>
            <w:pPr>
              <w:spacing w:after="0"/>
            </w:pPr>
            <w:r>
              <w:rPr>
                <w:b/>
                <w:color w:val="FFFFFF"/>
                <w:sz w:val="15"/>
              </w:rPr>
              <w:t>Contract or Model</w:t>
            </w:r>
          </w:p>
        </w:tc>
        <w:tc>
          <w:tcPr>
            <w:tcW w:type="dxa" w:w="3816"/>
            <w:shd w:fill="1F4E79"/>
            <w:vAlign w:val="center"/>
            <w:tcMar>
              <w:top w:w="80" w:type="dxa"/>
              <w:start w:w="90" w:type="dxa"/>
              <w:bottom w:w="80" w:type="dxa"/>
              <w:end w:w="90" w:type="dxa"/>
            </w:tcMar>
          </w:tcPr>
          <w:p>
            <w:pPr>
              <w:spacing w:after="0"/>
            </w:pPr>
            <w:r>
              <w:rPr>
                <w:b/>
                <w:color w:val="FFFFFF"/>
                <w:sz w:val="15"/>
              </w:rPr>
              <w:t>Purpose</w:t>
            </w:r>
          </w:p>
        </w:tc>
        <w:tc>
          <w:tcPr>
            <w:tcW w:type="dxa" w:w="4464"/>
            <w:shd w:fill="1F4E79"/>
            <w:vAlign w:val="center"/>
            <w:tcMar>
              <w:top w:w="80" w:type="dxa"/>
              <w:start w:w="90" w:type="dxa"/>
              <w:bottom w:w="80" w:type="dxa"/>
              <w:end w:w="90" w:type="dxa"/>
            </w:tcMar>
          </w:tcPr>
          <w:p>
            <w:pPr>
              <w:spacing w:after="0"/>
            </w:pPr>
            <w:r>
              <w:rPr>
                <w:b/>
                <w:color w:val="FFFFFF"/>
                <w:sz w:val="15"/>
              </w:rPr>
              <w:t>Important Members</w:t>
            </w:r>
          </w:p>
        </w:tc>
      </w:tr>
      <w:tr>
        <w:trPr>
          <w:cantSplit/>
        </w:trPr>
        <w:tc>
          <w:tcPr>
            <w:tcW w:type="dxa" w:w="2232"/>
            <w:vAlign w:val="top"/>
            <w:tcMar>
              <w:top w:w="80" w:type="dxa"/>
              <w:start w:w="90" w:type="dxa"/>
              <w:bottom w:w="80" w:type="dxa"/>
              <w:end w:w="90" w:type="dxa"/>
            </w:tcMar>
          </w:tcPr>
          <w:p>
            <w:pPr>
              <w:spacing w:after="0"/>
            </w:pPr>
            <w:r>
              <w:rPr>
                <w:sz w:val="15"/>
              </w:rPr>
              <w:t>IMercuryClient</w:t>
            </w:r>
          </w:p>
        </w:tc>
        <w:tc>
          <w:tcPr>
            <w:tcW w:type="dxa" w:w="3816"/>
            <w:vAlign w:val="top"/>
            <w:tcMar>
              <w:top w:w="80" w:type="dxa"/>
              <w:start w:w="90" w:type="dxa"/>
              <w:bottom w:w="80" w:type="dxa"/>
              <w:end w:w="90" w:type="dxa"/>
            </w:tcMar>
          </w:tcPr>
          <w:p>
            <w:pPr>
              <w:spacing w:after="0"/>
            </w:pPr>
            <w:r>
              <w:rPr>
                <w:sz w:val="15"/>
              </w:rPr>
              <w:t>Application-facing facade for protected send and receive operations.</w:t>
            </w:r>
          </w:p>
        </w:tc>
        <w:tc>
          <w:tcPr>
            <w:tcW w:type="dxa" w:w="4464"/>
            <w:vAlign w:val="top"/>
            <w:tcMar>
              <w:top w:w="80" w:type="dxa"/>
              <w:start w:w="90" w:type="dxa"/>
              <w:bottom w:w="80" w:type="dxa"/>
              <w:end w:w="90" w:type="dxa"/>
            </w:tcMar>
          </w:tcPr>
          <w:p>
            <w:pPr>
              <w:spacing w:after="0"/>
            </w:pPr>
            <w:r>
              <w:rPr>
                <w:sz w:val="15"/>
              </w:rPr>
              <w:t>SendAsync, ReceiveAsync</w:t>
            </w:r>
          </w:p>
        </w:tc>
      </w:tr>
      <w:tr>
        <w:trPr>
          <w:cantSplit/>
        </w:trPr>
        <w:tc>
          <w:tcPr>
            <w:tcW w:type="dxa" w:w="2232"/>
            <w:vAlign w:val="top"/>
            <w:tcMar>
              <w:top w:w="80" w:type="dxa"/>
              <w:start w:w="90" w:type="dxa"/>
              <w:bottom w:w="80" w:type="dxa"/>
              <w:end w:w="90" w:type="dxa"/>
            </w:tcMar>
          </w:tcPr>
          <w:p>
            <w:pPr>
              <w:spacing w:after="0"/>
            </w:pPr>
            <w:r>
              <w:rPr>
                <w:sz w:val="15"/>
              </w:rPr>
              <w:t>IMercuryClientDependencies</w:t>
            </w:r>
          </w:p>
        </w:tc>
        <w:tc>
          <w:tcPr>
            <w:tcW w:type="dxa" w:w="3816"/>
            <w:vAlign w:val="top"/>
            <w:tcMar>
              <w:top w:w="80" w:type="dxa"/>
              <w:start w:w="90" w:type="dxa"/>
              <w:bottom w:w="80" w:type="dxa"/>
              <w:end w:w="90" w:type="dxa"/>
            </w:tcMar>
          </w:tcPr>
          <w:p>
            <w:pPr>
              <w:spacing w:after="0"/>
            </w:pPr>
            <w:r>
              <w:rPr>
                <w:sz w:val="15"/>
              </w:rPr>
              <w:t>Provides explicit client identity and configured plugins to the core client.</w:t>
            </w:r>
          </w:p>
        </w:tc>
        <w:tc>
          <w:tcPr>
            <w:tcW w:type="dxa" w:w="4464"/>
            <w:vAlign w:val="top"/>
            <w:tcMar>
              <w:top w:w="80" w:type="dxa"/>
              <w:start w:w="90" w:type="dxa"/>
              <w:bottom w:w="80" w:type="dxa"/>
              <w:end w:w="90" w:type="dxa"/>
            </w:tcMar>
          </w:tcPr>
          <w:p>
            <w:pPr>
              <w:spacing w:after="0"/>
            </w:pPr>
            <w:r>
              <w:rPr>
                <w:sz w:val="15"/>
              </w:rPr>
              <w:t>ClientId, CryptoProvider, EnvelopeCodec, Transport, ReplayProtector, Logger</w:t>
            </w:r>
          </w:p>
        </w:tc>
      </w:tr>
      <w:tr>
        <w:trPr>
          <w:cantSplit/>
        </w:trPr>
        <w:tc>
          <w:tcPr>
            <w:tcW w:type="dxa" w:w="2232"/>
            <w:vAlign w:val="top"/>
            <w:tcMar>
              <w:top w:w="80" w:type="dxa"/>
              <w:start w:w="90" w:type="dxa"/>
              <w:bottom w:w="80" w:type="dxa"/>
              <w:end w:w="90" w:type="dxa"/>
            </w:tcMar>
          </w:tcPr>
          <w:p>
            <w:pPr>
              <w:spacing w:after="0"/>
            </w:pPr>
            <w:r>
              <w:rPr>
                <w:sz w:val="15"/>
              </w:rPr>
              <w:t>ICryptoContext</w:t>
            </w:r>
          </w:p>
        </w:tc>
        <w:tc>
          <w:tcPr>
            <w:tcW w:type="dxa" w:w="3816"/>
            <w:vAlign w:val="top"/>
            <w:tcMar>
              <w:top w:w="80" w:type="dxa"/>
              <w:start w:w="90" w:type="dxa"/>
              <w:bottom w:w="80" w:type="dxa"/>
              <w:end w:w="90" w:type="dxa"/>
            </w:tcMar>
          </w:tcPr>
          <w:p>
            <w:pPr>
              <w:spacing w:after="0"/>
            </w:pPr>
            <w:r>
              <w:rPr>
                <w:sz w:val="15"/>
              </w:rPr>
              <w:t>Defines sender and recipient key context for a protected exchange.</w:t>
            </w:r>
          </w:p>
        </w:tc>
        <w:tc>
          <w:tcPr>
            <w:tcW w:type="dxa" w:w="4464"/>
            <w:vAlign w:val="top"/>
            <w:tcMar>
              <w:top w:w="80" w:type="dxa"/>
              <w:start w:w="90" w:type="dxa"/>
              <w:bottom w:w="80" w:type="dxa"/>
              <w:end w:w="90" w:type="dxa"/>
            </w:tcMar>
          </w:tcPr>
          <w:p>
            <w:pPr>
              <w:spacing w:after="0"/>
            </w:pPr>
            <w:r>
              <w:rPr>
                <w:sz w:val="15"/>
              </w:rPr>
              <w:t>SenderKeyId, RecipientKeyId, IsEmpty</w:t>
            </w:r>
          </w:p>
        </w:tc>
      </w:tr>
      <w:tr>
        <w:trPr>
          <w:cantSplit/>
        </w:trPr>
        <w:tc>
          <w:tcPr>
            <w:tcW w:type="dxa" w:w="2232"/>
            <w:vAlign w:val="top"/>
            <w:tcMar>
              <w:top w:w="80" w:type="dxa"/>
              <w:start w:w="90" w:type="dxa"/>
              <w:bottom w:w="80" w:type="dxa"/>
              <w:end w:w="90" w:type="dxa"/>
            </w:tcMar>
          </w:tcPr>
          <w:p>
            <w:pPr>
              <w:spacing w:after="0"/>
            </w:pPr>
            <w:r>
              <w:rPr>
                <w:sz w:val="15"/>
              </w:rPr>
              <w:t>ISealRequest</w:t>
            </w:r>
          </w:p>
        </w:tc>
        <w:tc>
          <w:tcPr>
            <w:tcW w:type="dxa" w:w="3816"/>
            <w:vAlign w:val="top"/>
            <w:tcMar>
              <w:top w:w="80" w:type="dxa"/>
              <w:start w:w="90" w:type="dxa"/>
              <w:bottom w:w="80" w:type="dxa"/>
              <w:end w:w="90" w:type="dxa"/>
            </w:tcMar>
          </w:tcPr>
          <w:p>
            <w:pPr>
              <w:spacing w:after="0"/>
            </w:pPr>
            <w:r>
              <w:rPr>
                <w:sz w:val="15"/>
              </w:rPr>
              <w:t>Input to provider protection.</w:t>
            </w:r>
          </w:p>
        </w:tc>
        <w:tc>
          <w:tcPr>
            <w:tcW w:type="dxa" w:w="4464"/>
            <w:vAlign w:val="top"/>
            <w:tcMar>
              <w:top w:w="80" w:type="dxa"/>
              <w:start w:w="90" w:type="dxa"/>
              <w:bottom w:w="80" w:type="dxa"/>
              <w:end w:w="90" w:type="dxa"/>
            </w:tcMar>
          </w:tcPr>
          <w:p>
            <w:pPr>
              <w:spacing w:after="0"/>
            </w:pPr>
            <w:r>
              <w:rPr>
                <w:sz w:val="15"/>
              </w:rPr>
              <w:t>CryptoContext, Payload, HeaderMeta, FooterMeta</w:t>
            </w:r>
          </w:p>
        </w:tc>
      </w:tr>
      <w:tr>
        <w:trPr>
          <w:cantSplit/>
        </w:trPr>
        <w:tc>
          <w:tcPr>
            <w:tcW w:type="dxa" w:w="2232"/>
            <w:vAlign w:val="top"/>
            <w:tcMar>
              <w:top w:w="80" w:type="dxa"/>
              <w:start w:w="90" w:type="dxa"/>
              <w:bottom w:w="80" w:type="dxa"/>
              <w:end w:w="90" w:type="dxa"/>
            </w:tcMar>
          </w:tcPr>
          <w:p>
            <w:pPr>
              <w:spacing w:after="0"/>
            </w:pPr>
            <w:r>
              <w:rPr>
                <w:sz w:val="15"/>
              </w:rPr>
              <w:t>IOpenRequest</w:t>
            </w:r>
          </w:p>
        </w:tc>
        <w:tc>
          <w:tcPr>
            <w:tcW w:type="dxa" w:w="3816"/>
            <w:vAlign w:val="top"/>
            <w:tcMar>
              <w:top w:w="80" w:type="dxa"/>
              <w:start w:w="90" w:type="dxa"/>
              <w:bottom w:w="80" w:type="dxa"/>
              <w:end w:w="90" w:type="dxa"/>
            </w:tcMar>
          </w:tcPr>
          <w:p>
            <w:pPr>
              <w:spacing w:after="0"/>
            </w:pPr>
            <w:r>
              <w:rPr>
                <w:sz w:val="15"/>
              </w:rPr>
              <w:t>Input to provider authentication and decryption.</w:t>
            </w:r>
          </w:p>
        </w:tc>
        <w:tc>
          <w:tcPr>
            <w:tcW w:type="dxa" w:w="4464"/>
            <w:vAlign w:val="top"/>
            <w:tcMar>
              <w:top w:w="80" w:type="dxa"/>
              <w:start w:w="90" w:type="dxa"/>
              <w:bottom w:w="80" w:type="dxa"/>
              <w:end w:w="90" w:type="dxa"/>
            </w:tcMar>
          </w:tcPr>
          <w:p>
            <w:pPr>
              <w:spacing w:after="0"/>
            </w:pPr>
            <w:r>
              <w:rPr>
                <w:sz w:val="15"/>
              </w:rPr>
              <w:t>SecureEnvelope</w:t>
            </w:r>
          </w:p>
        </w:tc>
      </w:tr>
      <w:tr>
        <w:trPr>
          <w:cantSplit/>
        </w:trPr>
        <w:tc>
          <w:tcPr>
            <w:tcW w:type="dxa" w:w="2232"/>
            <w:vAlign w:val="top"/>
            <w:tcMar>
              <w:top w:w="80" w:type="dxa"/>
              <w:start w:w="90" w:type="dxa"/>
              <w:bottom w:w="80" w:type="dxa"/>
              <w:end w:w="90" w:type="dxa"/>
            </w:tcMar>
          </w:tcPr>
          <w:p>
            <w:pPr>
              <w:spacing w:after="0"/>
            </w:pPr>
            <w:r>
              <w:rPr>
                <w:sz w:val="15"/>
              </w:rPr>
              <w:t>ISecureEnvelope</w:t>
            </w:r>
          </w:p>
        </w:tc>
        <w:tc>
          <w:tcPr>
            <w:tcW w:type="dxa" w:w="3816"/>
            <w:vAlign w:val="top"/>
            <w:tcMar>
              <w:top w:w="80" w:type="dxa"/>
              <w:start w:w="90" w:type="dxa"/>
              <w:bottom w:w="80" w:type="dxa"/>
              <w:end w:w="90" w:type="dxa"/>
            </w:tcMar>
          </w:tcPr>
          <w:p>
            <w:pPr>
              <w:spacing w:after="0"/>
            </w:pPr>
            <w:r>
              <w:rPr>
                <w:sz w:val="15"/>
              </w:rPr>
              <w:t>Protected container passed between provider, codec, and transport.</w:t>
            </w:r>
          </w:p>
        </w:tc>
        <w:tc>
          <w:tcPr>
            <w:tcW w:type="dxa" w:w="4464"/>
            <w:vAlign w:val="top"/>
            <w:tcMar>
              <w:top w:w="80" w:type="dxa"/>
              <w:start w:w="90" w:type="dxa"/>
              <w:bottom w:w="80" w:type="dxa"/>
              <w:end w:w="90" w:type="dxa"/>
            </w:tcMar>
          </w:tcPr>
          <w:p>
            <w:pPr>
              <w:spacing w:after="0"/>
            </w:pPr>
            <w:r>
              <w:rPr>
                <w:sz w:val="15"/>
              </w:rPr>
              <w:t>Version, Header, Payload, Footer</w:t>
            </w:r>
          </w:p>
        </w:tc>
      </w:tr>
      <w:tr>
        <w:trPr>
          <w:cantSplit/>
        </w:trPr>
        <w:tc>
          <w:tcPr>
            <w:tcW w:type="dxa" w:w="2232"/>
            <w:vAlign w:val="top"/>
            <w:tcMar>
              <w:top w:w="80" w:type="dxa"/>
              <w:start w:w="90" w:type="dxa"/>
              <w:bottom w:w="80" w:type="dxa"/>
              <w:end w:w="90" w:type="dxa"/>
            </w:tcMar>
          </w:tcPr>
          <w:p>
            <w:pPr>
              <w:spacing w:after="0"/>
            </w:pPr>
            <w:r>
              <w:rPr>
                <w:sz w:val="15"/>
              </w:rPr>
              <w:t>IEnvelopeHeader</w:t>
            </w:r>
          </w:p>
        </w:tc>
        <w:tc>
          <w:tcPr>
            <w:tcW w:type="dxa" w:w="3816"/>
            <w:vAlign w:val="top"/>
            <w:tcMar>
              <w:top w:w="80" w:type="dxa"/>
              <w:start w:w="90" w:type="dxa"/>
              <w:bottom w:w="80" w:type="dxa"/>
              <w:end w:w="90" w:type="dxa"/>
            </w:tcMar>
          </w:tcPr>
          <w:p>
            <w:pPr>
              <w:spacing w:after="0"/>
            </w:pPr>
            <w:r>
              <w:rPr>
                <w:sz w:val="15"/>
              </w:rPr>
              <w:t>Authenticated envelope context.</w:t>
            </w:r>
          </w:p>
        </w:tc>
        <w:tc>
          <w:tcPr>
            <w:tcW w:type="dxa" w:w="4464"/>
            <w:vAlign w:val="top"/>
            <w:tcMar>
              <w:top w:w="80" w:type="dxa"/>
              <w:start w:w="90" w:type="dxa"/>
              <w:bottom w:w="80" w:type="dxa"/>
              <w:end w:w="90" w:type="dxa"/>
            </w:tcMar>
          </w:tcPr>
          <w:p>
            <w:pPr>
              <w:spacing w:after="0"/>
            </w:pPr>
            <w:r>
              <w:rPr>
                <w:sz w:val="15"/>
              </w:rPr>
              <w:t>EnvelopeId, Timestamp, SenderKeyId, RecipientKeyId, Encryption, Signature, ReplayToken, Meta</w:t>
            </w:r>
          </w:p>
        </w:tc>
      </w:tr>
      <w:tr>
        <w:trPr>
          <w:cantSplit/>
        </w:trPr>
        <w:tc>
          <w:tcPr>
            <w:tcW w:type="dxa" w:w="2232"/>
            <w:vAlign w:val="top"/>
            <w:tcMar>
              <w:top w:w="80" w:type="dxa"/>
              <w:start w:w="90" w:type="dxa"/>
              <w:bottom w:w="80" w:type="dxa"/>
              <w:end w:w="90" w:type="dxa"/>
            </w:tcMar>
          </w:tcPr>
          <w:p>
            <w:pPr>
              <w:spacing w:after="0"/>
            </w:pPr>
            <w:r>
              <w:rPr>
                <w:sz w:val="15"/>
              </w:rPr>
              <w:t>IEnvelopeFooter</w:t>
            </w:r>
          </w:p>
        </w:tc>
        <w:tc>
          <w:tcPr>
            <w:tcW w:type="dxa" w:w="3816"/>
            <w:vAlign w:val="top"/>
            <w:tcMar>
              <w:top w:w="80" w:type="dxa"/>
              <w:start w:w="90" w:type="dxa"/>
              <w:bottom w:w="80" w:type="dxa"/>
              <w:end w:w="90" w:type="dxa"/>
            </w:tcMar>
          </w:tcPr>
          <w:p>
            <w:pPr>
              <w:spacing w:after="0"/>
            </w:pPr>
            <w:r>
              <w:rPr>
                <w:sz w:val="15"/>
              </w:rPr>
              <w:t>Authenticated trailing metadata.</w:t>
            </w:r>
          </w:p>
        </w:tc>
        <w:tc>
          <w:tcPr>
            <w:tcW w:type="dxa" w:w="4464"/>
            <w:vAlign w:val="top"/>
            <w:tcMar>
              <w:top w:w="80" w:type="dxa"/>
              <w:start w:w="90" w:type="dxa"/>
              <w:bottom w:w="80" w:type="dxa"/>
              <w:end w:w="90" w:type="dxa"/>
            </w:tcMar>
          </w:tcPr>
          <w:p>
            <w:pPr>
              <w:spacing w:after="0"/>
            </w:pPr>
            <w:r>
              <w:rPr>
                <w:sz w:val="15"/>
              </w:rPr>
              <w:t>Meta</w:t>
            </w:r>
          </w:p>
        </w:tc>
      </w:tr>
      <w:tr>
        <w:trPr>
          <w:cantSplit/>
        </w:trPr>
        <w:tc>
          <w:tcPr>
            <w:tcW w:type="dxa" w:w="2232"/>
            <w:vAlign w:val="top"/>
            <w:tcMar>
              <w:top w:w="80" w:type="dxa"/>
              <w:start w:w="90" w:type="dxa"/>
              <w:bottom w:w="80" w:type="dxa"/>
              <w:end w:w="90" w:type="dxa"/>
            </w:tcMar>
          </w:tcPr>
          <w:p>
            <w:pPr>
              <w:spacing w:after="0"/>
            </w:pPr>
            <w:r>
              <w:rPr>
                <w:sz w:val="15"/>
              </w:rPr>
              <w:t>ICryptoProvider</w:t>
            </w:r>
          </w:p>
        </w:tc>
        <w:tc>
          <w:tcPr>
            <w:tcW w:type="dxa" w:w="3816"/>
            <w:vAlign w:val="top"/>
            <w:tcMar>
              <w:top w:w="80" w:type="dxa"/>
              <w:start w:w="90" w:type="dxa"/>
              <w:bottom w:w="80" w:type="dxa"/>
              <w:end w:w="90" w:type="dxa"/>
            </w:tcMar>
          </w:tcPr>
          <w:p>
            <w:pPr>
              <w:spacing w:after="0"/>
            </w:pPr>
            <w:r>
              <w:rPr>
                <w:sz w:val="15"/>
              </w:rPr>
              <w:t>Creates and authenticates SecureEnvelope values.</w:t>
            </w:r>
          </w:p>
        </w:tc>
        <w:tc>
          <w:tcPr>
            <w:tcW w:type="dxa" w:w="4464"/>
            <w:vAlign w:val="top"/>
            <w:tcMar>
              <w:top w:w="80" w:type="dxa"/>
              <w:start w:w="90" w:type="dxa"/>
              <w:bottom w:w="80" w:type="dxa"/>
              <w:end w:w="90" w:type="dxa"/>
            </w:tcMar>
          </w:tcPr>
          <w:p>
            <w:pPr>
              <w:spacing w:after="0"/>
            </w:pPr>
            <w:r>
              <w:rPr>
                <w:sz w:val="15"/>
              </w:rPr>
              <w:t>Name, SealAsync, OpenAsync</w:t>
            </w:r>
          </w:p>
        </w:tc>
      </w:tr>
      <w:tr>
        <w:trPr>
          <w:cantSplit/>
        </w:trPr>
        <w:tc>
          <w:tcPr>
            <w:tcW w:type="dxa" w:w="2232"/>
            <w:vAlign w:val="top"/>
            <w:tcMar>
              <w:top w:w="80" w:type="dxa"/>
              <w:start w:w="90" w:type="dxa"/>
              <w:bottom w:w="80" w:type="dxa"/>
              <w:end w:w="90" w:type="dxa"/>
            </w:tcMar>
          </w:tcPr>
          <w:p>
            <w:pPr>
              <w:spacing w:after="0"/>
            </w:pPr>
            <w:r>
              <w:rPr>
                <w:sz w:val="15"/>
              </w:rPr>
              <w:t>IEnvelopeCodec</w:t>
            </w:r>
          </w:p>
        </w:tc>
        <w:tc>
          <w:tcPr>
            <w:tcW w:type="dxa" w:w="3816"/>
            <w:vAlign w:val="top"/>
            <w:tcMar>
              <w:top w:w="80" w:type="dxa"/>
              <w:start w:w="90" w:type="dxa"/>
              <w:bottom w:w="80" w:type="dxa"/>
              <w:end w:w="90" w:type="dxa"/>
            </w:tcMar>
          </w:tcPr>
          <w:p>
            <w:pPr>
              <w:spacing w:after="0"/>
            </w:pPr>
            <w:r>
              <w:rPr>
                <w:sz w:val="15"/>
              </w:rPr>
              <w:t>Serializes and deserializes SecureEnvelope values.</w:t>
            </w:r>
          </w:p>
        </w:tc>
        <w:tc>
          <w:tcPr>
            <w:tcW w:type="dxa" w:w="4464"/>
            <w:vAlign w:val="top"/>
            <w:tcMar>
              <w:top w:w="80" w:type="dxa"/>
              <w:start w:w="90" w:type="dxa"/>
              <w:bottom w:w="80" w:type="dxa"/>
              <w:end w:w="90" w:type="dxa"/>
            </w:tcMar>
          </w:tcPr>
          <w:p>
            <w:pPr>
              <w:spacing w:after="0"/>
            </w:pPr>
            <w:r>
              <w:rPr>
                <w:sz w:val="15"/>
              </w:rPr>
              <w:t>Encode, Decode</w:t>
            </w:r>
          </w:p>
        </w:tc>
      </w:tr>
      <w:tr>
        <w:trPr>
          <w:cantSplit/>
        </w:trPr>
        <w:tc>
          <w:tcPr>
            <w:tcW w:type="dxa" w:w="2232"/>
            <w:vAlign w:val="top"/>
            <w:tcMar>
              <w:top w:w="80" w:type="dxa"/>
              <w:start w:w="90" w:type="dxa"/>
              <w:bottom w:w="80" w:type="dxa"/>
              <w:end w:w="90" w:type="dxa"/>
            </w:tcMar>
          </w:tcPr>
          <w:p>
            <w:pPr>
              <w:spacing w:after="0"/>
            </w:pPr>
            <w:r>
              <w:rPr>
                <w:sz w:val="15"/>
              </w:rPr>
              <w:t>ITransport</w:t>
            </w:r>
          </w:p>
        </w:tc>
        <w:tc>
          <w:tcPr>
            <w:tcW w:type="dxa" w:w="3816"/>
            <w:vAlign w:val="top"/>
            <w:tcMar>
              <w:top w:w="80" w:type="dxa"/>
              <w:start w:w="90" w:type="dxa"/>
              <w:bottom w:w="80" w:type="dxa"/>
              <w:end w:w="90" w:type="dxa"/>
            </w:tcMar>
          </w:tcPr>
          <w:p>
            <w:pPr>
              <w:spacing w:after="0"/>
            </w:pPr>
            <w:r>
              <w:rPr>
                <w:sz w:val="15"/>
              </w:rPr>
              <w:t>Sends and receives complete protected frames.</w:t>
            </w:r>
          </w:p>
        </w:tc>
        <w:tc>
          <w:tcPr>
            <w:tcW w:type="dxa" w:w="4464"/>
            <w:vAlign w:val="top"/>
            <w:tcMar>
              <w:top w:w="80" w:type="dxa"/>
              <w:start w:w="90" w:type="dxa"/>
              <w:bottom w:w="80" w:type="dxa"/>
              <w:end w:w="90" w:type="dxa"/>
            </w:tcMar>
          </w:tcPr>
          <w:p>
            <w:pPr>
              <w:spacing w:after="0"/>
            </w:pPr>
            <w:r>
              <w:rPr>
                <w:sz w:val="15"/>
              </w:rPr>
              <w:t>IsConnected, SendAsync, ReceiveAsync</w:t>
            </w:r>
          </w:p>
        </w:tc>
      </w:tr>
      <w:tr>
        <w:trPr>
          <w:cantSplit/>
        </w:trPr>
        <w:tc>
          <w:tcPr>
            <w:tcW w:type="dxa" w:w="2232"/>
            <w:vAlign w:val="top"/>
            <w:tcMar>
              <w:top w:w="80" w:type="dxa"/>
              <w:start w:w="90" w:type="dxa"/>
              <w:bottom w:w="80" w:type="dxa"/>
              <w:end w:w="90" w:type="dxa"/>
            </w:tcMar>
          </w:tcPr>
          <w:p>
            <w:pPr>
              <w:spacing w:after="0"/>
            </w:pPr>
            <w:r>
              <w:rPr>
                <w:sz w:val="15"/>
              </w:rPr>
              <w:t>IReplayProtector</w:t>
            </w:r>
          </w:p>
        </w:tc>
        <w:tc>
          <w:tcPr>
            <w:tcW w:type="dxa" w:w="3816"/>
            <w:vAlign w:val="top"/>
            <w:tcMar>
              <w:top w:w="80" w:type="dxa"/>
              <w:start w:w="90" w:type="dxa"/>
              <w:bottom w:w="80" w:type="dxa"/>
              <w:end w:w="90" w:type="dxa"/>
            </w:tcMar>
          </w:tcPr>
          <w:p>
            <w:pPr>
              <w:spacing w:after="0"/>
            </w:pPr>
            <w:r>
              <w:rPr>
                <w:sz w:val="15"/>
              </w:rPr>
              <w:t>Accepts new authenticated replay context and rejects duplicates.</w:t>
            </w:r>
          </w:p>
        </w:tc>
        <w:tc>
          <w:tcPr>
            <w:tcW w:type="dxa" w:w="4464"/>
            <w:vAlign w:val="top"/>
            <w:tcMar>
              <w:top w:w="80" w:type="dxa"/>
              <w:start w:w="90" w:type="dxa"/>
              <w:bottom w:w="80" w:type="dxa"/>
              <w:end w:w="90" w:type="dxa"/>
            </w:tcMar>
          </w:tcPr>
          <w:p>
            <w:pPr>
              <w:spacing w:after="0"/>
            </w:pPr>
            <w:r>
              <w:rPr>
                <w:sz w:val="15"/>
              </w:rPr>
              <w:t>TryAcceptAsync</w:t>
            </w:r>
          </w:p>
        </w:tc>
      </w:tr>
      <w:tr>
        <w:trPr>
          <w:cantSplit/>
        </w:trPr>
        <w:tc>
          <w:tcPr>
            <w:tcW w:type="dxa" w:w="2232"/>
            <w:vAlign w:val="top"/>
            <w:tcMar>
              <w:top w:w="80" w:type="dxa"/>
              <w:start w:w="90" w:type="dxa"/>
              <w:bottom w:w="80" w:type="dxa"/>
              <w:end w:w="90" w:type="dxa"/>
            </w:tcMar>
          </w:tcPr>
          <w:p>
            <w:pPr>
              <w:spacing w:after="0"/>
            </w:pPr>
            <w:r>
              <w:rPr>
                <w:sz w:val="15"/>
              </w:rPr>
              <w:t>IMercuryResult / FailureReason</w:t>
            </w:r>
          </w:p>
        </w:tc>
        <w:tc>
          <w:tcPr>
            <w:tcW w:type="dxa" w:w="3816"/>
            <w:vAlign w:val="top"/>
            <w:tcMar>
              <w:top w:w="80" w:type="dxa"/>
              <w:start w:w="90" w:type="dxa"/>
              <w:bottom w:w="80" w:type="dxa"/>
              <w:end w:w="90" w:type="dxa"/>
            </w:tcMar>
          </w:tcPr>
          <w:p>
            <w:pPr>
              <w:spacing w:after="0"/>
            </w:pPr>
            <w:r>
              <w:rPr>
                <w:sz w:val="15"/>
              </w:rPr>
              <w:t>Reports controlled success or failure without plaintext leakage.</w:t>
            </w:r>
          </w:p>
        </w:tc>
        <w:tc>
          <w:tcPr>
            <w:tcW w:type="dxa" w:w="4464"/>
            <w:vAlign w:val="top"/>
            <w:tcMar>
              <w:top w:w="80" w:type="dxa"/>
              <w:start w:w="90" w:type="dxa"/>
              <w:bottom w:w="80" w:type="dxa"/>
              <w:end w:w="90" w:type="dxa"/>
            </w:tcMar>
          </w:tcPr>
          <w:p>
            <w:pPr>
              <w:spacing w:after="0"/>
            </w:pPr>
            <w:r>
              <w:rPr>
                <w:sz w:val="15"/>
              </w:rPr>
              <w:t>Success, Payload, ValidatedEnvelope, FailureReason, Message</w:t>
            </w:r>
          </w:p>
        </w:tc>
      </w:tr>
    </w:tbl>
    <w:p>
      <w:pPr>
        <w:pStyle w:val="Heading1"/>
      </w:pPr>
      <w:r>
        <w:t>Send Pipeline</w:t>
      </w:r>
    </w:p>
    <w:p>
      <w:pPr>
        <w:pStyle w:val="ListNumber"/>
      </w:pPr>
      <w:r>
        <w:t>The application calls SendAsync with a non-empty payload and ICryptoContext.</w:t>
      </w:r>
    </w:p>
    <w:p>
      <w:pPr>
        <w:pStyle w:val="ListNumber"/>
      </w:pPr>
      <w:r>
        <w:t>Mercury validates cancellation, payload, client configuration, and context.</w:t>
      </w:r>
    </w:p>
    <w:p>
      <w:pPr>
        <w:pStyle w:val="ListNumber"/>
      </w:pPr>
      <w:r>
        <w:t>Mercury builds an ISealRequest using the application payload and optional metadata.</w:t>
      </w:r>
    </w:p>
    <w:p>
      <w:pPr>
        <w:pStyle w:val="ListNumber"/>
      </w:pPr>
      <w:r>
        <w:t>The selected ICryptoProvider creates the header and footer, builds canonical authenticated envelope data, generates a nonce and replay token, and protects the payload.</w:t>
      </w:r>
    </w:p>
    <w:p>
      <w:pPr>
        <w:pStyle w:val="ListNumber"/>
      </w:pPr>
      <w:r>
        <w:t>The provider returns a validated SecureEnvelope.</w:t>
      </w:r>
    </w:p>
    <w:p>
      <w:pPr>
        <w:pStyle w:val="ListNumber"/>
      </w:pPr>
      <w:r>
        <w:t>The selected IEnvelopeCodec serializes the SecureEnvelope into a transportable frame.</w:t>
      </w:r>
    </w:p>
    <w:p>
      <w:pPr>
        <w:pStyle w:val="ListNumber"/>
      </w:pPr>
      <w:r>
        <w:t>The configured ITransport sends only the encoded protected frame.</w:t>
      </w:r>
    </w:p>
    <w:p>
      <w:pPr>
        <w:pStyle w:val="Heading1"/>
      </w:pPr>
      <w:r>
        <w:t>Receive Pipeline</w:t>
      </w:r>
    </w:p>
    <w:p>
      <w:pPr>
        <w:pStyle w:val="ListNumber"/>
      </w:pPr>
      <w:r>
        <w:t>The transport returns one complete protected frame.</w:t>
      </w:r>
    </w:p>
    <w:p>
      <w:pPr>
        <w:pStyle w:val="ListNumber"/>
      </w:pPr>
      <w:r>
        <w:t>The codec structurally decodes the frame into a SecureEnvelope.</w:t>
      </w:r>
    </w:p>
    <w:p>
      <w:pPr>
        <w:pStyle w:val="ListNumber"/>
      </w:pPr>
      <w:r>
        <w:t>Mercury validates required envelope structure and intended recipient context.</w:t>
      </w:r>
    </w:p>
    <w:p>
      <w:pPr>
        <w:pStyle w:val="ListNumber"/>
      </w:pPr>
      <w:r>
        <w:t>The selected crypto provider reconstructs canonical authenticated data and authenticates and decrypts the protected payload.</w:t>
      </w:r>
    </w:p>
    <w:p>
      <w:pPr>
        <w:pStyle w:val="ListNumber"/>
      </w:pPr>
      <w:r>
        <w:t>Only after cryptographic validation succeeds does Mercury call the replay protector with the authenticated header.</w:t>
      </w:r>
    </w:p>
    <w:p>
      <w:pPr>
        <w:pStyle w:val="ListNumber"/>
      </w:pPr>
      <w:r>
        <w:t>If replay protection accepts the sender/token combination, Mercury returns the plaintext payload.</w:t>
      </w:r>
    </w:p>
    <w:p>
      <w:pPr>
        <w:pStyle w:val="ListNumber"/>
      </w:pPr>
      <w:r>
        <w:t>Decode, authentication, recipient, replay, provider, or transport failures return controlled failure results without plaintext.</w:t>
      </w:r>
    </w:p>
    <w:p>
      <w:pPr>
        <w:pStyle w:val="Heading1"/>
      </w:pPr>
      <w:r>
        <w:t>Cryptographic Provider Design</w:t>
      </w:r>
    </w:p>
    <w:p>
      <w:r>
        <w:t>Mercury RC 1.2 includes operational AES-GCM and ChaCha20-Poly1305 providers. Both providers use the same ICryptoProvider contract and the same canonical authenticated envelope data. AES-CCM remains pending and is not claimed as completed support.</w:t>
      </w:r>
    </w:p>
    <w:p>
      <w:r>
        <w:t>Each completed provider resolves a symmetric key by KeyId, validates the algorithm-required key length, generates fresh per-message cryptographic material, performs authenticated encryption, and packages the nonce, authentication tag, and ciphertext into the protected payload format.</w:t>
      </w:r>
    </w:p>
    <w:p>
      <w:pPr>
        <w:pStyle w:val="Heading1"/>
      </w:pPr>
      <w:r>
        <w:t>Canonical Authenticated Envelope Data</w:t>
      </w:r>
    </w:p>
    <w:p>
      <w:r>
        <w:t>AuthenticatedEnvelopeData produces a deterministic, length-prefixed representation of security-relevant envelope fields. Metadata entries are sorted using ordinal comparison so both endpoints authenticate the same byte sequence regardless of dictionary enumeration order.</w:t>
      </w:r>
    </w:p>
    <w:p>
      <w:pPr>
        <w:pStyle w:val="ListBullet"/>
      </w:pPr>
      <w:r>
        <w:t>Authenticated-data format marker and format version</w:t>
      </w:r>
    </w:p>
    <w:p>
      <w:pPr>
        <w:pStyle w:val="ListBullet"/>
      </w:pPr>
      <w:r>
        <w:t>Framework major and minor version</w:t>
      </w:r>
    </w:p>
    <w:p>
      <w:pPr>
        <w:pStyle w:val="ListBullet"/>
      </w:pPr>
      <w:r>
        <w:t>Envelope identifier</w:t>
      </w:r>
    </w:p>
    <w:p>
      <w:pPr>
        <w:pStyle w:val="ListBullet"/>
      </w:pPr>
      <w:r>
        <w:t>Timestamp in Unix milliseconds</w:t>
      </w:r>
    </w:p>
    <w:p>
      <w:pPr>
        <w:pStyle w:val="ListBullet"/>
      </w:pPr>
      <w:r>
        <w:t>Sender and recipient key identifiers</w:t>
      </w:r>
    </w:p>
    <w:p>
      <w:pPr>
        <w:pStyle w:val="ListBullet"/>
      </w:pPr>
      <w:r>
        <w:t>Encryption and signature algorithm identifiers</w:t>
      </w:r>
    </w:p>
    <w:p>
      <w:pPr>
        <w:pStyle w:val="ListBullet"/>
      </w:pPr>
      <w:r>
        <w:t>Replay token</w:t>
      </w:r>
    </w:p>
    <w:p>
      <w:pPr>
        <w:pStyle w:val="ListBullet"/>
      </w:pPr>
      <w:r>
        <w:t>Header metadata sorted by ordinal key</w:t>
      </w:r>
    </w:p>
    <w:p>
      <w:pPr>
        <w:pStyle w:val="ListBullet"/>
      </w:pPr>
      <w:r>
        <w:t>Footer metadata sorted by ordinal key</w:t>
      </w:r>
    </w:p>
    <w:p>
      <w:r>
        <w:t>Changing any authenticated field causes provider authentication to fail. This design replaced the earlier delimiter-based approach and permits unambiguous field encoding without relying on delimiter restrictions.</w:t>
      </w:r>
    </w:p>
    <w:p>
      <w:pPr>
        <w:pStyle w:val="Heading1"/>
      </w:pPr>
      <w:r>
        <w:t>Key and Identifier Design</w:t>
      </w:r>
    </w:p>
    <w:p>
      <w:pPr>
        <w:pStyle w:val="ListBullet"/>
      </w:pPr>
      <w:r>
        <w:t>KeyId and AlgorithmId are value types with consistent default and empty behavior.</w:t>
      </w:r>
    </w:p>
    <w:p>
      <w:pPr>
        <w:pStyle w:val="ListBullet"/>
      </w:pPr>
      <w:r>
        <w:t>Equality and hashing use ordinal, case-sensitive comparison.</w:t>
      </w:r>
    </w:p>
    <w:p>
      <w:pPr>
        <w:pStyle w:val="ListBullet"/>
      </w:pPr>
      <w:r>
        <w:t>SymmetricKeyProviderDictionary rejects empty KeyId values, missing keys, and null or empty key material.</w:t>
      </w:r>
    </w:p>
    <w:p>
      <w:pPr>
        <w:pStyle w:val="ListBullet"/>
      </w:pPr>
      <w:r>
        <w:t>Key arrays are defensively copied when stored and when returned.</w:t>
      </w:r>
    </w:p>
    <w:p>
      <w:pPr>
        <w:pStyle w:val="ListBullet"/>
      </w:pPr>
      <w:r>
        <w:t>Algorithm-specific key-size validation remains inside each crypto provider.</w:t>
      </w:r>
    </w:p>
    <w:p>
      <w:pPr>
        <w:pStyle w:val="Heading1"/>
      </w:pPr>
      <w:r>
        <w:t>Envelope Codec Design</w:t>
      </w:r>
    </w:p>
    <w:p>
      <w:r>
        <w:t>Mercury provides Binary and JSON codecs. A codec is responsible for structural serialization and deserialization only. It does not provide cryptographic integrity. Security integrity is enforced by the selected provider after decoding.</w:t>
      </w:r>
    </w:p>
    <w:p>
      <w:pPr>
        <w:pStyle w:val="ListBullet"/>
      </w:pPr>
      <w:r>
        <w:t>Binary codec uses a versioned magic value, explicit big-endian length prefixes, envelope fields, metadata, protected payload, and trailing-data rejection.</w:t>
      </w:r>
    </w:p>
    <w:p>
      <w:pPr>
        <w:pStyle w:val="ListBullet"/>
      </w:pPr>
      <w:r>
        <w:t>JSON codec uses named fields and Base64 for binary values to support demonstrations and diagnostics.</w:t>
      </w:r>
    </w:p>
    <w:p>
      <w:pPr>
        <w:pStyle w:val="ListBullet"/>
      </w:pPr>
      <w:r>
        <w:t>Wrong-codec, malformed, truncated, unsupported-version, and invalid Base64 inputs are rejected before plaintext release.</w:t>
      </w:r>
    </w:p>
    <w:p>
      <w:pPr>
        <w:pStyle w:val="ListBullet"/>
      </w:pPr>
      <w:r>
        <w:t>Codecs preserve the complete SecureEnvelope across encode and decode round trips.</w:t>
      </w:r>
    </w:p>
    <w:p>
      <w:pPr>
        <w:pStyle w:val="Heading1"/>
      </w:pPr>
      <w:r>
        <w:t>Transport Design</w:t>
      </w:r>
    </w:p>
    <w:p>
      <w:r>
        <w:t>Transports are unaware of plaintext and cryptographic decisions. They send and receive complete protected frames through the ITransport boundary.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800"/>
            <w:shd w:fill="1F4E79"/>
            <w:vAlign w:val="center"/>
            <w:tcMar>
              <w:top w:w="80" w:type="dxa"/>
              <w:start w:w="90" w:type="dxa"/>
              <w:bottom w:w="80" w:type="dxa"/>
              <w:end w:w="90" w:type="dxa"/>
            </w:tcMar>
          </w:tcPr>
          <w:p>
            <w:pPr>
              <w:spacing w:after="0"/>
            </w:pPr>
            <w:r>
              <w:rPr>
                <w:b/>
                <w:color w:val="FFFFFF"/>
                <w:sz w:val="18"/>
              </w:rPr>
              <w:t>Transport</w:t>
            </w:r>
          </w:p>
        </w:tc>
        <w:tc>
          <w:tcPr>
            <w:tcW w:type="dxa" w:w="8784"/>
            <w:shd w:fill="1F4E79"/>
            <w:vAlign w:val="center"/>
            <w:tcMar>
              <w:top w:w="80" w:type="dxa"/>
              <w:start w:w="90" w:type="dxa"/>
              <w:bottom w:w="80" w:type="dxa"/>
              <w:end w:w="90" w:type="dxa"/>
            </w:tcMar>
          </w:tcPr>
          <w:p>
            <w:pPr>
              <w:spacing w:after="0"/>
            </w:pPr>
            <w:r>
              <w:rPr>
                <w:b/>
                <w:color w:val="FFFFFF"/>
                <w:sz w:val="18"/>
              </w:rPr>
              <w:t>Design</w:t>
            </w:r>
          </w:p>
        </w:tc>
      </w:tr>
      <w:tr>
        <w:trPr>
          <w:cantSplit/>
        </w:trPr>
        <w:tc>
          <w:tcPr>
            <w:tcW w:type="dxa" w:w="1800"/>
            <w:vAlign w:val="top"/>
            <w:tcMar>
              <w:top w:w="80" w:type="dxa"/>
              <w:start w:w="90" w:type="dxa"/>
              <w:bottom w:w="80" w:type="dxa"/>
              <w:end w:w="90" w:type="dxa"/>
            </w:tcMar>
          </w:tcPr>
          <w:p>
            <w:pPr>
              <w:spacing w:after="0"/>
            </w:pPr>
            <w:r>
              <w:rPr>
                <w:sz w:val="18"/>
              </w:rPr>
              <w:t>In-memory</w:t>
            </w:r>
          </w:p>
        </w:tc>
        <w:tc>
          <w:tcPr>
            <w:tcW w:type="dxa" w:w="8784"/>
            <w:vAlign w:val="top"/>
            <w:tcMar>
              <w:top w:w="80" w:type="dxa"/>
              <w:start w:w="90" w:type="dxa"/>
              <w:bottom w:w="80" w:type="dxa"/>
              <w:end w:w="90" w:type="dxa"/>
            </w:tcMar>
          </w:tcPr>
          <w:p>
            <w:pPr>
              <w:spacing w:after="0"/>
            </w:pPr>
            <w:r>
              <w:rPr>
                <w:sz w:val="18"/>
              </w:rPr>
              <w:t>Deterministic frame delivery for tests and demonstrations, with defensive copying and maximum frame-size enforcement.</w:t>
            </w:r>
          </w:p>
        </w:tc>
      </w:tr>
      <w:tr>
        <w:trPr>
          <w:cantSplit/>
        </w:trPr>
        <w:tc>
          <w:tcPr>
            <w:tcW w:type="dxa" w:w="1800"/>
            <w:vAlign w:val="top"/>
            <w:tcMar>
              <w:top w:w="80" w:type="dxa"/>
              <w:start w:w="90" w:type="dxa"/>
              <w:bottom w:w="80" w:type="dxa"/>
              <w:end w:w="90" w:type="dxa"/>
            </w:tcMar>
          </w:tcPr>
          <w:p>
            <w:pPr>
              <w:spacing w:after="0"/>
            </w:pPr>
            <w:r>
              <w:rPr>
                <w:sz w:val="18"/>
              </w:rPr>
              <w:t>TCP</w:t>
            </w:r>
          </w:p>
        </w:tc>
        <w:tc>
          <w:tcPr>
            <w:tcW w:type="dxa" w:w="8784"/>
            <w:vAlign w:val="top"/>
            <w:tcMar>
              <w:top w:w="80" w:type="dxa"/>
              <w:start w:w="90" w:type="dxa"/>
              <w:bottom w:w="80" w:type="dxa"/>
              <w:end w:w="90" w:type="dxa"/>
            </w:tcMar>
          </w:tcPr>
          <w:p>
            <w:pPr>
              <w:spacing w:after="0"/>
            </w:pPr>
            <w:r>
              <w:rPr>
                <w:sz w:val="18"/>
              </w:rPr>
              <w:t>Four-byte big-endian length prefix followed by one complete frame, separate send/receive synchronization, cancellation, and maximum frame-size enforcement.</w:t>
            </w:r>
          </w:p>
        </w:tc>
      </w:tr>
      <w:tr>
        <w:trPr>
          <w:cantSplit/>
        </w:trPr>
        <w:tc>
          <w:tcPr>
            <w:tcW w:type="dxa" w:w="1800"/>
            <w:vAlign w:val="top"/>
            <w:tcMar>
              <w:top w:w="80" w:type="dxa"/>
              <w:start w:w="90" w:type="dxa"/>
              <w:bottom w:w="80" w:type="dxa"/>
              <w:end w:w="90" w:type="dxa"/>
            </w:tcMar>
          </w:tcPr>
          <w:p>
            <w:pPr>
              <w:spacing w:after="0"/>
            </w:pPr>
            <w:r>
              <w:rPr>
                <w:sz w:val="18"/>
              </w:rPr>
              <w:t>FileDrop</w:t>
            </w:r>
          </w:p>
        </w:tc>
        <w:tc>
          <w:tcPr>
            <w:tcW w:type="dxa" w:w="8784"/>
            <w:vAlign w:val="top"/>
            <w:tcMar>
              <w:top w:w="80" w:type="dxa"/>
              <w:start w:w="90" w:type="dxa"/>
              <w:bottom w:w="80" w:type="dxa"/>
              <w:end w:w="90" w:type="dxa"/>
            </w:tcMar>
          </w:tcPr>
          <w:p>
            <w:pPr>
              <w:spacing w:after="0"/>
            </w:pPr>
            <w:r>
              <w:rPr>
                <w:sz w:val="18"/>
              </w:rPr>
              <w:t>Publishes complete frames through filesystem files and claim/processing behavior. It is included as a plugin but retains more operational recovery work than the primary in-memory and TCP paths.</w:t>
            </w:r>
          </w:p>
        </w:tc>
      </w:tr>
    </w:tbl>
    <w:p>
      <w:pPr>
        <w:pStyle w:val="Heading1"/>
      </w:pPr>
      <w:r>
        <w:t>Replay Protection Design</w:t>
      </w:r>
    </w:p>
    <w:p>
      <w:r>
        <w:t>InMemoryReplayProtector identifies a replay by the exact sender KeyId and replay-token bytes. It uses a configurable replay window and maximum active-entry count. Expired entries are removed before capacity checks. When capacity is reached, the protector fails closed by rejecting additional records. Process restart clears the in-memory state.</w:t>
      </w:r>
    </w:p>
    <w:p>
      <w:pPr>
        <w:pStyle w:val="Heading1"/>
      </w:pPr>
      <w:r>
        <w:t>Logging and Failure Handling</w:t>
      </w:r>
    </w:p>
    <w:p>
      <w:pPr>
        <w:pStyle w:val="ListBullet"/>
      </w:pPr>
      <w:r>
        <w:t>IMercuryLogger allows hosts to observe pipeline behavior without coupling Mercury Core to a logging framework.</w:t>
      </w:r>
    </w:p>
    <w:p>
      <w:pPr>
        <w:pStyle w:val="ListBullet"/>
      </w:pPr>
      <w:r>
        <w:t>Caller errors such as empty payloads or invalid required arguments throw appropriate exceptions.</w:t>
      </w:r>
    </w:p>
    <w:p>
      <w:pPr>
        <w:pStyle w:val="ListBullet"/>
      </w:pPr>
      <w:r>
        <w:t>Receive-side decode, authentication, replay, provider, and transport failures return controlled results where possible.</w:t>
      </w:r>
    </w:p>
    <w:p>
      <w:pPr>
        <w:pStyle w:val="ListBullet"/>
      </w:pPr>
      <w:r>
        <w:t>OperationCanceledException is allowed to propagate.</w:t>
      </w:r>
    </w:p>
    <w:p>
      <w:pPr>
        <w:pStyle w:val="ListBullet"/>
      </w:pPr>
      <w:r>
        <w:t>Failure results do not include plaintext payload data.</w:t>
      </w:r>
    </w:p>
    <w:p>
      <w:pPr>
        <w:pStyle w:val="ListBullet"/>
      </w:pPr>
      <w:r>
        <w:t>Logs and demo output must not expose key material, plaintext after failure, authentication tags, or other secrets.</w:t>
      </w:r>
    </w:p>
    <w:p>
      <w:pPr>
        <w:pStyle w:val="Heading1"/>
      </w:pPr>
      <w:r>
        <w:t>Demo Architecture</w:t>
      </w:r>
    </w:p>
    <w:p>
      <w:r>
        <w:t>Mercury.Demo.Console provides a cross-platform host. Mercury.Demo.WinForms provides the primary graphical demonstration and uses designer-placed custom controls, a controller-based backend, configurable provider/transport/codec selection, event logging, secure-envelope inspection, chunked file sending, and controlled replay, tamper, and wrong-key scenarios.</w:t>
      </w:r>
    </w:p>
    <w:p>
      <w:r>
        <w:t>The TCP attack simulator is isolated in the demo project. It is not part of Mercury Core or Mercury.Transport.Tcp. Its purpose is to alter or replay complete protected frames so the demo can show framework rejection behavior.</w:t>
      </w:r>
    </w:p>
    <w:p>
      <w:pPr>
        <w:pStyle w:val="Heading1"/>
      </w:pPr>
      <w:r>
        <w:t>Major Design Decisions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shd w:fill="1F4E79"/>
            <w:vAlign w:val="center"/>
            <w:tcMar>
              <w:top w:w="80" w:type="dxa"/>
              <w:start w:w="90" w:type="dxa"/>
              <w:bottom w:w="80" w:type="dxa"/>
              <w:end w:w="90" w:type="dxa"/>
            </w:tcMar>
          </w:tcPr>
          <w:p>
            <w:pPr>
              <w:spacing w:after="0"/>
            </w:pPr>
            <w:r>
              <w:rPr>
                <w:b/>
                <w:color w:val="FFFFFF"/>
                <w:sz w:val="17"/>
              </w:rPr>
              <w:t>Decision</w:t>
            </w:r>
          </w:p>
        </w:tc>
        <w:tc>
          <w:tcPr>
            <w:tcW w:type="dxa" w:w="7344"/>
            <w:shd w:fill="1F4E79"/>
            <w:vAlign w:val="center"/>
            <w:tcMar>
              <w:top w:w="80" w:type="dxa"/>
              <w:start w:w="90" w:type="dxa"/>
              <w:bottom w:w="80" w:type="dxa"/>
              <w:end w:w="90" w:type="dxa"/>
            </w:tcMar>
          </w:tcPr>
          <w:p>
            <w:pPr>
              <w:spacing w:after="0"/>
            </w:pPr>
            <w:r>
              <w:rPr>
                <w:b/>
                <w:color w:val="FFFFFF"/>
                <w:sz w:val="17"/>
              </w:rPr>
              <w:t>Reason</w:t>
            </w:r>
          </w:p>
        </w:tc>
      </w:tr>
      <w:tr>
        <w:trPr>
          <w:cantSplit/>
        </w:trPr>
        <w:tc>
          <w:tcPr>
            <w:tcW w:type="dxa" w:w="3168"/>
            <w:vAlign w:val="top"/>
            <w:tcMar>
              <w:top w:w="80" w:type="dxa"/>
              <w:start w:w="90" w:type="dxa"/>
              <w:bottom w:w="80" w:type="dxa"/>
              <w:end w:w="90" w:type="dxa"/>
            </w:tcMar>
          </w:tcPr>
          <w:p>
            <w:pPr>
              <w:spacing w:after="0"/>
            </w:pPr>
            <w:r>
              <w:rPr>
                <w:sz w:val="17"/>
              </w:rPr>
              <w:t>Security above transport</w:t>
            </w:r>
          </w:p>
        </w:tc>
        <w:tc>
          <w:tcPr>
            <w:tcW w:type="dxa" w:w="7344"/>
            <w:vAlign w:val="top"/>
            <w:tcMar>
              <w:top w:w="80" w:type="dxa"/>
              <w:start w:w="90" w:type="dxa"/>
              <w:bottom w:w="80" w:type="dxa"/>
              <w:end w:w="90" w:type="dxa"/>
            </w:tcMar>
          </w:tcPr>
          <w:p>
            <w:pPr>
              <w:spacing w:after="0"/>
            </w:pPr>
            <w:r>
              <w:rPr>
                <w:sz w:val="17"/>
              </w:rPr>
              <w:t>Keeps protection independent of network or delivery mechanism.</w:t>
            </w:r>
          </w:p>
        </w:tc>
      </w:tr>
      <w:tr>
        <w:trPr>
          <w:cantSplit/>
        </w:trPr>
        <w:tc>
          <w:tcPr>
            <w:tcW w:type="dxa" w:w="3168"/>
            <w:vAlign w:val="top"/>
            <w:tcMar>
              <w:top w:w="80" w:type="dxa"/>
              <w:start w:w="90" w:type="dxa"/>
              <w:bottom w:w="80" w:type="dxa"/>
              <w:end w:w="90" w:type="dxa"/>
            </w:tcMar>
          </w:tcPr>
          <w:p>
            <w:pPr>
              <w:spacing w:after="0"/>
            </w:pPr>
            <w:r>
              <w:rPr>
                <w:sz w:val="17"/>
              </w:rPr>
              <w:t>Explicit client KeyId</w:t>
            </w:r>
          </w:p>
        </w:tc>
        <w:tc>
          <w:tcPr>
            <w:tcW w:type="dxa" w:w="7344"/>
            <w:vAlign w:val="top"/>
            <w:tcMar>
              <w:top w:w="80" w:type="dxa"/>
              <w:start w:w="90" w:type="dxa"/>
              <w:bottom w:w="80" w:type="dxa"/>
              <w:end w:w="90" w:type="dxa"/>
            </w:tcMar>
          </w:tcPr>
          <w:p>
            <w:pPr>
              <w:spacing w:after="0"/>
            </w:pPr>
            <w:r>
              <w:rPr>
                <w:sz w:val="17"/>
              </w:rPr>
              <w:t>Allows the receiving client to validate intended recipient context.</w:t>
            </w:r>
          </w:p>
        </w:tc>
      </w:tr>
      <w:tr>
        <w:trPr>
          <w:cantSplit/>
        </w:trPr>
        <w:tc>
          <w:tcPr>
            <w:tcW w:type="dxa" w:w="3168"/>
            <w:vAlign w:val="top"/>
            <w:tcMar>
              <w:top w:w="80" w:type="dxa"/>
              <w:start w:w="90" w:type="dxa"/>
              <w:bottom w:w="80" w:type="dxa"/>
              <w:end w:w="90" w:type="dxa"/>
            </w:tcMar>
          </w:tcPr>
          <w:p>
            <w:pPr>
              <w:spacing w:after="0"/>
            </w:pPr>
            <w:r>
              <w:rPr>
                <w:sz w:val="17"/>
              </w:rPr>
              <w:t>Plugin interfaces</w:t>
            </w:r>
          </w:p>
        </w:tc>
        <w:tc>
          <w:tcPr>
            <w:tcW w:type="dxa" w:w="7344"/>
            <w:vAlign w:val="top"/>
            <w:tcMar>
              <w:top w:w="80" w:type="dxa"/>
              <w:start w:w="90" w:type="dxa"/>
              <w:bottom w:w="80" w:type="dxa"/>
              <w:end w:w="90" w:type="dxa"/>
            </w:tcMar>
          </w:tcPr>
          <w:p>
            <w:pPr>
              <w:spacing w:after="0"/>
            </w:pPr>
            <w:r>
              <w:rPr>
                <w:sz w:val="17"/>
              </w:rPr>
              <w:t>Makes crypto, codecs, transports, replay protection, and logging swappable and testable.</w:t>
            </w:r>
          </w:p>
        </w:tc>
      </w:tr>
      <w:tr>
        <w:trPr>
          <w:cantSplit/>
        </w:trPr>
        <w:tc>
          <w:tcPr>
            <w:tcW w:type="dxa" w:w="3168"/>
            <w:vAlign w:val="top"/>
            <w:tcMar>
              <w:top w:w="80" w:type="dxa"/>
              <w:start w:w="90" w:type="dxa"/>
              <w:bottom w:w="80" w:type="dxa"/>
              <w:end w:w="90" w:type="dxa"/>
            </w:tcMar>
          </w:tcPr>
          <w:p>
            <w:pPr>
              <w:spacing w:after="0"/>
            </w:pPr>
            <w:r>
              <w:rPr>
                <w:sz w:val="17"/>
              </w:rPr>
              <w:t>SecureEnvelope boundary</w:t>
            </w:r>
          </w:p>
        </w:tc>
        <w:tc>
          <w:tcPr>
            <w:tcW w:type="dxa" w:w="7344"/>
            <w:vAlign w:val="top"/>
            <w:tcMar>
              <w:top w:w="80" w:type="dxa"/>
              <w:start w:w="90" w:type="dxa"/>
              <w:bottom w:w="80" w:type="dxa"/>
              <w:end w:w="90" w:type="dxa"/>
            </w:tcMar>
          </w:tcPr>
          <w:p>
            <w:pPr>
              <w:spacing w:after="0"/>
            </w:pPr>
            <w:r>
              <w:rPr>
                <w:sz w:val="17"/>
              </w:rPr>
              <w:t>Ensures only protected data crosses the transport boundary.</w:t>
            </w:r>
          </w:p>
        </w:tc>
      </w:tr>
      <w:tr>
        <w:trPr>
          <w:cantSplit/>
        </w:trPr>
        <w:tc>
          <w:tcPr>
            <w:tcW w:type="dxa" w:w="3168"/>
            <w:vAlign w:val="top"/>
            <w:tcMar>
              <w:top w:w="80" w:type="dxa"/>
              <w:start w:w="90" w:type="dxa"/>
              <w:bottom w:w="80" w:type="dxa"/>
              <w:end w:w="90" w:type="dxa"/>
            </w:tcMar>
          </w:tcPr>
          <w:p>
            <w:pPr>
              <w:spacing w:after="0"/>
            </w:pPr>
            <w:r>
              <w:rPr>
                <w:sz w:val="17"/>
              </w:rPr>
              <w:t>Canonical authenticated data</w:t>
            </w:r>
          </w:p>
        </w:tc>
        <w:tc>
          <w:tcPr>
            <w:tcW w:type="dxa" w:w="7344"/>
            <w:vAlign w:val="top"/>
            <w:tcMar>
              <w:top w:w="80" w:type="dxa"/>
              <w:start w:w="90" w:type="dxa"/>
              <w:bottom w:w="80" w:type="dxa"/>
              <w:end w:w="90" w:type="dxa"/>
            </w:tcMar>
          </w:tcPr>
          <w:p>
            <w:pPr>
              <w:spacing w:after="0"/>
            </w:pPr>
            <w:r>
              <w:rPr>
                <w:sz w:val="17"/>
              </w:rPr>
              <w:t>Binds security-relevant envelope fields without ambiguous string concatenation.</w:t>
            </w:r>
          </w:p>
        </w:tc>
      </w:tr>
      <w:tr>
        <w:trPr>
          <w:cantSplit/>
        </w:trPr>
        <w:tc>
          <w:tcPr>
            <w:tcW w:type="dxa" w:w="3168"/>
            <w:vAlign w:val="top"/>
            <w:tcMar>
              <w:top w:w="80" w:type="dxa"/>
              <w:start w:w="90" w:type="dxa"/>
              <w:bottom w:w="80" w:type="dxa"/>
              <w:end w:w="90" w:type="dxa"/>
            </w:tcMar>
          </w:tcPr>
          <w:p>
            <w:pPr>
              <w:spacing w:after="0"/>
            </w:pPr>
            <w:r>
              <w:rPr>
                <w:sz w:val="17"/>
              </w:rPr>
              <w:t>Replay after authentication</w:t>
            </w:r>
          </w:p>
        </w:tc>
        <w:tc>
          <w:tcPr>
            <w:tcW w:type="dxa" w:w="7344"/>
            <w:vAlign w:val="top"/>
            <w:tcMar>
              <w:top w:w="80" w:type="dxa"/>
              <w:start w:w="90" w:type="dxa"/>
              <w:bottom w:w="80" w:type="dxa"/>
              <w:end w:w="90" w:type="dxa"/>
            </w:tcMar>
          </w:tcPr>
          <w:p>
            <w:pPr>
              <w:spacing w:after="0"/>
            </w:pPr>
            <w:r>
              <w:rPr>
                <w:sz w:val="17"/>
              </w:rPr>
              <w:t>Prevents unauthenticated metadata from polluting replay state.</w:t>
            </w:r>
          </w:p>
        </w:tc>
      </w:tr>
      <w:tr>
        <w:trPr>
          <w:cantSplit/>
        </w:trPr>
        <w:tc>
          <w:tcPr>
            <w:tcW w:type="dxa" w:w="3168"/>
            <w:vAlign w:val="top"/>
            <w:tcMar>
              <w:top w:w="80" w:type="dxa"/>
              <w:start w:w="90" w:type="dxa"/>
              <w:bottom w:w="80" w:type="dxa"/>
              <w:end w:w="90" w:type="dxa"/>
            </w:tcMar>
          </w:tcPr>
          <w:p>
            <w:pPr>
              <w:spacing w:after="0"/>
            </w:pPr>
            <w:r>
              <w:rPr>
                <w:sz w:val="17"/>
              </w:rPr>
              <w:t>Bounded replay storage</w:t>
            </w:r>
          </w:p>
        </w:tc>
        <w:tc>
          <w:tcPr>
            <w:tcW w:type="dxa" w:w="7344"/>
            <w:vAlign w:val="top"/>
            <w:tcMar>
              <w:top w:w="80" w:type="dxa"/>
              <w:start w:w="90" w:type="dxa"/>
              <w:bottom w:w="80" w:type="dxa"/>
              <w:end w:w="90" w:type="dxa"/>
            </w:tcMar>
          </w:tcPr>
          <w:p>
            <w:pPr>
              <w:spacing w:after="0"/>
            </w:pPr>
            <w:r>
              <w:rPr>
                <w:sz w:val="17"/>
              </w:rPr>
              <w:t>Prevents unlimited in-memory growth during the configured replay window.</w:t>
            </w:r>
          </w:p>
        </w:tc>
      </w:tr>
      <w:tr>
        <w:trPr>
          <w:cantSplit/>
        </w:trPr>
        <w:tc>
          <w:tcPr>
            <w:tcW w:type="dxa" w:w="3168"/>
            <w:vAlign w:val="top"/>
            <w:tcMar>
              <w:top w:w="80" w:type="dxa"/>
              <w:start w:w="90" w:type="dxa"/>
              <w:bottom w:w="80" w:type="dxa"/>
              <w:end w:w="90" w:type="dxa"/>
            </w:tcMar>
          </w:tcPr>
          <w:p>
            <w:pPr>
              <w:spacing w:after="0"/>
            </w:pPr>
            <w:r>
              <w:rPr>
                <w:sz w:val="17"/>
              </w:rPr>
              <w:t>ReadOnlyMemory payload abstraction</w:t>
            </w:r>
          </w:p>
        </w:tc>
        <w:tc>
          <w:tcPr>
            <w:tcW w:type="dxa" w:w="7344"/>
            <w:vAlign w:val="top"/>
            <w:tcMar>
              <w:top w:w="80" w:type="dxa"/>
              <w:start w:w="90" w:type="dxa"/>
              <w:bottom w:w="80" w:type="dxa"/>
              <w:end w:w="90" w:type="dxa"/>
            </w:tcMar>
          </w:tcPr>
          <w:p>
            <w:pPr>
              <w:spacing w:after="0"/>
            </w:pPr>
            <w:r>
              <w:rPr>
                <w:sz w:val="17"/>
              </w:rPr>
              <w:t>Supports text, binary, and file scenarios while preventing accidental mutation.</w:t>
            </w:r>
          </w:p>
        </w:tc>
      </w:tr>
      <w:tr>
        <w:trPr>
          <w:cantSplit/>
        </w:trPr>
        <w:tc>
          <w:tcPr>
            <w:tcW w:type="dxa" w:w="3168"/>
            <w:vAlign w:val="top"/>
            <w:tcMar>
              <w:top w:w="80" w:type="dxa"/>
              <w:start w:w="90" w:type="dxa"/>
              <w:bottom w:w="80" w:type="dxa"/>
              <w:end w:w="90" w:type="dxa"/>
            </w:tcMar>
          </w:tcPr>
          <w:p>
            <w:pPr>
              <w:spacing w:after="0"/>
            </w:pPr>
            <w:r>
              <w:rPr>
                <w:sz w:val="17"/>
              </w:rPr>
              <w:t>Controlled results</w:t>
            </w:r>
          </w:p>
        </w:tc>
        <w:tc>
          <w:tcPr>
            <w:tcW w:type="dxa" w:w="7344"/>
            <w:vAlign w:val="top"/>
            <w:tcMar>
              <w:top w:w="80" w:type="dxa"/>
              <w:start w:w="90" w:type="dxa"/>
              <w:bottom w:w="80" w:type="dxa"/>
              <w:end w:w="90" w:type="dxa"/>
            </w:tcMar>
          </w:tcPr>
          <w:p>
            <w:pPr>
              <w:spacing w:after="0"/>
            </w:pPr>
            <w:r>
              <w:rPr>
                <w:sz w:val="17"/>
              </w:rPr>
              <w:t>Supports safe failure without releasing plaintext.</w:t>
            </w:r>
          </w:p>
        </w:tc>
      </w:tr>
      <w:tr>
        <w:trPr>
          <w:cantSplit/>
        </w:trPr>
        <w:tc>
          <w:tcPr>
            <w:tcW w:type="dxa" w:w="3168"/>
            <w:vAlign w:val="top"/>
            <w:tcMar>
              <w:top w:w="80" w:type="dxa"/>
              <w:start w:w="90" w:type="dxa"/>
              <w:bottom w:w="80" w:type="dxa"/>
              <w:end w:w="90" w:type="dxa"/>
            </w:tcMar>
          </w:tcPr>
          <w:p>
            <w:pPr>
              <w:spacing w:after="0"/>
            </w:pPr>
            <w:r>
              <w:rPr>
                <w:sz w:val="17"/>
              </w:rPr>
              <w:t>Separate console and WinForms hosts</w:t>
            </w:r>
          </w:p>
        </w:tc>
        <w:tc>
          <w:tcPr>
            <w:tcW w:type="dxa" w:w="7344"/>
            <w:vAlign w:val="top"/>
            <w:tcMar>
              <w:top w:w="80" w:type="dxa"/>
              <w:start w:w="90" w:type="dxa"/>
              <w:bottom w:w="80" w:type="dxa"/>
              <w:end w:w="90" w:type="dxa"/>
            </w:tcMar>
          </w:tcPr>
          <w:p>
            <w:pPr>
              <w:spacing w:after="0"/>
            </w:pPr>
            <w:r>
              <w:rPr>
                <w:sz w:val="17"/>
              </w:rPr>
              <w:t>Demonstrates portability without forcing the framework to depend on a UI technology.</w:t>
            </w:r>
          </w:p>
        </w:tc>
      </w:tr>
      <w:tr>
        <w:trPr>
          <w:cantSplit/>
        </w:trPr>
        <w:tc>
          <w:tcPr>
            <w:tcW w:type="dxa" w:w="3168"/>
            <w:vAlign w:val="top"/>
            <w:tcMar>
              <w:top w:w="80" w:type="dxa"/>
              <w:start w:w="90" w:type="dxa"/>
              <w:bottom w:w="80" w:type="dxa"/>
              <w:end w:w="90" w:type="dxa"/>
            </w:tcMar>
          </w:tcPr>
          <w:p>
            <w:pPr>
              <w:spacing w:after="0"/>
            </w:pPr>
            <w:r>
              <w:rPr>
                <w:sz w:val="17"/>
              </w:rPr>
              <w:t>No certification claims</w:t>
            </w:r>
          </w:p>
        </w:tc>
        <w:tc>
          <w:tcPr>
            <w:tcW w:type="dxa" w:w="7344"/>
            <w:vAlign w:val="top"/>
            <w:tcMar>
              <w:top w:w="80" w:type="dxa"/>
              <w:start w:w="90" w:type="dxa"/>
              <w:bottom w:w="80" w:type="dxa"/>
              <w:end w:w="90" w:type="dxa"/>
            </w:tcMar>
          </w:tcPr>
          <w:p>
            <w:pPr>
              <w:spacing w:after="0"/>
            </w:pPr>
            <w:r>
              <w:rPr>
                <w:sz w:val="17"/>
              </w:rPr>
              <w:t>Keeps the academic submission honest and reviewable.</w:t>
            </w:r>
          </w:p>
        </w:tc>
      </w:tr>
    </w:tbl>
    <w:p>
      <w:pPr>
        <w:pStyle w:val="Heading1"/>
      </w:pPr>
      <w:r>
        <w:t>Extensibility Points</w:t>
      </w:r>
    </w:p>
    <w:p>
      <w:pPr>
        <w:pStyle w:val="ListBullet"/>
      </w:pPr>
      <w:r>
        <w:t>Additional ICryptoProvider implementations after complete contract and pipeline testing.</w:t>
      </w:r>
    </w:p>
    <w:p>
      <w:pPr>
        <w:pStyle w:val="ListBullet"/>
      </w:pPr>
      <w:r>
        <w:t>Additional ITransport plugins such as WebSocket, named pipes, serial, HTTP relay, or queue transports.</w:t>
      </w:r>
    </w:p>
    <w:p>
      <w:pPr>
        <w:pStyle w:val="ListBullet"/>
      </w:pPr>
      <w:r>
        <w:t>Persistent or distributed IReplayProtector implementations.</w:t>
      </w:r>
    </w:p>
    <w:p>
      <w:pPr>
        <w:pStyle w:val="ListBullet"/>
      </w:pPr>
      <w:r>
        <w:t>Additional envelope codecs with explicit versioning and structural limits.</w:t>
      </w:r>
    </w:p>
    <w:p>
      <w:pPr>
        <w:pStyle w:val="ListBullet"/>
      </w:pPr>
      <w:r>
        <w:t>Production key providers backed by secure storage or hardware security modules.</w:t>
      </w:r>
    </w:p>
    <w:p>
      <w:pPr>
        <w:pStyle w:val="ListBullet"/>
      </w:pPr>
      <w:r>
        <w:t>Signature-based authentication and certificate-backed identity.</w:t>
      </w:r>
    </w:p>
    <w:p>
      <w:pPr>
        <w:pStyle w:val="ListBullet"/>
      </w:pPr>
      <w:r>
        <w:t>Additional application hosts without changes to Mercury Core.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CONFIDENTIAL ACADEMIC SUBMISSION - CSE499 review and grading only. | Copyright (C) 2026 Matthew D. Barker.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Mercury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RC 1.2 Design Document</dc:title>
  <dc:subject>CSE499 Senior Project - Mercury RC 1.2</dc:subject>
  <dc:creator>Matthew D. Barker</dc:creator>
  <cp:keywords>Mercury, CSE499, secure communications, authenticated encryption</cp:keywords>
  <cp:lastModifiedBy/>
  <cp:revision>1</cp:revision>
  <dcterms:created xsi:type="dcterms:W3CDTF">2013-12-23T23:15:00Z</dcterms:created>
  <dcterms:modified xsi:type="dcterms:W3CDTF">2013-12-23T23:15:00Z</dcterms:modified>
  <cp:category/>
</cp:coreProperties>
</file>