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4"/>
        </w:rPr>
        <w:t>CONFIDENTIAL ACADEMIC SUBMISSION - CSE499 review and grading only.</w:t>
      </w:r>
    </w:p>
    <w:p>
      <w:pPr>
        <w:pStyle w:val="Title"/>
        <w:jc w:val="center"/>
      </w:pPr>
      <w:r>
        <w:t>Mercury Project</w:t>
      </w:r>
    </w:p>
    <w:p>
      <w:pPr>
        <w:pStyle w:val="Heading1"/>
        <w:jc w:val="center"/>
      </w:pPr>
      <w:r>
        <w:t>Requirements Document</w:t>
      </w:r>
    </w:p>
    <w:p>
      <w:pPr>
        <w:jc w:val="center"/>
      </w:pPr>
      <w:r>
        <w:rPr>
          <w:i/>
          <w:sz w:val="24"/>
        </w:rPr>
        <w:t>Functional and nonfunctional requirements for Mercury RC 1.2.</w:t>
      </w:r>
    </w:p>
    <w:p/>
    <w:tbl>
      <w:tblPr>
        <w:tblStyle w:val="TableGrid"/>
        <w:tblW w:type="auto" w:w="0"/>
        <w:jc w:val="center"/>
        <w:tblLook w:firstColumn="1" w:firstRow="1" w:lastColumn="0" w:lastRow="0" w:noHBand="0" w:noVBand="1" w:val="04A0"/>
      </w:tblPr>
      <w:tblGrid>
        <w:gridCol w:w="5040"/>
        <w:gridCol w:w="5040"/>
      </w:tblGrid>
      <w:tr>
        <w:tc>
          <w:tcPr>
            <w:tcW w:type="dxa" w:w="5256"/>
            <w:shd w:fill="D9EAF7"/>
            <w:tcMar>
              <w:top w:w="70" w:type="dxa"/>
              <w:start w:w="90" w:type="dxa"/>
              <w:bottom w:w="70" w:type="dxa"/>
              <w:end w:w="90" w:type="dxa"/>
            </w:tcMar>
          </w:tcPr>
          <w:p>
            <w:pPr>
              <w:spacing w:after="0"/>
            </w:pPr>
            <w:r>
              <w:rPr>
                <w:b/>
                <w:sz w:val="20"/>
              </w:rPr>
              <w:t>Course</w:t>
            </w:r>
          </w:p>
        </w:tc>
        <w:tc>
          <w:tcPr>
            <w:tcW w:type="dxa" w:w="5256"/>
            <w:tcMar>
              <w:top w:w="70" w:type="dxa"/>
              <w:start w:w="90" w:type="dxa"/>
              <w:bottom w:w="70" w:type="dxa"/>
              <w:end w:w="90" w:type="dxa"/>
            </w:tcMar>
          </w:tcPr>
          <w:p>
            <w:pPr>
              <w:spacing w:after="0"/>
            </w:pPr>
            <w:r>
              <w:rPr>
                <w:sz w:val="20"/>
              </w:rPr>
              <w:t>CSE499 Senior Project</w:t>
            </w:r>
          </w:p>
        </w:tc>
      </w:tr>
      <w:tr>
        <w:tc>
          <w:tcPr>
            <w:tcW w:type="dxa" w:w="5256"/>
            <w:shd w:fill="D9EAF7"/>
            <w:tcMar>
              <w:top w:w="70" w:type="dxa"/>
              <w:start w:w="90" w:type="dxa"/>
              <w:bottom w:w="70" w:type="dxa"/>
              <w:end w:w="90" w:type="dxa"/>
            </w:tcMar>
          </w:tcPr>
          <w:p>
            <w:pPr>
              <w:spacing w:after="0"/>
            </w:pPr>
            <w:r>
              <w:rPr>
                <w:b/>
                <w:sz w:val="20"/>
              </w:rPr>
              <w:t>Author</w:t>
            </w:r>
          </w:p>
        </w:tc>
        <w:tc>
          <w:tcPr>
            <w:tcW w:type="dxa" w:w="5256"/>
            <w:tcMar>
              <w:top w:w="70" w:type="dxa"/>
              <w:start w:w="90" w:type="dxa"/>
              <w:bottom w:w="70" w:type="dxa"/>
              <w:end w:w="90" w:type="dxa"/>
            </w:tcMar>
          </w:tcPr>
          <w:p>
            <w:pPr>
              <w:spacing w:after="0"/>
            </w:pPr>
            <w:r>
              <w:rPr>
                <w:sz w:val="20"/>
              </w:rPr>
              <w:t>Matthew D. Barker</w:t>
            </w:r>
          </w:p>
        </w:tc>
      </w:tr>
      <w:tr>
        <w:tc>
          <w:tcPr>
            <w:tcW w:type="dxa" w:w="5256"/>
            <w:shd w:fill="D9EAF7"/>
            <w:tcMar>
              <w:top w:w="70" w:type="dxa"/>
              <w:start w:w="90" w:type="dxa"/>
              <w:bottom w:w="70" w:type="dxa"/>
              <w:end w:w="90" w:type="dxa"/>
            </w:tcMar>
          </w:tcPr>
          <w:p>
            <w:pPr>
              <w:spacing w:after="0"/>
            </w:pPr>
            <w:r>
              <w:rPr>
                <w:b/>
                <w:sz w:val="20"/>
              </w:rPr>
              <w:t>Version</w:t>
            </w:r>
          </w:p>
        </w:tc>
        <w:tc>
          <w:tcPr>
            <w:tcW w:type="dxa" w:w="5256"/>
            <w:tcMar>
              <w:top w:w="70" w:type="dxa"/>
              <w:start w:w="90" w:type="dxa"/>
              <w:bottom w:w="70" w:type="dxa"/>
              <w:end w:w="90" w:type="dxa"/>
            </w:tcMar>
          </w:tcPr>
          <w:p>
            <w:pPr>
              <w:spacing w:after="0"/>
            </w:pPr>
            <w:r>
              <w:rPr>
                <w:sz w:val="20"/>
              </w:rPr>
              <w:t>RC 1.2 (1.2.0-rc.1)</w:t>
            </w:r>
          </w:p>
        </w:tc>
      </w:tr>
      <w:tr>
        <w:tc>
          <w:tcPr>
            <w:tcW w:type="dxa" w:w="5256"/>
            <w:shd w:fill="D9EAF7"/>
            <w:tcMar>
              <w:top w:w="70" w:type="dxa"/>
              <w:start w:w="90" w:type="dxa"/>
              <w:bottom w:w="70" w:type="dxa"/>
              <w:end w:w="90" w:type="dxa"/>
            </w:tcMar>
          </w:tcPr>
          <w:p>
            <w:pPr>
              <w:spacing w:after="0"/>
            </w:pPr>
            <w:r>
              <w:rPr>
                <w:b/>
                <w:sz w:val="20"/>
              </w:rPr>
              <w:t>Date</w:t>
            </w:r>
          </w:p>
        </w:tc>
        <w:tc>
          <w:tcPr>
            <w:tcW w:type="dxa" w:w="5256"/>
            <w:tcMar>
              <w:top w:w="70" w:type="dxa"/>
              <w:start w:w="90" w:type="dxa"/>
              <w:bottom w:w="70" w:type="dxa"/>
              <w:end w:w="90" w:type="dxa"/>
            </w:tcMar>
          </w:tcPr>
          <w:p>
            <w:pPr>
              <w:spacing w:after="0"/>
            </w:pPr>
            <w:r>
              <w:rPr>
                <w:sz w:val="20"/>
              </w:rPr>
              <w:t>July 2026</w:t>
            </w:r>
          </w:p>
        </w:tc>
      </w:tr>
      <w:tr>
        <w:tc>
          <w:tcPr>
            <w:tcW w:type="dxa" w:w="5256"/>
            <w:shd w:fill="D9EAF7"/>
            <w:tcMar>
              <w:top w:w="70" w:type="dxa"/>
              <w:start w:w="90" w:type="dxa"/>
              <w:bottom w:w="70" w:type="dxa"/>
              <w:end w:w="90" w:type="dxa"/>
            </w:tcMar>
          </w:tcPr>
          <w:p>
            <w:pPr>
              <w:spacing w:after="0"/>
            </w:pPr>
            <w:r>
              <w:rPr>
                <w:b/>
                <w:sz w:val="20"/>
              </w:rPr>
              <w:t>Use</w:t>
            </w:r>
          </w:p>
        </w:tc>
        <w:tc>
          <w:tcPr>
            <w:tcW w:type="dxa" w:w="5256"/>
            <w:tcMar>
              <w:top w:w="70" w:type="dxa"/>
              <w:start w:w="90" w:type="dxa"/>
              <w:bottom w:w="70" w:type="dxa"/>
              <w:end w:w="90" w:type="dxa"/>
            </w:tcMar>
          </w:tcPr>
          <w:p>
            <w:pPr>
              <w:spacing w:after="0"/>
            </w:pPr>
            <w:r>
              <w:rPr>
                <w:sz w:val="20"/>
              </w:rPr>
              <w:t>Academic review and grading only</w:t>
            </w:r>
          </w:p>
        </w:tc>
      </w:tr>
    </w:tbl>
    <w:p/>
    <w:p>
      <w:pPr>
        <w:jc w:val="center"/>
      </w:pPr>
      <w:r>
        <w:rPr>
          <w:b/>
          <w:sz w:val="19"/>
        </w:rPr>
        <w:t>This document and related project materials may not be publicly posted, redistributed, showcased, or shared outside the course review process without prior written permission from the copyright owner.</w:t>
      </w:r>
    </w:p>
    <w:p>
      <w:r>
        <w:br w:type="page"/>
      </w:r>
    </w:p>
    <w:p>
      <w:pPr>
        <w:pStyle w:val="Heading1"/>
      </w:pPr>
      <w:r>
        <w:t>Document Purpose</w:t>
      </w:r>
    </w:p>
    <w:p>
      <w:r>
        <w:t>This document defines what Mercury must do for the CSE499 senior project. It establishes scope, functional requirements, nonfunctional requirements, acceptance criteria, assumptions, constraints, and requirement traceability for Mercury RC 1.2.</w:t>
      </w:r>
    </w:p>
    <w:p>
      <w:pPr>
        <w:pStyle w:val="Heading1"/>
      </w:pPr>
      <w:r>
        <w:t>Project Overview</w:t>
      </w:r>
    </w:p>
    <w:p>
      <w:r>
        <w:t>Mercury is a reusable secure communications framework for protected data exchange between software components. It protects application payloads before transport, authenticates SecureEnvelope content, rejects replay attempts, and separates cryptographic logic from transport and encoding concerns.</w:t>
      </w:r>
    </w:p>
    <w:p>
      <w:r>
        <w:t>Mercury is not a chat application. It is a protected data exchange layer that supports text, binary payloads, file-transfer demonstrations, telemetry-style payloads, and service-to-service communication scenarios.</w:t>
      </w:r>
    </w:p>
    <w:p>
      <w:pPr>
        <w:pStyle w:val="Heading1"/>
      </w:pPr>
      <w:r>
        <w:t>Scope</w:t>
      </w:r>
    </w:p>
    <w:p>
      <w:pPr>
        <w:pStyle w:val="Heading2"/>
      </w:pPr>
      <w:r>
        <w:t>In Scope</w:t>
      </w:r>
    </w:p>
    <w:p>
      <w:pPr>
        <w:pStyle w:val="ListBullet"/>
      </w:pPr>
      <w:r>
        <w:t>Protect payloads before transport and release plaintext only after successful validation.</w:t>
      </w:r>
    </w:p>
    <w:p>
      <w:pPr>
        <w:pStyle w:val="ListBullet"/>
      </w:pPr>
      <w:r>
        <w:t>Support AES-GCM and ChaCha20-Poly1305 authenticated-encryption providers.</w:t>
      </w:r>
    </w:p>
    <w:p>
      <w:pPr>
        <w:pStyle w:val="ListBullet"/>
      </w:pPr>
      <w:r>
        <w:t>Authenticate the payload and canonical SecureEnvelope fields.</w:t>
      </w:r>
    </w:p>
    <w:p>
      <w:pPr>
        <w:pStyle w:val="ListBullet"/>
      </w:pPr>
      <w:r>
        <w:t>Reject tampered, malformed, replayed, unauthorized, or wrong-key communications.</w:t>
      </w:r>
    </w:p>
    <w:p>
      <w:pPr>
        <w:pStyle w:val="ListBullet"/>
      </w:pPr>
      <w:r>
        <w:t>Support interchangeable Binary and JSON envelope codecs.</w:t>
      </w:r>
    </w:p>
    <w:p>
      <w:pPr>
        <w:pStyle w:val="ListBullet"/>
      </w:pPr>
      <w:r>
        <w:t>Support interchangeable in-memory, framed TCP, and FileDrop transports.</w:t>
      </w:r>
    </w:p>
    <w:p>
      <w:pPr>
        <w:pStyle w:val="ListBullet"/>
      </w:pPr>
      <w:r>
        <w:t>Provide process-local replay protection with expiration and bounded storage.</w:t>
      </w:r>
    </w:p>
    <w:p>
      <w:pPr>
        <w:pStyle w:val="ListBullet"/>
      </w:pPr>
      <w:r>
        <w:t>Provide cross-platform console and Windows WinForms demonstration applications.</w:t>
      </w:r>
    </w:p>
    <w:p>
      <w:pPr>
        <w:pStyle w:val="ListBullet"/>
      </w:pPr>
      <w:r>
        <w:t>Provide automated xUnit tests for framework, provider, transport, codec, replay, and pipeline behavior.</w:t>
      </w:r>
    </w:p>
    <w:p>
      <w:pPr>
        <w:pStyle w:val="ListBullet"/>
      </w:pPr>
      <w:r>
        <w:t>Provide formal project documentation for CSE499 evaluation.</w:t>
      </w:r>
    </w:p>
    <w:p>
      <w:pPr>
        <w:pStyle w:val="Heading2"/>
      </w:pPr>
      <w:r>
        <w:t>Out of Scope</w:t>
      </w:r>
    </w:p>
    <w:p>
      <w:pPr>
        <w:pStyle w:val="ListBullet"/>
      </w:pPr>
      <w:r>
        <w:t>Public key infrastructure and certificate authority integration.</w:t>
      </w:r>
    </w:p>
    <w:p>
      <w:pPr>
        <w:pStyle w:val="ListBullet"/>
      </w:pPr>
      <w:r>
        <w:t>Production identity management and human identity proofing.</w:t>
      </w:r>
    </w:p>
    <w:p>
      <w:pPr>
        <w:pStyle w:val="ListBullet"/>
      </w:pPr>
      <w:r>
        <w:t>Long-term key rotation, key exchange, and hardware-backed key storage.</w:t>
      </w:r>
    </w:p>
    <w:p>
      <w:pPr>
        <w:pStyle w:val="ListBullet"/>
      </w:pPr>
      <w:r>
        <w:t>DoD certification, classified use, or production deployment claims.</w:t>
      </w:r>
    </w:p>
    <w:p>
      <w:pPr>
        <w:pStyle w:val="ListBullet"/>
      </w:pPr>
      <w:r>
        <w:t>Full side-channel hardening or formal cryptographic proof.</w:t>
      </w:r>
    </w:p>
    <w:p>
      <w:pPr>
        <w:pStyle w:val="ListBullet"/>
      </w:pPr>
      <w:r>
        <w:t>Persistent distributed replay storage.</w:t>
      </w:r>
    </w:p>
    <w:p>
      <w:pPr>
        <w:pStyle w:val="ListBullet"/>
      </w:pPr>
      <w:r>
        <w:t>Production-scale denial-of-service certification, fuzz certification, or long-duration stress certification.</w:t>
      </w:r>
    </w:p>
    <w:p>
      <w:pPr>
        <w:pStyle w:val="Heading1"/>
      </w:pPr>
      <w:r>
        <w:t>Stakeholders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024"/>
            <w:shd w:fill="1F4E79"/>
            <w:vAlign w:val="center"/>
            <w:tcMar>
              <w:top w:w="80" w:type="dxa"/>
              <w:start w:w="90" w:type="dxa"/>
              <w:bottom w:w="80" w:type="dxa"/>
              <w:end w:w="90" w:type="dxa"/>
            </w:tcMar>
          </w:tcPr>
          <w:p>
            <w:pPr>
              <w:spacing w:after="0"/>
            </w:pPr>
            <w:r>
              <w:rPr>
                <w:b/>
                <w:color w:val="FFFFFF"/>
                <w:sz w:val="18"/>
              </w:rPr>
              <w:t>Stakeholder</w:t>
            </w:r>
          </w:p>
        </w:tc>
        <w:tc>
          <w:tcPr>
            <w:tcW w:type="dxa" w:w="7488"/>
            <w:shd w:fill="1F4E79"/>
            <w:vAlign w:val="center"/>
            <w:tcMar>
              <w:top w:w="80" w:type="dxa"/>
              <w:start w:w="90" w:type="dxa"/>
              <w:bottom w:w="80" w:type="dxa"/>
              <w:end w:w="90" w:type="dxa"/>
            </w:tcMar>
          </w:tcPr>
          <w:p>
            <w:pPr>
              <w:spacing w:after="0"/>
            </w:pPr>
            <w:r>
              <w:rPr>
                <w:b/>
                <w:color w:val="FFFFFF"/>
                <w:sz w:val="18"/>
              </w:rPr>
              <w:t>Interest</w:t>
            </w:r>
          </w:p>
        </w:tc>
      </w:tr>
      <w:tr>
        <w:trPr>
          <w:cantSplit/>
        </w:trPr>
        <w:tc>
          <w:tcPr>
            <w:tcW w:type="dxa" w:w="3024"/>
            <w:vAlign w:val="top"/>
            <w:tcMar>
              <w:top w:w="80" w:type="dxa"/>
              <w:start w:w="90" w:type="dxa"/>
              <w:bottom w:w="80" w:type="dxa"/>
              <w:end w:w="90" w:type="dxa"/>
            </w:tcMar>
          </w:tcPr>
          <w:p>
            <w:pPr>
              <w:spacing w:after="0"/>
            </w:pPr>
            <w:r>
              <w:rPr>
                <w:sz w:val="18"/>
              </w:rPr>
              <w:t>Student developer</w:t>
            </w:r>
          </w:p>
        </w:tc>
        <w:tc>
          <w:tcPr>
            <w:tcW w:type="dxa" w:w="7488"/>
            <w:vAlign w:val="top"/>
            <w:tcMar>
              <w:top w:w="80" w:type="dxa"/>
              <w:start w:w="90" w:type="dxa"/>
              <w:bottom w:w="80" w:type="dxa"/>
              <w:end w:w="90" w:type="dxa"/>
            </w:tcMar>
          </w:tcPr>
          <w:p>
            <w:pPr>
              <w:spacing w:after="0"/>
            </w:pPr>
            <w:r>
              <w:rPr>
                <w:sz w:val="18"/>
              </w:rPr>
              <w:t>Demonstrates senior-level architecture, implementation, testing, documentation, and defensive programming.</w:t>
            </w:r>
          </w:p>
        </w:tc>
      </w:tr>
      <w:tr>
        <w:trPr>
          <w:cantSplit/>
        </w:trPr>
        <w:tc>
          <w:tcPr>
            <w:tcW w:type="dxa" w:w="3024"/>
            <w:vAlign w:val="top"/>
            <w:tcMar>
              <w:top w:w="80" w:type="dxa"/>
              <w:start w:w="90" w:type="dxa"/>
              <w:bottom w:w="80" w:type="dxa"/>
              <w:end w:w="90" w:type="dxa"/>
            </w:tcMar>
          </w:tcPr>
          <w:p>
            <w:pPr>
              <w:spacing w:after="0"/>
            </w:pPr>
            <w:r>
              <w:rPr>
                <w:sz w:val="18"/>
              </w:rPr>
              <w:t>CSE499 evaluator</w:t>
            </w:r>
          </w:p>
        </w:tc>
        <w:tc>
          <w:tcPr>
            <w:tcW w:type="dxa" w:w="7488"/>
            <w:vAlign w:val="top"/>
            <w:tcMar>
              <w:top w:w="80" w:type="dxa"/>
              <w:start w:w="90" w:type="dxa"/>
              <w:bottom w:w="80" w:type="dxa"/>
              <w:end w:w="90" w:type="dxa"/>
            </w:tcMar>
          </w:tcPr>
          <w:p>
            <w:pPr>
              <w:spacing w:after="0"/>
            </w:pPr>
            <w:r>
              <w:rPr>
                <w:sz w:val="18"/>
              </w:rPr>
              <w:t>Needs clear requirements, a runnable project, visible security behavior, test evidence, and documented limitations.</w:t>
            </w:r>
          </w:p>
        </w:tc>
      </w:tr>
      <w:tr>
        <w:trPr>
          <w:cantSplit/>
        </w:trPr>
        <w:tc>
          <w:tcPr>
            <w:tcW w:type="dxa" w:w="3024"/>
            <w:vAlign w:val="top"/>
            <w:tcMar>
              <w:top w:w="80" w:type="dxa"/>
              <w:start w:w="90" w:type="dxa"/>
              <w:bottom w:w="80" w:type="dxa"/>
              <w:end w:w="90" w:type="dxa"/>
            </w:tcMar>
          </w:tcPr>
          <w:p>
            <w:pPr>
              <w:spacing w:after="0"/>
            </w:pPr>
            <w:r>
              <w:rPr>
                <w:sz w:val="18"/>
              </w:rPr>
              <w:t>Application developer</w:t>
            </w:r>
          </w:p>
        </w:tc>
        <w:tc>
          <w:tcPr>
            <w:tcW w:type="dxa" w:w="7488"/>
            <w:vAlign w:val="top"/>
            <w:tcMar>
              <w:top w:w="80" w:type="dxa"/>
              <w:start w:w="90" w:type="dxa"/>
              <w:bottom w:w="80" w:type="dxa"/>
              <w:end w:w="90" w:type="dxa"/>
            </w:tcMar>
          </w:tcPr>
          <w:p>
            <w:pPr>
              <w:spacing w:after="0"/>
            </w:pPr>
            <w:r>
              <w:rPr>
                <w:sz w:val="18"/>
              </w:rPr>
              <w:t>Uses IMercuryClient to send and receive protected payloads without coupling security logic to a transport.</w:t>
            </w:r>
          </w:p>
        </w:tc>
      </w:tr>
      <w:tr>
        <w:trPr>
          <w:cantSplit/>
        </w:trPr>
        <w:tc>
          <w:tcPr>
            <w:tcW w:type="dxa" w:w="3024"/>
            <w:vAlign w:val="top"/>
            <w:tcMar>
              <w:top w:w="80" w:type="dxa"/>
              <w:start w:w="90" w:type="dxa"/>
              <w:bottom w:w="80" w:type="dxa"/>
              <w:end w:w="90" w:type="dxa"/>
            </w:tcMar>
          </w:tcPr>
          <w:p>
            <w:pPr>
              <w:spacing w:after="0"/>
            </w:pPr>
            <w:r>
              <w:rPr>
                <w:sz w:val="18"/>
              </w:rPr>
              <w:t>System maintainer</w:t>
            </w:r>
          </w:p>
        </w:tc>
        <w:tc>
          <w:tcPr>
            <w:tcW w:type="dxa" w:w="7488"/>
            <w:vAlign w:val="top"/>
            <w:tcMar>
              <w:top w:w="80" w:type="dxa"/>
              <w:start w:w="90" w:type="dxa"/>
              <w:bottom w:w="80" w:type="dxa"/>
              <w:end w:w="90" w:type="dxa"/>
            </w:tcMar>
          </w:tcPr>
          <w:p>
            <w:pPr>
              <w:spacing w:after="0"/>
            </w:pPr>
            <w:r>
              <w:rPr>
                <w:sz w:val="18"/>
              </w:rPr>
              <w:t>Needs clear project boundaries, modular plugins, stable contracts, and safe failure behavior.</w:t>
            </w:r>
          </w:p>
        </w:tc>
      </w:tr>
    </w:tbl>
    <w:p>
      <w:pPr>
        <w:pStyle w:val="Heading1"/>
      </w:pPr>
      <w:r>
        <w:t>Assumptions</w:t>
      </w:r>
    </w:p>
    <w:p>
      <w:pPr>
        <w:pStyle w:val="ListNumber"/>
      </w:pPr>
      <w:r>
        <w:t>Cryptographic keys are provisioned before Mercury is used.</w:t>
      </w:r>
    </w:p>
    <w:p>
      <w:pPr>
        <w:pStyle w:val="ListNumber"/>
      </w:pPr>
      <w:r>
        <w:t>The .NET implementations of AES-GCM and ChaCha20-Poly1305 operate correctly.</w:t>
      </w:r>
    </w:p>
    <w:p>
      <w:pPr>
        <w:pStyle w:val="ListNumber"/>
      </w:pPr>
      <w:r>
        <w:t>Keys are generated with sufficient entropy and protected outside the framework.</w:t>
      </w:r>
    </w:p>
    <w:p>
      <w:pPr>
        <w:pStyle w:val="ListNumber"/>
      </w:pPr>
      <w:r>
        <w:t>The transport may be observable, unreliable, delayed, modified, or hostile.</w:t>
      </w:r>
    </w:p>
    <w:p>
      <w:pPr>
        <w:pStyle w:val="ListNumber"/>
      </w:pPr>
      <w:r>
        <w:t>The application treats unsuccessful receive results as rejected communications.</w:t>
      </w:r>
    </w:p>
    <w:p>
      <w:pPr>
        <w:pStyle w:val="ListNumber"/>
      </w:pPr>
      <w:r>
        <w:t>Replay-protection state is retained for the lifetime of the receiving context.</w:t>
      </w:r>
    </w:p>
    <w:p>
      <w:pPr>
        <w:pStyle w:val="ListNumber"/>
      </w:pPr>
      <w:r>
        <w:t>The operating system, .NET runtime, and trusted application process are not compromised.</w:t>
      </w:r>
    </w:p>
    <w:p>
      <w:pPr>
        <w:pStyle w:val="ListNumber"/>
      </w:pPr>
      <w:r>
        <w:t>Attackers do not possess the correct secret key material.</w:t>
      </w:r>
    </w:p>
    <w:p>
      <w:pPr>
        <w:pStyle w:val="Heading1"/>
      </w:pPr>
      <w:r>
        <w:t>Functional Requirements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936"/>
            <w:shd w:fill="1F4E79"/>
            <w:vAlign w:val="center"/>
            <w:tcMar>
              <w:top w:w="80" w:type="dxa"/>
              <w:start w:w="90" w:type="dxa"/>
              <w:bottom w:w="80" w:type="dxa"/>
              <w:end w:w="90" w:type="dxa"/>
            </w:tcMar>
          </w:tcPr>
          <w:p>
            <w:pPr>
              <w:spacing w:after="0"/>
            </w:pPr>
            <w:r>
              <w:rPr>
                <w:b/>
                <w:color w:val="FFFFFF"/>
                <w:sz w:val="16"/>
              </w:rPr>
              <w:t>ID</w:t>
            </w:r>
          </w:p>
        </w:tc>
        <w:tc>
          <w:tcPr>
            <w:tcW w:type="dxa" w:w="1944"/>
            <w:shd w:fill="1F4E79"/>
            <w:vAlign w:val="center"/>
            <w:tcMar>
              <w:top w:w="80" w:type="dxa"/>
              <w:start w:w="90" w:type="dxa"/>
              <w:bottom w:w="80" w:type="dxa"/>
              <w:end w:w="90" w:type="dxa"/>
            </w:tcMar>
          </w:tcPr>
          <w:p>
            <w:pPr>
              <w:spacing w:after="0"/>
            </w:pPr>
            <w:r>
              <w:rPr>
                <w:b/>
                <w:color w:val="FFFFFF"/>
                <w:sz w:val="16"/>
              </w:rPr>
              <w:t>Name</w:t>
            </w:r>
          </w:p>
        </w:tc>
        <w:tc>
          <w:tcPr>
            <w:tcW w:type="dxa" w:w="4464"/>
            <w:shd w:fill="1F4E79"/>
            <w:vAlign w:val="center"/>
            <w:tcMar>
              <w:top w:w="80" w:type="dxa"/>
              <w:start w:w="90" w:type="dxa"/>
              <w:bottom w:w="80" w:type="dxa"/>
              <w:end w:w="90" w:type="dxa"/>
            </w:tcMar>
          </w:tcPr>
          <w:p>
            <w:pPr>
              <w:spacing w:after="0"/>
            </w:pPr>
            <w:r>
              <w:rPr>
                <w:b/>
                <w:color w:val="FFFFFF"/>
                <w:sz w:val="16"/>
              </w:rPr>
              <w:t>Requirement</w:t>
            </w:r>
          </w:p>
        </w:tc>
        <w:tc>
          <w:tcPr>
            <w:tcW w:type="dxa" w:w="3312"/>
            <w:shd w:fill="1F4E79"/>
            <w:vAlign w:val="center"/>
            <w:tcMar>
              <w:top w:w="80" w:type="dxa"/>
              <w:start w:w="90" w:type="dxa"/>
              <w:bottom w:w="80" w:type="dxa"/>
              <w:end w:w="90" w:type="dxa"/>
            </w:tcMar>
          </w:tcPr>
          <w:p>
            <w:pPr>
              <w:spacing w:after="0"/>
            </w:pPr>
            <w:r>
              <w:rPr>
                <w:b/>
                <w:color w:val="FFFFFF"/>
                <w:sz w:val="16"/>
              </w:rPr>
              <w:t>Acceptance Criteria</w:t>
            </w:r>
          </w:p>
        </w:tc>
      </w:tr>
      <w:tr>
        <w:trPr>
          <w:cantSplit/>
        </w:trPr>
        <w:tc>
          <w:tcPr>
            <w:tcW w:type="dxa" w:w="936"/>
            <w:vAlign w:val="top"/>
            <w:tcMar>
              <w:top w:w="80" w:type="dxa"/>
              <w:start w:w="90" w:type="dxa"/>
              <w:bottom w:w="80" w:type="dxa"/>
              <w:end w:w="90" w:type="dxa"/>
            </w:tcMar>
          </w:tcPr>
          <w:p>
            <w:pPr>
              <w:spacing w:after="0"/>
            </w:pPr>
            <w:r>
              <w:rPr>
                <w:sz w:val="16"/>
              </w:rPr>
              <w:t>FR-001</w:t>
            </w:r>
          </w:p>
        </w:tc>
        <w:tc>
          <w:tcPr>
            <w:tcW w:type="dxa" w:w="1944"/>
            <w:vAlign w:val="top"/>
            <w:tcMar>
              <w:top w:w="80" w:type="dxa"/>
              <w:start w:w="90" w:type="dxa"/>
              <w:bottom w:w="80" w:type="dxa"/>
              <w:end w:w="90" w:type="dxa"/>
            </w:tcMar>
          </w:tcPr>
          <w:p>
            <w:pPr>
              <w:spacing w:after="0"/>
            </w:pPr>
            <w:r>
              <w:rPr>
                <w:sz w:val="16"/>
              </w:rPr>
              <w:t>Send Protected Payload</w:t>
            </w:r>
          </w:p>
        </w:tc>
        <w:tc>
          <w:tcPr>
            <w:tcW w:type="dxa" w:w="4464"/>
            <w:vAlign w:val="top"/>
            <w:tcMar>
              <w:top w:w="80" w:type="dxa"/>
              <w:start w:w="90" w:type="dxa"/>
              <w:bottom w:w="80" w:type="dxa"/>
              <w:end w:w="90" w:type="dxa"/>
            </w:tcMar>
          </w:tcPr>
          <w:p>
            <w:pPr>
              <w:spacing w:after="0"/>
            </w:pPr>
            <w:r>
              <w:rPr>
                <w:sz w:val="16"/>
              </w:rPr>
              <w:t>Mercury shall accept a non-empty payload and valid cryptographic context, protect the payload, encode a SecureEnvelope, and send only the encoded protected frame through the configured transport.</w:t>
            </w:r>
          </w:p>
        </w:tc>
        <w:tc>
          <w:tcPr>
            <w:tcW w:type="dxa" w:w="3312"/>
            <w:vAlign w:val="top"/>
            <w:tcMar>
              <w:top w:w="80" w:type="dxa"/>
              <w:start w:w="90" w:type="dxa"/>
              <w:bottom w:w="80" w:type="dxa"/>
              <w:end w:w="90" w:type="dxa"/>
            </w:tcMar>
          </w:tcPr>
          <w:p>
            <w:pPr>
              <w:spacing w:after="0"/>
            </w:pPr>
            <w:r>
              <w:rPr>
                <w:sz w:val="16"/>
              </w:rPr>
              <w:t>SendAsync sends a frame that does not contain the original plaintext payload.</w:t>
            </w:r>
          </w:p>
        </w:tc>
      </w:tr>
      <w:tr>
        <w:trPr>
          <w:cantSplit/>
        </w:trPr>
        <w:tc>
          <w:tcPr>
            <w:tcW w:type="dxa" w:w="936"/>
            <w:vAlign w:val="top"/>
            <w:tcMar>
              <w:top w:w="80" w:type="dxa"/>
              <w:start w:w="90" w:type="dxa"/>
              <w:bottom w:w="80" w:type="dxa"/>
              <w:end w:w="90" w:type="dxa"/>
            </w:tcMar>
          </w:tcPr>
          <w:p>
            <w:pPr>
              <w:spacing w:after="0"/>
            </w:pPr>
            <w:r>
              <w:rPr>
                <w:sz w:val="16"/>
              </w:rPr>
              <w:t>FR-002</w:t>
            </w:r>
          </w:p>
        </w:tc>
        <w:tc>
          <w:tcPr>
            <w:tcW w:type="dxa" w:w="1944"/>
            <w:vAlign w:val="top"/>
            <w:tcMar>
              <w:top w:w="80" w:type="dxa"/>
              <w:start w:w="90" w:type="dxa"/>
              <w:bottom w:w="80" w:type="dxa"/>
              <w:end w:w="90" w:type="dxa"/>
            </w:tcMar>
          </w:tcPr>
          <w:p>
            <w:pPr>
              <w:spacing w:after="0"/>
            </w:pPr>
            <w:r>
              <w:rPr>
                <w:sz w:val="16"/>
              </w:rPr>
              <w:t>Receive Protected Payload</w:t>
            </w:r>
          </w:p>
        </w:tc>
        <w:tc>
          <w:tcPr>
            <w:tcW w:type="dxa" w:w="4464"/>
            <w:vAlign w:val="top"/>
            <w:tcMar>
              <w:top w:w="80" w:type="dxa"/>
              <w:start w:w="90" w:type="dxa"/>
              <w:bottom w:w="80" w:type="dxa"/>
              <w:end w:w="90" w:type="dxa"/>
            </w:tcMar>
          </w:tcPr>
          <w:p>
            <w:pPr>
              <w:spacing w:after="0"/>
            </w:pPr>
            <w:r>
              <w:rPr>
                <w:sz w:val="16"/>
              </w:rPr>
              <w:t>Mercury shall receive an encoded frame, decode it, authenticate and decrypt it, apply replay protection, and return plaintext only after all checks succeed.</w:t>
            </w:r>
          </w:p>
        </w:tc>
        <w:tc>
          <w:tcPr>
            <w:tcW w:type="dxa" w:w="3312"/>
            <w:vAlign w:val="top"/>
            <w:tcMar>
              <w:top w:w="80" w:type="dxa"/>
              <w:start w:w="90" w:type="dxa"/>
              <w:bottom w:w="80" w:type="dxa"/>
              <w:end w:w="90" w:type="dxa"/>
            </w:tcMar>
          </w:tcPr>
          <w:p>
            <w:pPr>
              <w:spacing w:after="0"/>
            </w:pPr>
            <w:r>
              <w:rPr>
                <w:sz w:val="16"/>
              </w:rPr>
              <w:t>ReceiveAsync returns success and the original payload only for a valid protected communication.</w:t>
            </w:r>
          </w:p>
        </w:tc>
      </w:tr>
      <w:tr>
        <w:trPr>
          <w:cantSplit/>
        </w:trPr>
        <w:tc>
          <w:tcPr>
            <w:tcW w:type="dxa" w:w="936"/>
            <w:vAlign w:val="top"/>
            <w:tcMar>
              <w:top w:w="80" w:type="dxa"/>
              <w:start w:w="90" w:type="dxa"/>
              <w:bottom w:w="80" w:type="dxa"/>
              <w:end w:w="90" w:type="dxa"/>
            </w:tcMar>
          </w:tcPr>
          <w:p>
            <w:pPr>
              <w:spacing w:after="0"/>
            </w:pPr>
            <w:r>
              <w:rPr>
                <w:sz w:val="16"/>
              </w:rPr>
              <w:t>FR-003</w:t>
            </w:r>
          </w:p>
        </w:tc>
        <w:tc>
          <w:tcPr>
            <w:tcW w:type="dxa" w:w="1944"/>
            <w:vAlign w:val="top"/>
            <w:tcMar>
              <w:top w:w="80" w:type="dxa"/>
              <w:start w:w="90" w:type="dxa"/>
              <w:bottom w:w="80" w:type="dxa"/>
              <w:end w:w="90" w:type="dxa"/>
            </w:tcMar>
          </w:tcPr>
          <w:p>
            <w:pPr>
              <w:spacing w:after="0"/>
            </w:pPr>
            <w:r>
              <w:rPr>
                <w:sz w:val="16"/>
              </w:rPr>
              <w:t>Payload Confidentiality</w:t>
            </w:r>
          </w:p>
        </w:tc>
        <w:tc>
          <w:tcPr>
            <w:tcW w:type="dxa" w:w="4464"/>
            <w:vAlign w:val="top"/>
            <w:tcMar>
              <w:top w:w="80" w:type="dxa"/>
              <w:start w:w="90" w:type="dxa"/>
              <w:bottom w:w="80" w:type="dxa"/>
              <w:end w:w="90" w:type="dxa"/>
            </w:tcMar>
          </w:tcPr>
          <w:p>
            <w:pPr>
              <w:spacing w:after="0"/>
            </w:pPr>
            <w:r>
              <w:rPr>
                <w:sz w:val="16"/>
              </w:rPr>
              <w:t>Mercury shall protect payload confidentiality using the configured authenticated-encryption provider.</w:t>
            </w:r>
          </w:p>
        </w:tc>
        <w:tc>
          <w:tcPr>
            <w:tcW w:type="dxa" w:w="3312"/>
            <w:vAlign w:val="top"/>
            <w:tcMar>
              <w:top w:w="80" w:type="dxa"/>
              <w:start w:w="90" w:type="dxa"/>
              <w:bottom w:w="80" w:type="dxa"/>
              <w:end w:w="90" w:type="dxa"/>
            </w:tcMar>
          </w:tcPr>
          <w:p>
            <w:pPr>
              <w:spacing w:after="0"/>
            </w:pPr>
            <w:r>
              <w:rPr>
                <w:sz w:val="16"/>
              </w:rPr>
              <w:t>Captured transport frames do not expose the original payload.</w:t>
            </w:r>
          </w:p>
        </w:tc>
      </w:tr>
      <w:tr>
        <w:trPr>
          <w:cantSplit/>
        </w:trPr>
        <w:tc>
          <w:tcPr>
            <w:tcW w:type="dxa" w:w="936"/>
            <w:vAlign w:val="top"/>
            <w:tcMar>
              <w:top w:w="80" w:type="dxa"/>
              <w:start w:w="90" w:type="dxa"/>
              <w:bottom w:w="80" w:type="dxa"/>
              <w:end w:w="90" w:type="dxa"/>
            </w:tcMar>
          </w:tcPr>
          <w:p>
            <w:pPr>
              <w:spacing w:after="0"/>
            </w:pPr>
            <w:r>
              <w:rPr>
                <w:sz w:val="16"/>
              </w:rPr>
              <w:t>FR-004</w:t>
            </w:r>
          </w:p>
        </w:tc>
        <w:tc>
          <w:tcPr>
            <w:tcW w:type="dxa" w:w="1944"/>
            <w:vAlign w:val="top"/>
            <w:tcMar>
              <w:top w:w="80" w:type="dxa"/>
              <w:start w:w="90" w:type="dxa"/>
              <w:bottom w:w="80" w:type="dxa"/>
              <w:end w:w="90" w:type="dxa"/>
            </w:tcMar>
          </w:tcPr>
          <w:p>
            <w:pPr>
              <w:spacing w:after="0"/>
            </w:pPr>
            <w:r>
              <w:rPr>
                <w:sz w:val="16"/>
              </w:rPr>
              <w:t>Tamper Detection</w:t>
            </w:r>
          </w:p>
        </w:tc>
        <w:tc>
          <w:tcPr>
            <w:tcW w:type="dxa" w:w="4464"/>
            <w:vAlign w:val="top"/>
            <w:tcMar>
              <w:top w:w="80" w:type="dxa"/>
              <w:start w:w="90" w:type="dxa"/>
              <w:bottom w:w="80" w:type="dxa"/>
              <w:end w:w="90" w:type="dxa"/>
            </w:tcMar>
          </w:tcPr>
          <w:p>
            <w:pPr>
              <w:spacing w:after="0"/>
            </w:pPr>
            <w:r>
              <w:rPr>
                <w:sz w:val="16"/>
              </w:rPr>
              <w:t>Mercury shall reject changes to protected payload bytes or authenticated SecureEnvelope fields.</w:t>
            </w:r>
          </w:p>
        </w:tc>
        <w:tc>
          <w:tcPr>
            <w:tcW w:type="dxa" w:w="3312"/>
            <w:vAlign w:val="top"/>
            <w:tcMar>
              <w:top w:w="80" w:type="dxa"/>
              <w:start w:w="90" w:type="dxa"/>
              <w:bottom w:w="80" w:type="dxa"/>
              <w:end w:w="90" w:type="dxa"/>
            </w:tcMar>
          </w:tcPr>
          <w:p>
            <w:pPr>
              <w:spacing w:after="0"/>
            </w:pPr>
            <w:r>
              <w:rPr>
                <w:sz w:val="16"/>
              </w:rPr>
              <w:t>Tampered content returns AuthenticationFailed and releases no plaintext.</w:t>
            </w:r>
          </w:p>
        </w:tc>
      </w:tr>
      <w:tr>
        <w:trPr>
          <w:cantSplit/>
        </w:trPr>
        <w:tc>
          <w:tcPr>
            <w:tcW w:type="dxa" w:w="936"/>
            <w:vAlign w:val="top"/>
            <w:tcMar>
              <w:top w:w="80" w:type="dxa"/>
              <w:start w:w="90" w:type="dxa"/>
              <w:bottom w:w="80" w:type="dxa"/>
              <w:end w:w="90" w:type="dxa"/>
            </w:tcMar>
          </w:tcPr>
          <w:p>
            <w:pPr>
              <w:spacing w:after="0"/>
            </w:pPr>
            <w:r>
              <w:rPr>
                <w:sz w:val="16"/>
              </w:rPr>
              <w:t>FR-005</w:t>
            </w:r>
          </w:p>
        </w:tc>
        <w:tc>
          <w:tcPr>
            <w:tcW w:type="dxa" w:w="1944"/>
            <w:vAlign w:val="top"/>
            <w:tcMar>
              <w:top w:w="80" w:type="dxa"/>
              <w:start w:w="90" w:type="dxa"/>
              <w:bottom w:w="80" w:type="dxa"/>
              <w:end w:w="90" w:type="dxa"/>
            </w:tcMar>
          </w:tcPr>
          <w:p>
            <w:pPr>
              <w:spacing w:after="0"/>
            </w:pPr>
            <w:r>
              <w:rPr>
                <w:sz w:val="16"/>
              </w:rPr>
              <w:t>Replay Rejection</w:t>
            </w:r>
          </w:p>
        </w:tc>
        <w:tc>
          <w:tcPr>
            <w:tcW w:type="dxa" w:w="4464"/>
            <w:vAlign w:val="top"/>
            <w:tcMar>
              <w:top w:w="80" w:type="dxa"/>
              <w:start w:w="90" w:type="dxa"/>
              <w:bottom w:w="80" w:type="dxa"/>
              <w:end w:w="90" w:type="dxa"/>
            </w:tcMar>
          </w:tcPr>
          <w:p>
            <w:pPr>
              <w:spacing w:after="0"/>
            </w:pPr>
            <w:r>
              <w:rPr>
                <w:sz w:val="16"/>
              </w:rPr>
              <w:t>Mercury shall reject a sender and replay-token combination that was already accepted within the replay window.</w:t>
            </w:r>
          </w:p>
        </w:tc>
        <w:tc>
          <w:tcPr>
            <w:tcW w:type="dxa" w:w="3312"/>
            <w:vAlign w:val="top"/>
            <w:tcMar>
              <w:top w:w="80" w:type="dxa"/>
              <w:start w:w="90" w:type="dxa"/>
              <w:bottom w:w="80" w:type="dxa"/>
              <w:end w:w="90" w:type="dxa"/>
            </w:tcMar>
          </w:tcPr>
          <w:p>
            <w:pPr>
              <w:spacing w:after="0"/>
            </w:pPr>
            <w:r>
              <w:rPr>
                <w:sz w:val="16"/>
              </w:rPr>
              <w:t>The first valid delivery succeeds and the duplicate is rejected as replay.</w:t>
            </w:r>
          </w:p>
        </w:tc>
      </w:tr>
      <w:tr>
        <w:trPr>
          <w:cantSplit/>
        </w:trPr>
        <w:tc>
          <w:tcPr>
            <w:tcW w:type="dxa" w:w="936"/>
            <w:vAlign w:val="top"/>
            <w:tcMar>
              <w:top w:w="80" w:type="dxa"/>
              <w:start w:w="90" w:type="dxa"/>
              <w:bottom w:w="80" w:type="dxa"/>
              <w:end w:w="90" w:type="dxa"/>
            </w:tcMar>
          </w:tcPr>
          <w:p>
            <w:pPr>
              <w:spacing w:after="0"/>
            </w:pPr>
            <w:r>
              <w:rPr>
                <w:sz w:val="16"/>
              </w:rPr>
              <w:t>FR-006</w:t>
            </w:r>
          </w:p>
        </w:tc>
        <w:tc>
          <w:tcPr>
            <w:tcW w:type="dxa" w:w="1944"/>
            <w:vAlign w:val="top"/>
            <w:tcMar>
              <w:top w:w="80" w:type="dxa"/>
              <w:start w:w="90" w:type="dxa"/>
              <w:bottom w:w="80" w:type="dxa"/>
              <w:end w:w="90" w:type="dxa"/>
            </w:tcMar>
          </w:tcPr>
          <w:p>
            <w:pPr>
              <w:spacing w:after="0"/>
            </w:pPr>
            <w:r>
              <w:rPr>
                <w:sz w:val="16"/>
              </w:rPr>
              <w:t>Wrong-Key Failure</w:t>
            </w:r>
          </w:p>
        </w:tc>
        <w:tc>
          <w:tcPr>
            <w:tcW w:type="dxa" w:w="4464"/>
            <w:vAlign w:val="top"/>
            <w:tcMar>
              <w:top w:w="80" w:type="dxa"/>
              <w:start w:w="90" w:type="dxa"/>
              <w:bottom w:w="80" w:type="dxa"/>
              <w:end w:w="90" w:type="dxa"/>
            </w:tcMar>
          </w:tcPr>
          <w:p>
            <w:pPr>
              <w:spacing w:after="0"/>
            </w:pPr>
            <w:r>
              <w:rPr>
                <w:sz w:val="16"/>
              </w:rPr>
              <w:t>Mercury shall fail safely when incorrect key material is used.</w:t>
            </w:r>
          </w:p>
        </w:tc>
        <w:tc>
          <w:tcPr>
            <w:tcW w:type="dxa" w:w="3312"/>
            <w:vAlign w:val="top"/>
            <w:tcMar>
              <w:top w:w="80" w:type="dxa"/>
              <w:start w:w="90" w:type="dxa"/>
              <w:bottom w:w="80" w:type="dxa"/>
              <w:end w:w="90" w:type="dxa"/>
            </w:tcMar>
          </w:tcPr>
          <w:p>
            <w:pPr>
              <w:spacing w:after="0"/>
            </w:pPr>
            <w:r>
              <w:rPr>
                <w:sz w:val="16"/>
              </w:rPr>
              <w:t>Authentication fails and plaintext is not released.</w:t>
            </w:r>
          </w:p>
        </w:tc>
      </w:tr>
      <w:tr>
        <w:trPr>
          <w:cantSplit/>
        </w:trPr>
        <w:tc>
          <w:tcPr>
            <w:tcW w:type="dxa" w:w="936"/>
            <w:vAlign w:val="top"/>
            <w:tcMar>
              <w:top w:w="80" w:type="dxa"/>
              <w:start w:w="90" w:type="dxa"/>
              <w:bottom w:w="80" w:type="dxa"/>
              <w:end w:w="90" w:type="dxa"/>
            </w:tcMar>
          </w:tcPr>
          <w:p>
            <w:pPr>
              <w:spacing w:after="0"/>
            </w:pPr>
            <w:r>
              <w:rPr>
                <w:sz w:val="16"/>
              </w:rPr>
              <w:t>FR-007</w:t>
            </w:r>
          </w:p>
        </w:tc>
        <w:tc>
          <w:tcPr>
            <w:tcW w:type="dxa" w:w="1944"/>
            <w:vAlign w:val="top"/>
            <w:tcMar>
              <w:top w:w="80" w:type="dxa"/>
              <w:start w:w="90" w:type="dxa"/>
              <w:bottom w:w="80" w:type="dxa"/>
              <w:end w:w="90" w:type="dxa"/>
            </w:tcMar>
          </w:tcPr>
          <w:p>
            <w:pPr>
              <w:spacing w:after="0"/>
            </w:pPr>
            <w:r>
              <w:rPr>
                <w:sz w:val="16"/>
              </w:rPr>
              <w:t>Crypto Provider Abstraction</w:t>
            </w:r>
          </w:p>
        </w:tc>
        <w:tc>
          <w:tcPr>
            <w:tcW w:type="dxa" w:w="4464"/>
            <w:vAlign w:val="top"/>
            <w:tcMar>
              <w:top w:w="80" w:type="dxa"/>
              <w:start w:w="90" w:type="dxa"/>
              <w:bottom w:w="80" w:type="dxa"/>
              <w:end w:w="90" w:type="dxa"/>
            </w:tcMar>
          </w:tcPr>
          <w:p>
            <w:pPr>
              <w:spacing w:after="0"/>
            </w:pPr>
            <w:r>
              <w:rPr>
                <w:sz w:val="16"/>
              </w:rPr>
              <w:t>Mercury Core shall depend on ICryptoProvider rather than a concrete provider.</w:t>
            </w:r>
          </w:p>
        </w:tc>
        <w:tc>
          <w:tcPr>
            <w:tcW w:type="dxa" w:w="3312"/>
            <w:vAlign w:val="top"/>
            <w:tcMar>
              <w:top w:w="80" w:type="dxa"/>
              <w:start w:w="90" w:type="dxa"/>
              <w:bottom w:w="80" w:type="dxa"/>
              <w:end w:w="90" w:type="dxa"/>
            </w:tcMar>
          </w:tcPr>
          <w:p>
            <w:pPr>
              <w:spacing w:after="0"/>
            </w:pPr>
            <w:r>
              <w:rPr>
                <w:sz w:val="16"/>
              </w:rPr>
              <w:t>AES-GCM and ChaCha20-Poly1305 operate through the same core pipeline.</w:t>
            </w:r>
          </w:p>
        </w:tc>
      </w:tr>
      <w:tr>
        <w:trPr>
          <w:cantSplit/>
        </w:trPr>
        <w:tc>
          <w:tcPr>
            <w:tcW w:type="dxa" w:w="936"/>
            <w:vAlign w:val="top"/>
            <w:tcMar>
              <w:top w:w="80" w:type="dxa"/>
              <w:start w:w="90" w:type="dxa"/>
              <w:bottom w:w="80" w:type="dxa"/>
              <w:end w:w="90" w:type="dxa"/>
            </w:tcMar>
          </w:tcPr>
          <w:p>
            <w:pPr>
              <w:spacing w:after="0"/>
            </w:pPr>
            <w:r>
              <w:rPr>
                <w:sz w:val="16"/>
              </w:rPr>
              <w:t>FR-008</w:t>
            </w:r>
          </w:p>
        </w:tc>
        <w:tc>
          <w:tcPr>
            <w:tcW w:type="dxa" w:w="1944"/>
            <w:vAlign w:val="top"/>
            <w:tcMar>
              <w:top w:w="80" w:type="dxa"/>
              <w:start w:w="90" w:type="dxa"/>
              <w:bottom w:w="80" w:type="dxa"/>
              <w:end w:w="90" w:type="dxa"/>
            </w:tcMar>
          </w:tcPr>
          <w:p>
            <w:pPr>
              <w:spacing w:after="0"/>
            </w:pPr>
            <w:r>
              <w:rPr>
                <w:sz w:val="16"/>
              </w:rPr>
              <w:t>Transport Abstraction</w:t>
            </w:r>
          </w:p>
        </w:tc>
        <w:tc>
          <w:tcPr>
            <w:tcW w:type="dxa" w:w="4464"/>
            <w:vAlign w:val="top"/>
            <w:tcMar>
              <w:top w:w="80" w:type="dxa"/>
              <w:start w:w="90" w:type="dxa"/>
              <w:bottom w:w="80" w:type="dxa"/>
              <w:end w:w="90" w:type="dxa"/>
            </w:tcMar>
          </w:tcPr>
          <w:p>
            <w:pPr>
              <w:spacing w:after="0"/>
            </w:pPr>
            <w:r>
              <w:rPr>
                <w:sz w:val="16"/>
              </w:rPr>
              <w:t>Mercury Core shall depend on ITransport for complete frame delivery.</w:t>
            </w:r>
          </w:p>
        </w:tc>
        <w:tc>
          <w:tcPr>
            <w:tcW w:type="dxa" w:w="3312"/>
            <w:vAlign w:val="top"/>
            <w:tcMar>
              <w:top w:w="80" w:type="dxa"/>
              <w:start w:w="90" w:type="dxa"/>
              <w:bottom w:w="80" w:type="dxa"/>
              <w:end w:w="90" w:type="dxa"/>
            </w:tcMar>
          </w:tcPr>
          <w:p>
            <w:pPr>
              <w:spacing w:after="0"/>
            </w:pPr>
            <w:r>
              <w:rPr>
                <w:sz w:val="16"/>
              </w:rPr>
              <w:t>The same core client works with in-memory, TCP, and FileDrop transports.</w:t>
            </w:r>
          </w:p>
        </w:tc>
      </w:tr>
      <w:tr>
        <w:trPr>
          <w:cantSplit/>
        </w:trPr>
        <w:tc>
          <w:tcPr>
            <w:tcW w:type="dxa" w:w="936"/>
            <w:vAlign w:val="top"/>
            <w:tcMar>
              <w:top w:w="80" w:type="dxa"/>
              <w:start w:w="90" w:type="dxa"/>
              <w:bottom w:w="80" w:type="dxa"/>
              <w:end w:w="90" w:type="dxa"/>
            </w:tcMar>
          </w:tcPr>
          <w:p>
            <w:pPr>
              <w:spacing w:after="0"/>
            </w:pPr>
            <w:r>
              <w:rPr>
                <w:sz w:val="16"/>
              </w:rPr>
              <w:t>FR-009</w:t>
            </w:r>
          </w:p>
        </w:tc>
        <w:tc>
          <w:tcPr>
            <w:tcW w:type="dxa" w:w="1944"/>
            <w:vAlign w:val="top"/>
            <w:tcMar>
              <w:top w:w="80" w:type="dxa"/>
              <w:start w:w="90" w:type="dxa"/>
              <w:bottom w:w="80" w:type="dxa"/>
              <w:end w:w="90" w:type="dxa"/>
            </w:tcMar>
          </w:tcPr>
          <w:p>
            <w:pPr>
              <w:spacing w:after="0"/>
            </w:pPr>
            <w:r>
              <w:rPr>
                <w:sz w:val="16"/>
              </w:rPr>
              <w:t>Codec Abstraction</w:t>
            </w:r>
          </w:p>
        </w:tc>
        <w:tc>
          <w:tcPr>
            <w:tcW w:type="dxa" w:w="4464"/>
            <w:vAlign w:val="top"/>
            <w:tcMar>
              <w:top w:w="80" w:type="dxa"/>
              <w:start w:w="90" w:type="dxa"/>
              <w:bottom w:w="80" w:type="dxa"/>
              <w:end w:w="90" w:type="dxa"/>
            </w:tcMar>
          </w:tcPr>
          <w:p>
            <w:pPr>
              <w:spacing w:after="0"/>
            </w:pPr>
            <w:r>
              <w:rPr>
                <w:sz w:val="16"/>
              </w:rPr>
              <w:t>Mercury shall encode and decode SecureEnvelope values through IEnvelopeCodec.</w:t>
            </w:r>
          </w:p>
        </w:tc>
        <w:tc>
          <w:tcPr>
            <w:tcW w:type="dxa" w:w="3312"/>
            <w:vAlign w:val="top"/>
            <w:tcMar>
              <w:top w:w="80" w:type="dxa"/>
              <w:start w:w="90" w:type="dxa"/>
              <w:bottom w:w="80" w:type="dxa"/>
              <w:end w:w="90" w:type="dxa"/>
            </w:tcMar>
          </w:tcPr>
          <w:p>
            <w:pPr>
              <w:spacing w:after="0"/>
            </w:pPr>
            <w:r>
              <w:rPr>
                <w:sz w:val="16"/>
              </w:rPr>
              <w:t>Binary and JSON codecs preserve the complete envelope structure.</w:t>
            </w:r>
          </w:p>
        </w:tc>
      </w:tr>
      <w:tr>
        <w:trPr>
          <w:cantSplit/>
        </w:trPr>
        <w:tc>
          <w:tcPr>
            <w:tcW w:type="dxa" w:w="936"/>
            <w:vAlign w:val="top"/>
            <w:tcMar>
              <w:top w:w="80" w:type="dxa"/>
              <w:start w:w="90" w:type="dxa"/>
              <w:bottom w:w="80" w:type="dxa"/>
              <w:end w:w="90" w:type="dxa"/>
            </w:tcMar>
          </w:tcPr>
          <w:p>
            <w:pPr>
              <w:spacing w:after="0"/>
            </w:pPr>
            <w:r>
              <w:rPr>
                <w:sz w:val="16"/>
              </w:rPr>
              <w:t>FR-010</w:t>
            </w:r>
          </w:p>
        </w:tc>
        <w:tc>
          <w:tcPr>
            <w:tcW w:type="dxa" w:w="1944"/>
            <w:vAlign w:val="top"/>
            <w:tcMar>
              <w:top w:w="80" w:type="dxa"/>
              <w:start w:w="90" w:type="dxa"/>
              <w:bottom w:w="80" w:type="dxa"/>
              <w:end w:w="90" w:type="dxa"/>
            </w:tcMar>
          </w:tcPr>
          <w:p>
            <w:pPr>
              <w:spacing w:after="0"/>
            </w:pPr>
            <w:r>
              <w:rPr>
                <w:sz w:val="16"/>
              </w:rPr>
              <w:t>Authenticated Envelope Context</w:t>
            </w:r>
          </w:p>
        </w:tc>
        <w:tc>
          <w:tcPr>
            <w:tcW w:type="dxa" w:w="4464"/>
            <w:vAlign w:val="top"/>
            <w:tcMar>
              <w:top w:w="80" w:type="dxa"/>
              <w:start w:w="90" w:type="dxa"/>
              <w:bottom w:w="80" w:type="dxa"/>
              <w:end w:w="90" w:type="dxa"/>
            </w:tcMar>
          </w:tcPr>
          <w:p>
            <w:pPr>
              <w:spacing w:after="0"/>
            </w:pPr>
            <w:r>
              <w:rPr>
                <w:sz w:val="16"/>
              </w:rPr>
              <w:t>Mercury shall include canonical envelope context in provider authentication.</w:t>
            </w:r>
          </w:p>
        </w:tc>
        <w:tc>
          <w:tcPr>
            <w:tcW w:type="dxa" w:w="3312"/>
            <w:vAlign w:val="top"/>
            <w:tcMar>
              <w:top w:w="80" w:type="dxa"/>
              <w:start w:w="90" w:type="dxa"/>
              <w:bottom w:w="80" w:type="dxa"/>
              <w:end w:w="90" w:type="dxa"/>
            </w:tcMar>
          </w:tcPr>
          <w:p>
            <w:pPr>
              <w:spacing w:after="0"/>
            </w:pPr>
            <w:r>
              <w:rPr>
                <w:sz w:val="16"/>
              </w:rPr>
              <w:t>Changes to version, IDs, timestamp, algorithms, replay token, or metadata fail authentication.</w:t>
            </w:r>
          </w:p>
        </w:tc>
      </w:tr>
      <w:tr>
        <w:trPr>
          <w:cantSplit/>
        </w:trPr>
        <w:tc>
          <w:tcPr>
            <w:tcW w:type="dxa" w:w="936"/>
            <w:vAlign w:val="top"/>
            <w:tcMar>
              <w:top w:w="80" w:type="dxa"/>
              <w:start w:w="90" w:type="dxa"/>
              <w:bottom w:w="80" w:type="dxa"/>
              <w:end w:w="90" w:type="dxa"/>
            </w:tcMar>
          </w:tcPr>
          <w:p>
            <w:pPr>
              <w:spacing w:after="0"/>
            </w:pPr>
            <w:r>
              <w:rPr>
                <w:sz w:val="16"/>
              </w:rPr>
              <w:t>FR-011</w:t>
            </w:r>
          </w:p>
        </w:tc>
        <w:tc>
          <w:tcPr>
            <w:tcW w:type="dxa" w:w="1944"/>
            <w:vAlign w:val="top"/>
            <w:tcMar>
              <w:top w:w="80" w:type="dxa"/>
              <w:start w:w="90" w:type="dxa"/>
              <w:bottom w:w="80" w:type="dxa"/>
              <w:end w:w="90" w:type="dxa"/>
            </w:tcMar>
          </w:tcPr>
          <w:p>
            <w:pPr>
              <w:spacing w:after="0"/>
            </w:pPr>
            <w:r>
              <w:rPr>
                <w:sz w:val="16"/>
              </w:rPr>
              <w:t>Metadata Support</w:t>
            </w:r>
          </w:p>
        </w:tc>
        <w:tc>
          <w:tcPr>
            <w:tcW w:type="dxa" w:w="4464"/>
            <w:vAlign w:val="top"/>
            <w:tcMar>
              <w:top w:w="80" w:type="dxa"/>
              <w:start w:w="90" w:type="dxa"/>
              <w:bottom w:w="80" w:type="dxa"/>
              <w:end w:w="90" w:type="dxa"/>
            </w:tcMar>
          </w:tcPr>
          <w:p>
            <w:pPr>
              <w:spacing w:after="0"/>
            </w:pPr>
            <w:r>
              <w:rPr>
                <w:sz w:val="16"/>
              </w:rPr>
              <w:t>Mercury shall support optional header and footer metadata.</w:t>
            </w:r>
          </w:p>
        </w:tc>
        <w:tc>
          <w:tcPr>
            <w:tcW w:type="dxa" w:w="3312"/>
            <w:vAlign w:val="top"/>
            <w:tcMar>
              <w:top w:w="80" w:type="dxa"/>
              <w:start w:w="90" w:type="dxa"/>
              <w:bottom w:w="80" w:type="dxa"/>
              <w:end w:w="90" w:type="dxa"/>
            </w:tcMar>
          </w:tcPr>
          <w:p>
            <w:pPr>
              <w:spacing w:after="0"/>
            </w:pPr>
            <w:r>
              <w:rPr>
                <w:sz w:val="16"/>
              </w:rPr>
              <w:t>Metadata survives codec round trips and is authenticated by completed providers.</w:t>
            </w:r>
          </w:p>
        </w:tc>
      </w:tr>
      <w:tr>
        <w:trPr>
          <w:cantSplit/>
        </w:trPr>
        <w:tc>
          <w:tcPr>
            <w:tcW w:type="dxa" w:w="936"/>
            <w:vAlign w:val="top"/>
            <w:tcMar>
              <w:top w:w="80" w:type="dxa"/>
              <w:start w:w="90" w:type="dxa"/>
              <w:bottom w:w="80" w:type="dxa"/>
              <w:end w:w="90" w:type="dxa"/>
            </w:tcMar>
          </w:tcPr>
          <w:p>
            <w:pPr>
              <w:spacing w:after="0"/>
            </w:pPr>
            <w:r>
              <w:rPr>
                <w:sz w:val="16"/>
              </w:rPr>
              <w:t>FR-012</w:t>
            </w:r>
          </w:p>
        </w:tc>
        <w:tc>
          <w:tcPr>
            <w:tcW w:type="dxa" w:w="1944"/>
            <w:vAlign w:val="top"/>
            <w:tcMar>
              <w:top w:w="80" w:type="dxa"/>
              <w:start w:w="90" w:type="dxa"/>
              <w:bottom w:w="80" w:type="dxa"/>
              <w:end w:w="90" w:type="dxa"/>
            </w:tcMar>
          </w:tcPr>
          <w:p>
            <w:pPr>
              <w:spacing w:after="0"/>
            </w:pPr>
            <w:r>
              <w:rPr>
                <w:sz w:val="16"/>
              </w:rPr>
              <w:t>Binary Payload Support</w:t>
            </w:r>
          </w:p>
        </w:tc>
        <w:tc>
          <w:tcPr>
            <w:tcW w:type="dxa" w:w="4464"/>
            <w:vAlign w:val="top"/>
            <w:tcMar>
              <w:top w:w="80" w:type="dxa"/>
              <w:start w:w="90" w:type="dxa"/>
              <w:bottom w:w="80" w:type="dxa"/>
              <w:end w:w="90" w:type="dxa"/>
            </w:tcMar>
          </w:tcPr>
          <w:p>
            <w:pPr>
              <w:spacing w:after="0"/>
            </w:pPr>
            <w:r>
              <w:rPr>
                <w:sz w:val="16"/>
              </w:rPr>
              <w:t>Mercury shall support arbitrary byte payloads and chunked file demonstrations.</w:t>
            </w:r>
          </w:p>
        </w:tc>
        <w:tc>
          <w:tcPr>
            <w:tcW w:type="dxa" w:w="3312"/>
            <w:vAlign w:val="top"/>
            <w:tcMar>
              <w:top w:w="80" w:type="dxa"/>
              <w:start w:w="90" w:type="dxa"/>
              <w:bottom w:w="80" w:type="dxa"/>
              <w:end w:w="90" w:type="dxa"/>
            </w:tcMar>
          </w:tcPr>
          <w:p>
            <w:pPr>
              <w:spacing w:after="0"/>
            </w:pPr>
            <w:r>
              <w:rPr>
                <w:sz w:val="16"/>
              </w:rPr>
              <w:t>Binary and file payloads are recovered byte-for-byte after successful validation.</w:t>
            </w:r>
          </w:p>
        </w:tc>
      </w:tr>
      <w:tr>
        <w:trPr>
          <w:cantSplit/>
        </w:trPr>
        <w:tc>
          <w:tcPr>
            <w:tcW w:type="dxa" w:w="936"/>
            <w:vAlign w:val="top"/>
            <w:tcMar>
              <w:top w:w="80" w:type="dxa"/>
              <w:start w:w="90" w:type="dxa"/>
              <w:bottom w:w="80" w:type="dxa"/>
              <w:end w:w="90" w:type="dxa"/>
            </w:tcMar>
          </w:tcPr>
          <w:p>
            <w:pPr>
              <w:spacing w:after="0"/>
            </w:pPr>
            <w:r>
              <w:rPr>
                <w:sz w:val="16"/>
              </w:rPr>
              <w:t>FR-013</w:t>
            </w:r>
          </w:p>
        </w:tc>
        <w:tc>
          <w:tcPr>
            <w:tcW w:type="dxa" w:w="1944"/>
            <w:vAlign w:val="top"/>
            <w:tcMar>
              <w:top w:w="80" w:type="dxa"/>
              <w:start w:w="90" w:type="dxa"/>
              <w:bottom w:w="80" w:type="dxa"/>
              <w:end w:w="90" w:type="dxa"/>
            </w:tcMar>
          </w:tcPr>
          <w:p>
            <w:pPr>
              <w:spacing w:after="0"/>
            </w:pPr>
            <w:r>
              <w:rPr>
                <w:sz w:val="16"/>
              </w:rPr>
              <w:t>Explicit Client Identity</w:t>
            </w:r>
          </w:p>
        </w:tc>
        <w:tc>
          <w:tcPr>
            <w:tcW w:type="dxa" w:w="4464"/>
            <w:vAlign w:val="top"/>
            <w:tcMar>
              <w:top w:w="80" w:type="dxa"/>
              <w:start w:w="90" w:type="dxa"/>
              <w:bottom w:w="80" w:type="dxa"/>
              <w:end w:w="90" w:type="dxa"/>
            </w:tcMar>
          </w:tcPr>
          <w:p>
            <w:pPr>
              <w:spacing w:after="0"/>
            </w:pPr>
            <w:r>
              <w:rPr>
                <w:sz w:val="16"/>
              </w:rPr>
              <w:t>Each Mercury client shall have an explicit KeyId used to validate intended recipient context.</w:t>
            </w:r>
          </w:p>
        </w:tc>
        <w:tc>
          <w:tcPr>
            <w:tcW w:type="dxa" w:w="3312"/>
            <w:vAlign w:val="top"/>
            <w:tcMar>
              <w:top w:w="80" w:type="dxa"/>
              <w:start w:w="90" w:type="dxa"/>
              <w:bottom w:w="80" w:type="dxa"/>
              <w:end w:w="90" w:type="dxa"/>
            </w:tcMar>
          </w:tcPr>
          <w:p>
            <w:pPr>
              <w:spacing w:after="0"/>
            </w:pPr>
            <w:r>
              <w:rPr>
                <w:sz w:val="16"/>
              </w:rPr>
              <w:t>A client rejects a protected envelope addressed to another recipient.</w:t>
            </w:r>
          </w:p>
        </w:tc>
      </w:tr>
      <w:tr>
        <w:trPr>
          <w:cantSplit/>
        </w:trPr>
        <w:tc>
          <w:tcPr>
            <w:tcW w:type="dxa" w:w="936"/>
            <w:vAlign w:val="top"/>
            <w:tcMar>
              <w:top w:w="80" w:type="dxa"/>
              <w:start w:w="90" w:type="dxa"/>
              <w:bottom w:w="80" w:type="dxa"/>
              <w:end w:w="90" w:type="dxa"/>
            </w:tcMar>
          </w:tcPr>
          <w:p>
            <w:pPr>
              <w:spacing w:after="0"/>
            </w:pPr>
            <w:r>
              <w:rPr>
                <w:sz w:val="16"/>
              </w:rPr>
              <w:t>FR-014</w:t>
            </w:r>
          </w:p>
        </w:tc>
        <w:tc>
          <w:tcPr>
            <w:tcW w:type="dxa" w:w="1944"/>
            <w:vAlign w:val="top"/>
            <w:tcMar>
              <w:top w:w="80" w:type="dxa"/>
              <w:start w:w="90" w:type="dxa"/>
              <w:bottom w:w="80" w:type="dxa"/>
              <w:end w:w="90" w:type="dxa"/>
            </w:tcMar>
          </w:tcPr>
          <w:p>
            <w:pPr>
              <w:spacing w:after="0"/>
            </w:pPr>
            <w:r>
              <w:rPr>
                <w:sz w:val="16"/>
              </w:rPr>
              <w:t>Bounded Replay Storage</w:t>
            </w:r>
          </w:p>
        </w:tc>
        <w:tc>
          <w:tcPr>
            <w:tcW w:type="dxa" w:w="4464"/>
            <w:vAlign w:val="top"/>
            <w:tcMar>
              <w:top w:w="80" w:type="dxa"/>
              <w:start w:w="90" w:type="dxa"/>
              <w:bottom w:w="80" w:type="dxa"/>
              <w:end w:w="90" w:type="dxa"/>
            </w:tcMar>
          </w:tcPr>
          <w:p>
            <w:pPr>
              <w:spacing w:after="0"/>
            </w:pPr>
            <w:r>
              <w:rPr>
                <w:sz w:val="16"/>
              </w:rPr>
              <w:t>The in-memory replay protector shall expire entries and enforce a configurable maximum active-entry count.</w:t>
            </w:r>
          </w:p>
        </w:tc>
        <w:tc>
          <w:tcPr>
            <w:tcW w:type="dxa" w:w="3312"/>
            <w:vAlign w:val="top"/>
            <w:tcMar>
              <w:top w:w="80" w:type="dxa"/>
              <w:start w:w="90" w:type="dxa"/>
              <w:bottom w:w="80" w:type="dxa"/>
              <w:end w:w="90" w:type="dxa"/>
            </w:tcMar>
          </w:tcPr>
          <w:p>
            <w:pPr>
              <w:spacing w:after="0"/>
            </w:pPr>
            <w:r>
              <w:rPr>
                <w:sz w:val="16"/>
              </w:rPr>
              <w:t>Expired records are removed and new records are rejected when capacity is reached.</w:t>
            </w:r>
          </w:p>
        </w:tc>
      </w:tr>
      <w:tr>
        <w:trPr>
          <w:cantSplit/>
        </w:trPr>
        <w:tc>
          <w:tcPr>
            <w:tcW w:type="dxa" w:w="936"/>
            <w:vAlign w:val="top"/>
            <w:tcMar>
              <w:top w:w="80" w:type="dxa"/>
              <w:start w:w="90" w:type="dxa"/>
              <w:bottom w:w="80" w:type="dxa"/>
              <w:end w:w="90" w:type="dxa"/>
            </w:tcMar>
          </w:tcPr>
          <w:p>
            <w:pPr>
              <w:spacing w:after="0"/>
            </w:pPr>
            <w:r>
              <w:rPr>
                <w:sz w:val="16"/>
              </w:rPr>
              <w:t>FR-015</w:t>
            </w:r>
          </w:p>
        </w:tc>
        <w:tc>
          <w:tcPr>
            <w:tcW w:type="dxa" w:w="1944"/>
            <w:vAlign w:val="top"/>
            <w:tcMar>
              <w:top w:w="80" w:type="dxa"/>
              <w:start w:w="90" w:type="dxa"/>
              <w:bottom w:w="80" w:type="dxa"/>
              <w:end w:w="90" w:type="dxa"/>
            </w:tcMar>
          </w:tcPr>
          <w:p>
            <w:pPr>
              <w:spacing w:after="0"/>
            </w:pPr>
            <w:r>
              <w:rPr>
                <w:sz w:val="16"/>
              </w:rPr>
              <w:t>Frame Size Guard Rails</w:t>
            </w:r>
          </w:p>
        </w:tc>
        <w:tc>
          <w:tcPr>
            <w:tcW w:type="dxa" w:w="4464"/>
            <w:vAlign w:val="top"/>
            <w:tcMar>
              <w:top w:w="80" w:type="dxa"/>
              <w:start w:w="90" w:type="dxa"/>
              <w:bottom w:w="80" w:type="dxa"/>
              <w:end w:w="90" w:type="dxa"/>
            </w:tcMar>
          </w:tcPr>
          <w:p>
            <w:pPr>
              <w:spacing w:after="0"/>
            </w:pPr>
            <w:r>
              <w:rPr>
                <w:sz w:val="16"/>
              </w:rPr>
              <w:t>In-memory and TCP transports shall reject frames larger than the configured maximum.</w:t>
            </w:r>
          </w:p>
        </w:tc>
        <w:tc>
          <w:tcPr>
            <w:tcW w:type="dxa" w:w="3312"/>
            <w:vAlign w:val="top"/>
            <w:tcMar>
              <w:top w:w="80" w:type="dxa"/>
              <w:start w:w="90" w:type="dxa"/>
              <w:bottom w:w="80" w:type="dxa"/>
              <w:end w:w="90" w:type="dxa"/>
            </w:tcMar>
          </w:tcPr>
          <w:p>
            <w:pPr>
              <w:spacing w:after="0"/>
            </w:pPr>
            <w:r>
              <w:rPr>
                <w:sz w:val="16"/>
              </w:rPr>
              <w:t>Oversized frames fail before unbounded allocation or transport processing.</w:t>
            </w:r>
          </w:p>
        </w:tc>
      </w:tr>
      <w:tr>
        <w:trPr>
          <w:cantSplit/>
        </w:trPr>
        <w:tc>
          <w:tcPr>
            <w:tcW w:type="dxa" w:w="936"/>
            <w:vAlign w:val="top"/>
            <w:tcMar>
              <w:top w:w="80" w:type="dxa"/>
              <w:start w:w="90" w:type="dxa"/>
              <w:bottom w:w="80" w:type="dxa"/>
              <w:end w:w="90" w:type="dxa"/>
            </w:tcMar>
          </w:tcPr>
          <w:p>
            <w:pPr>
              <w:spacing w:after="0"/>
            </w:pPr>
            <w:r>
              <w:rPr>
                <w:sz w:val="16"/>
              </w:rPr>
              <w:t>FR-016</w:t>
            </w:r>
          </w:p>
        </w:tc>
        <w:tc>
          <w:tcPr>
            <w:tcW w:type="dxa" w:w="1944"/>
            <w:vAlign w:val="top"/>
            <w:tcMar>
              <w:top w:w="80" w:type="dxa"/>
              <w:start w:w="90" w:type="dxa"/>
              <w:bottom w:w="80" w:type="dxa"/>
              <w:end w:w="90" w:type="dxa"/>
            </w:tcMar>
          </w:tcPr>
          <w:p>
            <w:pPr>
              <w:spacing w:after="0"/>
            </w:pPr>
            <w:r>
              <w:rPr>
                <w:sz w:val="16"/>
              </w:rPr>
              <w:t>Controlled Failure Results</w:t>
            </w:r>
          </w:p>
        </w:tc>
        <w:tc>
          <w:tcPr>
            <w:tcW w:type="dxa" w:w="4464"/>
            <w:vAlign w:val="top"/>
            <w:tcMar>
              <w:top w:w="80" w:type="dxa"/>
              <w:start w:w="90" w:type="dxa"/>
              <w:bottom w:w="80" w:type="dxa"/>
              <w:end w:w="90" w:type="dxa"/>
            </w:tcMar>
          </w:tcPr>
          <w:p>
            <w:pPr>
              <w:spacing w:after="0"/>
            </w:pPr>
            <w:r>
              <w:rPr>
                <w:sz w:val="16"/>
              </w:rPr>
              <w:t>Receive-side validation failures shall return controlled results without plaintext where possible.</w:t>
            </w:r>
          </w:p>
        </w:tc>
        <w:tc>
          <w:tcPr>
            <w:tcW w:type="dxa" w:w="3312"/>
            <w:vAlign w:val="top"/>
            <w:tcMar>
              <w:top w:w="80" w:type="dxa"/>
              <w:start w:w="90" w:type="dxa"/>
              <w:bottom w:w="80" w:type="dxa"/>
              <w:end w:w="90" w:type="dxa"/>
            </w:tcMar>
          </w:tcPr>
          <w:p>
            <w:pPr>
              <w:spacing w:after="0"/>
            </w:pPr>
            <w:r>
              <w:rPr>
                <w:sz w:val="16"/>
              </w:rPr>
              <w:t>Decode, authentication, replay, and provider failures do not release plaintext.</w:t>
            </w:r>
          </w:p>
        </w:tc>
      </w:tr>
      <w:tr>
        <w:trPr>
          <w:cantSplit/>
        </w:trPr>
        <w:tc>
          <w:tcPr>
            <w:tcW w:type="dxa" w:w="936"/>
            <w:vAlign w:val="top"/>
            <w:tcMar>
              <w:top w:w="80" w:type="dxa"/>
              <w:start w:w="90" w:type="dxa"/>
              <w:bottom w:w="80" w:type="dxa"/>
              <w:end w:w="90" w:type="dxa"/>
            </w:tcMar>
          </w:tcPr>
          <w:p>
            <w:pPr>
              <w:spacing w:after="0"/>
            </w:pPr>
            <w:r>
              <w:rPr>
                <w:sz w:val="16"/>
              </w:rPr>
              <w:t>FR-017</w:t>
            </w:r>
          </w:p>
        </w:tc>
        <w:tc>
          <w:tcPr>
            <w:tcW w:type="dxa" w:w="1944"/>
            <w:vAlign w:val="top"/>
            <w:tcMar>
              <w:top w:w="80" w:type="dxa"/>
              <w:start w:w="90" w:type="dxa"/>
              <w:bottom w:w="80" w:type="dxa"/>
              <w:end w:w="90" w:type="dxa"/>
            </w:tcMar>
          </w:tcPr>
          <w:p>
            <w:pPr>
              <w:spacing w:after="0"/>
            </w:pPr>
            <w:r>
              <w:rPr>
                <w:sz w:val="16"/>
              </w:rPr>
              <w:t>Demonstration Applications</w:t>
            </w:r>
          </w:p>
        </w:tc>
        <w:tc>
          <w:tcPr>
            <w:tcW w:type="dxa" w:w="4464"/>
            <w:vAlign w:val="top"/>
            <w:tcMar>
              <w:top w:w="80" w:type="dxa"/>
              <w:start w:w="90" w:type="dxa"/>
              <w:bottom w:w="80" w:type="dxa"/>
              <w:end w:w="90" w:type="dxa"/>
            </w:tcMar>
          </w:tcPr>
          <w:p>
            <w:pPr>
              <w:spacing w:after="0"/>
            </w:pPr>
            <w:r>
              <w:rPr>
                <w:sz w:val="16"/>
              </w:rPr>
              <w:t>Mercury shall provide console and WinForms hosts that demonstrate successful exchange and security failure scenarios.</w:t>
            </w:r>
          </w:p>
        </w:tc>
        <w:tc>
          <w:tcPr>
            <w:tcW w:type="dxa" w:w="3312"/>
            <w:vAlign w:val="top"/>
            <w:tcMar>
              <w:top w:w="80" w:type="dxa"/>
              <w:start w:w="90" w:type="dxa"/>
              <w:bottom w:w="80" w:type="dxa"/>
              <w:end w:w="90" w:type="dxa"/>
            </w:tcMar>
          </w:tcPr>
          <w:p>
            <w:pPr>
              <w:spacing w:after="0"/>
            </w:pPr>
            <w:r>
              <w:rPr>
                <w:sz w:val="16"/>
              </w:rPr>
              <w:t>An evaluator can run normal, tamper, replay, wrong-key, transport, and file scenarios.</w:t>
            </w:r>
          </w:p>
        </w:tc>
      </w:tr>
    </w:tbl>
    <w:p>
      <w:pPr>
        <w:pStyle w:val="Heading1"/>
      </w:pPr>
      <w:r>
        <w:t>Nonfunctional Requirements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080"/>
            <w:shd w:fill="1F4E79"/>
            <w:vAlign w:val="center"/>
            <w:tcMar>
              <w:top w:w="80" w:type="dxa"/>
              <w:start w:w="90" w:type="dxa"/>
              <w:bottom w:w="80" w:type="dxa"/>
              <w:end w:w="90" w:type="dxa"/>
            </w:tcMar>
          </w:tcPr>
          <w:p>
            <w:pPr>
              <w:spacing w:after="0"/>
            </w:pPr>
            <w:r>
              <w:rPr>
                <w:b/>
                <w:color w:val="FFFFFF"/>
                <w:sz w:val="17"/>
              </w:rPr>
              <w:t>ID</w:t>
            </w:r>
          </w:p>
        </w:tc>
        <w:tc>
          <w:tcPr>
            <w:tcW w:type="dxa" w:w="2304"/>
            <w:shd w:fill="1F4E79"/>
            <w:vAlign w:val="center"/>
            <w:tcMar>
              <w:top w:w="80" w:type="dxa"/>
              <w:start w:w="90" w:type="dxa"/>
              <w:bottom w:w="80" w:type="dxa"/>
              <w:end w:w="90" w:type="dxa"/>
            </w:tcMar>
          </w:tcPr>
          <w:p>
            <w:pPr>
              <w:spacing w:after="0"/>
            </w:pPr>
            <w:r>
              <w:rPr>
                <w:b/>
                <w:color w:val="FFFFFF"/>
                <w:sz w:val="17"/>
              </w:rPr>
              <w:t>Name</w:t>
            </w:r>
          </w:p>
        </w:tc>
        <w:tc>
          <w:tcPr>
            <w:tcW w:type="dxa" w:w="7272"/>
            <w:shd w:fill="1F4E79"/>
            <w:vAlign w:val="center"/>
            <w:tcMar>
              <w:top w:w="80" w:type="dxa"/>
              <w:start w:w="90" w:type="dxa"/>
              <w:bottom w:w="80" w:type="dxa"/>
              <w:end w:w="90" w:type="dxa"/>
            </w:tcMar>
          </w:tcPr>
          <w:p>
            <w:pPr>
              <w:spacing w:after="0"/>
            </w:pPr>
            <w:r>
              <w:rPr>
                <w:b/>
                <w:color w:val="FFFFFF"/>
                <w:sz w:val="17"/>
              </w:rPr>
              <w:t>Requirement</w:t>
            </w:r>
          </w:p>
        </w:tc>
      </w:tr>
      <w:tr>
        <w:trPr>
          <w:cantSplit/>
        </w:trPr>
        <w:tc>
          <w:tcPr>
            <w:tcW w:type="dxa" w:w="1080"/>
            <w:vAlign w:val="top"/>
            <w:tcMar>
              <w:top w:w="80" w:type="dxa"/>
              <w:start w:w="90" w:type="dxa"/>
              <w:bottom w:w="80" w:type="dxa"/>
              <w:end w:w="90" w:type="dxa"/>
            </w:tcMar>
          </w:tcPr>
          <w:p>
            <w:pPr>
              <w:spacing w:after="0"/>
            </w:pPr>
            <w:r>
              <w:rPr>
                <w:sz w:val="17"/>
              </w:rPr>
              <w:t>NFR-001</w:t>
            </w:r>
          </w:p>
        </w:tc>
        <w:tc>
          <w:tcPr>
            <w:tcW w:type="dxa" w:w="2304"/>
            <w:vAlign w:val="top"/>
            <w:tcMar>
              <w:top w:w="80" w:type="dxa"/>
              <w:start w:w="90" w:type="dxa"/>
              <w:bottom w:w="80" w:type="dxa"/>
              <w:end w:w="90" w:type="dxa"/>
            </w:tcMar>
          </w:tcPr>
          <w:p>
            <w:pPr>
              <w:spacing w:after="0"/>
            </w:pPr>
            <w:r>
              <w:rPr>
                <w:sz w:val="17"/>
              </w:rPr>
              <w:t>Modularity</w:t>
            </w:r>
          </w:p>
        </w:tc>
        <w:tc>
          <w:tcPr>
            <w:tcW w:type="dxa" w:w="7272"/>
            <w:vAlign w:val="top"/>
            <w:tcMar>
              <w:top w:w="80" w:type="dxa"/>
              <w:start w:w="90" w:type="dxa"/>
              <w:bottom w:w="80" w:type="dxa"/>
              <w:end w:w="90" w:type="dxa"/>
            </w:tcMar>
          </w:tcPr>
          <w:p>
            <w:pPr>
              <w:spacing w:after="0"/>
            </w:pPr>
            <w:r>
              <w:rPr>
                <w:sz w:val="17"/>
              </w:rPr>
              <w:t>Crypto, transport, codec, replay protection, abstractions, and core coordination shall remain separate.</w:t>
            </w:r>
          </w:p>
        </w:tc>
      </w:tr>
      <w:tr>
        <w:trPr>
          <w:cantSplit/>
        </w:trPr>
        <w:tc>
          <w:tcPr>
            <w:tcW w:type="dxa" w:w="1080"/>
            <w:vAlign w:val="top"/>
            <w:tcMar>
              <w:top w:w="80" w:type="dxa"/>
              <w:start w:w="90" w:type="dxa"/>
              <w:bottom w:w="80" w:type="dxa"/>
              <w:end w:w="90" w:type="dxa"/>
            </w:tcMar>
          </w:tcPr>
          <w:p>
            <w:pPr>
              <w:spacing w:after="0"/>
            </w:pPr>
            <w:r>
              <w:rPr>
                <w:sz w:val="17"/>
              </w:rPr>
              <w:t>NFR-002</w:t>
            </w:r>
          </w:p>
        </w:tc>
        <w:tc>
          <w:tcPr>
            <w:tcW w:type="dxa" w:w="2304"/>
            <w:vAlign w:val="top"/>
            <w:tcMar>
              <w:top w:w="80" w:type="dxa"/>
              <w:start w:w="90" w:type="dxa"/>
              <w:bottom w:w="80" w:type="dxa"/>
              <w:end w:w="90" w:type="dxa"/>
            </w:tcMar>
          </w:tcPr>
          <w:p>
            <w:pPr>
              <w:spacing w:after="0"/>
            </w:pPr>
            <w:r>
              <w:rPr>
                <w:sz w:val="17"/>
              </w:rPr>
              <w:t>Misuse Resistance</w:t>
            </w:r>
          </w:p>
        </w:tc>
        <w:tc>
          <w:tcPr>
            <w:tcW w:type="dxa" w:w="7272"/>
            <w:vAlign w:val="top"/>
            <w:tcMar>
              <w:top w:w="80" w:type="dxa"/>
              <w:start w:w="90" w:type="dxa"/>
              <w:bottom w:w="80" w:type="dxa"/>
              <w:end w:w="90" w:type="dxa"/>
            </w:tcMar>
          </w:tcPr>
          <w:p>
            <w:pPr>
              <w:spacing w:after="0"/>
            </w:pPr>
            <w:r>
              <w:rPr>
                <w:sz w:val="17"/>
              </w:rPr>
              <w:t>Public APIs shall reject empty payloads, missing context values, invalid key identifiers, and unsupported provider input.</w:t>
            </w:r>
          </w:p>
        </w:tc>
      </w:tr>
      <w:tr>
        <w:trPr>
          <w:cantSplit/>
        </w:trPr>
        <w:tc>
          <w:tcPr>
            <w:tcW w:type="dxa" w:w="1080"/>
            <w:vAlign w:val="top"/>
            <w:tcMar>
              <w:top w:w="80" w:type="dxa"/>
              <w:start w:w="90" w:type="dxa"/>
              <w:bottom w:w="80" w:type="dxa"/>
              <w:end w:w="90" w:type="dxa"/>
            </w:tcMar>
          </w:tcPr>
          <w:p>
            <w:pPr>
              <w:spacing w:after="0"/>
            </w:pPr>
            <w:r>
              <w:rPr>
                <w:sz w:val="17"/>
              </w:rPr>
              <w:t>NFR-003</w:t>
            </w:r>
          </w:p>
        </w:tc>
        <w:tc>
          <w:tcPr>
            <w:tcW w:type="dxa" w:w="2304"/>
            <w:vAlign w:val="top"/>
            <w:tcMar>
              <w:top w:w="80" w:type="dxa"/>
              <w:start w:w="90" w:type="dxa"/>
              <w:bottom w:w="80" w:type="dxa"/>
              <w:end w:w="90" w:type="dxa"/>
            </w:tcMar>
          </w:tcPr>
          <w:p>
            <w:pPr>
              <w:spacing w:after="0"/>
            </w:pPr>
            <w:r>
              <w:rPr>
                <w:sz w:val="17"/>
              </w:rPr>
              <w:t>Testability</w:t>
            </w:r>
          </w:p>
        </w:tc>
        <w:tc>
          <w:tcPr>
            <w:tcW w:type="dxa" w:w="7272"/>
            <w:vAlign w:val="top"/>
            <w:tcMar>
              <w:top w:w="80" w:type="dxa"/>
              <w:start w:w="90" w:type="dxa"/>
              <w:bottom w:w="80" w:type="dxa"/>
              <w:end w:w="90" w:type="dxa"/>
            </w:tcMar>
          </w:tcPr>
          <w:p>
            <w:pPr>
              <w:spacing w:after="0"/>
            </w:pPr>
            <w:r>
              <w:rPr>
                <w:sz w:val="17"/>
              </w:rPr>
              <w:t>The design shall support isolated unit, contract, pipeline, transport, and integration tests.</w:t>
            </w:r>
          </w:p>
        </w:tc>
      </w:tr>
      <w:tr>
        <w:trPr>
          <w:cantSplit/>
        </w:trPr>
        <w:tc>
          <w:tcPr>
            <w:tcW w:type="dxa" w:w="1080"/>
            <w:vAlign w:val="top"/>
            <w:tcMar>
              <w:top w:w="80" w:type="dxa"/>
              <w:start w:w="90" w:type="dxa"/>
              <w:bottom w:w="80" w:type="dxa"/>
              <w:end w:w="90" w:type="dxa"/>
            </w:tcMar>
          </w:tcPr>
          <w:p>
            <w:pPr>
              <w:spacing w:after="0"/>
            </w:pPr>
            <w:r>
              <w:rPr>
                <w:sz w:val="17"/>
              </w:rPr>
              <w:t>NFR-004</w:t>
            </w:r>
          </w:p>
        </w:tc>
        <w:tc>
          <w:tcPr>
            <w:tcW w:type="dxa" w:w="2304"/>
            <w:vAlign w:val="top"/>
            <w:tcMar>
              <w:top w:w="80" w:type="dxa"/>
              <w:start w:w="90" w:type="dxa"/>
              <w:bottom w:w="80" w:type="dxa"/>
              <w:end w:w="90" w:type="dxa"/>
            </w:tcMar>
          </w:tcPr>
          <w:p>
            <w:pPr>
              <w:spacing w:after="0"/>
            </w:pPr>
            <w:r>
              <w:rPr>
                <w:sz w:val="17"/>
              </w:rPr>
              <w:t>Maintainability</w:t>
            </w:r>
          </w:p>
        </w:tc>
        <w:tc>
          <w:tcPr>
            <w:tcW w:type="dxa" w:w="7272"/>
            <w:vAlign w:val="top"/>
            <w:tcMar>
              <w:top w:w="80" w:type="dxa"/>
              <w:start w:w="90" w:type="dxa"/>
              <w:bottom w:w="80" w:type="dxa"/>
              <w:end w:w="90" w:type="dxa"/>
            </w:tcMar>
          </w:tcPr>
          <w:p>
            <w:pPr>
              <w:spacing w:after="0"/>
            </w:pPr>
            <w:r>
              <w:rPr>
                <w:sz w:val="17"/>
              </w:rPr>
              <w:t>Interfaces and project boundaries shall allow providers and transports to be added without rewriting Mercury Core.</w:t>
            </w:r>
          </w:p>
        </w:tc>
      </w:tr>
      <w:tr>
        <w:trPr>
          <w:cantSplit/>
        </w:trPr>
        <w:tc>
          <w:tcPr>
            <w:tcW w:type="dxa" w:w="1080"/>
            <w:vAlign w:val="top"/>
            <w:tcMar>
              <w:top w:w="80" w:type="dxa"/>
              <w:start w:w="90" w:type="dxa"/>
              <w:bottom w:w="80" w:type="dxa"/>
              <w:end w:w="90" w:type="dxa"/>
            </w:tcMar>
          </w:tcPr>
          <w:p>
            <w:pPr>
              <w:spacing w:after="0"/>
            </w:pPr>
            <w:r>
              <w:rPr>
                <w:sz w:val="17"/>
              </w:rPr>
              <w:t>NFR-005</w:t>
            </w:r>
          </w:p>
        </w:tc>
        <w:tc>
          <w:tcPr>
            <w:tcW w:type="dxa" w:w="2304"/>
            <w:vAlign w:val="top"/>
            <w:tcMar>
              <w:top w:w="80" w:type="dxa"/>
              <w:start w:w="90" w:type="dxa"/>
              <w:bottom w:w="80" w:type="dxa"/>
              <w:end w:w="90" w:type="dxa"/>
            </w:tcMar>
          </w:tcPr>
          <w:p>
            <w:pPr>
              <w:spacing w:after="0"/>
            </w:pPr>
            <w:r>
              <w:rPr>
                <w:sz w:val="17"/>
              </w:rPr>
              <w:t>Demo Clarity</w:t>
            </w:r>
          </w:p>
        </w:tc>
        <w:tc>
          <w:tcPr>
            <w:tcW w:type="dxa" w:w="7272"/>
            <w:vAlign w:val="top"/>
            <w:tcMar>
              <w:top w:w="80" w:type="dxa"/>
              <w:start w:w="90" w:type="dxa"/>
              <w:bottom w:w="80" w:type="dxa"/>
              <w:end w:w="90" w:type="dxa"/>
            </w:tcMar>
          </w:tcPr>
          <w:p>
            <w:pPr>
              <w:spacing w:after="0"/>
            </w:pPr>
            <w:r>
              <w:rPr>
                <w:sz w:val="17"/>
              </w:rPr>
              <w:t>The demos shall make provider, transport, codec, send, receive, tamper, replay, and wrong-key behavior visible.</w:t>
            </w:r>
          </w:p>
        </w:tc>
      </w:tr>
      <w:tr>
        <w:trPr>
          <w:cantSplit/>
        </w:trPr>
        <w:tc>
          <w:tcPr>
            <w:tcW w:type="dxa" w:w="1080"/>
            <w:vAlign w:val="top"/>
            <w:tcMar>
              <w:top w:w="80" w:type="dxa"/>
              <w:start w:w="90" w:type="dxa"/>
              <w:bottom w:w="80" w:type="dxa"/>
              <w:end w:w="90" w:type="dxa"/>
            </w:tcMar>
          </w:tcPr>
          <w:p>
            <w:pPr>
              <w:spacing w:after="0"/>
            </w:pPr>
            <w:r>
              <w:rPr>
                <w:sz w:val="17"/>
              </w:rPr>
              <w:t>NFR-006</w:t>
            </w:r>
          </w:p>
        </w:tc>
        <w:tc>
          <w:tcPr>
            <w:tcW w:type="dxa" w:w="2304"/>
            <w:vAlign w:val="top"/>
            <w:tcMar>
              <w:top w:w="80" w:type="dxa"/>
              <w:start w:w="90" w:type="dxa"/>
              <w:bottom w:w="80" w:type="dxa"/>
              <w:end w:w="90" w:type="dxa"/>
            </w:tcMar>
          </w:tcPr>
          <w:p>
            <w:pPr>
              <w:spacing w:after="0"/>
            </w:pPr>
            <w:r>
              <w:rPr>
                <w:sz w:val="17"/>
              </w:rPr>
              <w:t>Safe Failure</w:t>
            </w:r>
          </w:p>
        </w:tc>
        <w:tc>
          <w:tcPr>
            <w:tcW w:type="dxa" w:w="7272"/>
            <w:vAlign w:val="top"/>
            <w:tcMar>
              <w:top w:w="80" w:type="dxa"/>
              <w:start w:w="90" w:type="dxa"/>
              <w:bottom w:w="80" w:type="dxa"/>
              <w:end w:w="90" w:type="dxa"/>
            </w:tcMar>
          </w:tcPr>
          <w:p>
            <w:pPr>
              <w:spacing w:after="0"/>
            </w:pPr>
            <w:r>
              <w:rPr>
                <w:sz w:val="17"/>
              </w:rPr>
              <w:t>Invalid, malformed, replayed, unauthorized, or tampered communications shall not release plaintext.</w:t>
            </w:r>
          </w:p>
        </w:tc>
      </w:tr>
      <w:tr>
        <w:trPr>
          <w:cantSplit/>
        </w:trPr>
        <w:tc>
          <w:tcPr>
            <w:tcW w:type="dxa" w:w="1080"/>
            <w:vAlign w:val="top"/>
            <w:tcMar>
              <w:top w:w="80" w:type="dxa"/>
              <w:start w:w="90" w:type="dxa"/>
              <w:bottom w:w="80" w:type="dxa"/>
              <w:end w:w="90" w:type="dxa"/>
            </w:tcMar>
          </w:tcPr>
          <w:p>
            <w:pPr>
              <w:spacing w:after="0"/>
            </w:pPr>
            <w:r>
              <w:rPr>
                <w:sz w:val="17"/>
              </w:rPr>
              <w:t>NFR-007</w:t>
            </w:r>
          </w:p>
        </w:tc>
        <w:tc>
          <w:tcPr>
            <w:tcW w:type="dxa" w:w="2304"/>
            <w:vAlign w:val="top"/>
            <w:tcMar>
              <w:top w:w="80" w:type="dxa"/>
              <w:start w:w="90" w:type="dxa"/>
              <w:bottom w:w="80" w:type="dxa"/>
              <w:end w:w="90" w:type="dxa"/>
            </w:tcMar>
          </w:tcPr>
          <w:p>
            <w:pPr>
              <w:spacing w:after="0"/>
            </w:pPr>
            <w:r>
              <w:rPr>
                <w:sz w:val="17"/>
              </w:rPr>
              <w:t>Thread Safety</w:t>
            </w:r>
          </w:p>
        </w:tc>
        <w:tc>
          <w:tcPr>
            <w:tcW w:type="dxa" w:w="7272"/>
            <w:vAlign w:val="top"/>
            <w:tcMar>
              <w:top w:w="80" w:type="dxa"/>
              <w:start w:w="90" w:type="dxa"/>
              <w:bottom w:w="80" w:type="dxa"/>
              <w:end w:w="90" w:type="dxa"/>
            </w:tcMar>
          </w:tcPr>
          <w:p>
            <w:pPr>
              <w:spacing w:after="0"/>
            </w:pPr>
            <w:r>
              <w:rPr>
                <w:sz w:val="17"/>
              </w:rPr>
              <w:t>Shared transports, replay storage, and key lookup used concurrently shall behave predictably.</w:t>
            </w:r>
          </w:p>
        </w:tc>
      </w:tr>
      <w:tr>
        <w:trPr>
          <w:cantSplit/>
        </w:trPr>
        <w:tc>
          <w:tcPr>
            <w:tcW w:type="dxa" w:w="1080"/>
            <w:vAlign w:val="top"/>
            <w:tcMar>
              <w:top w:w="80" w:type="dxa"/>
              <w:start w:w="90" w:type="dxa"/>
              <w:bottom w:w="80" w:type="dxa"/>
              <w:end w:w="90" w:type="dxa"/>
            </w:tcMar>
          </w:tcPr>
          <w:p>
            <w:pPr>
              <w:spacing w:after="0"/>
            </w:pPr>
            <w:r>
              <w:rPr>
                <w:sz w:val="17"/>
              </w:rPr>
              <w:t>NFR-008</w:t>
            </w:r>
          </w:p>
        </w:tc>
        <w:tc>
          <w:tcPr>
            <w:tcW w:type="dxa" w:w="2304"/>
            <w:vAlign w:val="top"/>
            <w:tcMar>
              <w:top w:w="80" w:type="dxa"/>
              <w:start w:w="90" w:type="dxa"/>
              <w:bottom w:w="80" w:type="dxa"/>
              <w:end w:w="90" w:type="dxa"/>
            </w:tcMar>
          </w:tcPr>
          <w:p>
            <w:pPr>
              <w:spacing w:after="0"/>
            </w:pPr>
            <w:r>
              <w:rPr>
                <w:sz w:val="17"/>
              </w:rPr>
              <w:t>Resource Control</w:t>
            </w:r>
          </w:p>
        </w:tc>
        <w:tc>
          <w:tcPr>
            <w:tcW w:type="dxa" w:w="7272"/>
            <w:vAlign w:val="top"/>
            <w:tcMar>
              <w:top w:w="80" w:type="dxa"/>
              <w:start w:w="90" w:type="dxa"/>
              <w:bottom w:w="80" w:type="dxa"/>
              <w:end w:w="90" w:type="dxa"/>
            </w:tcMar>
          </w:tcPr>
          <w:p>
            <w:pPr>
              <w:spacing w:after="0"/>
            </w:pPr>
            <w:r>
              <w:rPr>
                <w:sz w:val="17"/>
              </w:rPr>
              <w:t>Replay storage and supported transport frame sizes shall be bounded.</w:t>
            </w:r>
          </w:p>
        </w:tc>
      </w:tr>
      <w:tr>
        <w:trPr>
          <w:cantSplit/>
        </w:trPr>
        <w:tc>
          <w:tcPr>
            <w:tcW w:type="dxa" w:w="1080"/>
            <w:vAlign w:val="top"/>
            <w:tcMar>
              <w:top w:w="80" w:type="dxa"/>
              <w:start w:w="90" w:type="dxa"/>
              <w:bottom w:w="80" w:type="dxa"/>
              <w:end w:w="90" w:type="dxa"/>
            </w:tcMar>
          </w:tcPr>
          <w:p>
            <w:pPr>
              <w:spacing w:after="0"/>
            </w:pPr>
            <w:r>
              <w:rPr>
                <w:sz w:val="17"/>
              </w:rPr>
              <w:t>NFR-009</w:t>
            </w:r>
          </w:p>
        </w:tc>
        <w:tc>
          <w:tcPr>
            <w:tcW w:type="dxa" w:w="2304"/>
            <w:vAlign w:val="top"/>
            <w:tcMar>
              <w:top w:w="80" w:type="dxa"/>
              <w:start w:w="90" w:type="dxa"/>
              <w:bottom w:w="80" w:type="dxa"/>
              <w:end w:w="90" w:type="dxa"/>
            </w:tcMar>
          </w:tcPr>
          <w:p>
            <w:pPr>
              <w:spacing w:after="0"/>
            </w:pPr>
            <w:r>
              <w:rPr>
                <w:sz w:val="17"/>
              </w:rPr>
              <w:t>Academic Transparency</w:t>
            </w:r>
          </w:p>
        </w:tc>
        <w:tc>
          <w:tcPr>
            <w:tcW w:type="dxa" w:w="7272"/>
            <w:vAlign w:val="top"/>
            <w:tcMar>
              <w:top w:w="80" w:type="dxa"/>
              <w:start w:w="90" w:type="dxa"/>
              <w:bottom w:w="80" w:type="dxa"/>
              <w:end w:w="90" w:type="dxa"/>
            </w:tcMar>
          </w:tcPr>
          <w:p>
            <w:pPr>
              <w:spacing w:after="0"/>
            </w:pPr>
            <w:r>
              <w:rPr>
                <w:sz w:val="17"/>
              </w:rPr>
              <w:t>Documentation shall identify implemented capabilities, pending work, and out-of-scope production concerns without overclaiming.</w:t>
            </w:r>
          </w:p>
        </w:tc>
      </w:tr>
      <w:tr>
        <w:trPr>
          <w:cantSplit/>
        </w:trPr>
        <w:tc>
          <w:tcPr>
            <w:tcW w:type="dxa" w:w="1080"/>
            <w:vAlign w:val="top"/>
            <w:tcMar>
              <w:top w:w="80" w:type="dxa"/>
              <w:start w:w="90" w:type="dxa"/>
              <w:bottom w:w="80" w:type="dxa"/>
              <w:end w:w="90" w:type="dxa"/>
            </w:tcMar>
          </w:tcPr>
          <w:p>
            <w:pPr>
              <w:spacing w:after="0"/>
            </w:pPr>
            <w:r>
              <w:rPr>
                <w:sz w:val="17"/>
              </w:rPr>
              <w:t>NFR-010</w:t>
            </w:r>
          </w:p>
        </w:tc>
        <w:tc>
          <w:tcPr>
            <w:tcW w:type="dxa" w:w="2304"/>
            <w:vAlign w:val="top"/>
            <w:tcMar>
              <w:top w:w="80" w:type="dxa"/>
              <w:start w:w="90" w:type="dxa"/>
              <w:bottom w:w="80" w:type="dxa"/>
              <w:end w:w="90" w:type="dxa"/>
            </w:tcMar>
          </w:tcPr>
          <w:p>
            <w:pPr>
              <w:spacing w:after="0"/>
            </w:pPr>
            <w:r>
              <w:rPr>
                <w:sz w:val="17"/>
              </w:rPr>
              <w:t>Cross-Platform Hosting</w:t>
            </w:r>
          </w:p>
        </w:tc>
        <w:tc>
          <w:tcPr>
            <w:tcW w:type="dxa" w:w="7272"/>
            <w:vAlign w:val="top"/>
            <w:tcMar>
              <w:top w:w="80" w:type="dxa"/>
              <w:start w:w="90" w:type="dxa"/>
              <w:bottom w:w="80" w:type="dxa"/>
              <w:end w:w="90" w:type="dxa"/>
            </w:tcMar>
          </w:tcPr>
          <w:p>
            <w:pPr>
              <w:spacing w:after="0"/>
            </w:pPr>
            <w:r>
              <w:rPr>
                <w:sz w:val="17"/>
              </w:rPr>
              <w:t>Framework projects and the console demo shall remain usable outside Windows where their target frameworks permit.</w:t>
            </w:r>
          </w:p>
        </w:tc>
      </w:tr>
    </w:tbl>
    <w:p>
      <w:pPr>
        <w:pStyle w:val="Heading1"/>
      </w:pPr>
      <w:r>
        <w:t>Constraints</w:t>
      </w:r>
    </w:p>
    <w:p>
      <w:pPr>
        <w:pStyle w:val="ListBullet"/>
      </w:pPr>
      <w:r>
        <w:t>C# and .NET are the implementation platform.</w:t>
      </w:r>
    </w:p>
    <w:p>
      <w:pPr>
        <w:pStyle w:val="ListBullet"/>
      </w:pPr>
      <w:r>
        <w:t>Mercury.Abstractions and Mercury.Core target .NET Standard 2.0-compatible contracts where required by the architecture.</w:t>
      </w:r>
    </w:p>
    <w:p>
      <w:pPr>
        <w:pStyle w:val="ListBullet"/>
      </w:pPr>
      <w:r>
        <w:t>The WinForms demonstration targets Windows; the console demonstration provides a cross-platform host.</w:t>
      </w:r>
    </w:p>
    <w:p>
      <w:pPr>
        <w:pStyle w:val="ListBullet"/>
      </w:pPr>
      <w:r>
        <w:t>The test project uses xUnit on .NET 10.</w:t>
      </w:r>
    </w:p>
    <w:p>
      <w:pPr>
        <w:pStyle w:val="ListBullet"/>
      </w:pPr>
      <w:r>
        <w:t>AES-GCM and ChaCha20-Poly1305 are the completed RC 1.2 providers.</w:t>
      </w:r>
    </w:p>
    <w:p>
      <w:pPr>
        <w:pStyle w:val="ListBullet"/>
      </w:pPr>
      <w:r>
        <w:t>AES-CCM remains pending and its two tests remain intentionally skipped.</w:t>
      </w:r>
    </w:p>
    <w:p>
      <w:pPr>
        <w:pStyle w:val="ListBullet"/>
      </w:pPr>
      <w:r>
        <w:t>Replay protection is in-memory and process-local.</w:t>
      </w:r>
    </w:p>
    <w:p>
      <w:pPr>
        <w:pStyle w:val="ListBullet"/>
      </w:pPr>
      <w:r>
        <w:t>The project must remain academically reviewable and must not claim production or government certification.</w:t>
      </w:r>
    </w:p>
    <w:p>
      <w:pPr>
        <w:pStyle w:val="Heading1"/>
      </w:pPr>
      <w:r>
        <w:t>Requirement Traceability</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1440"/>
            <w:shd w:fill="1F4E79"/>
            <w:vAlign w:val="center"/>
            <w:tcMar>
              <w:top w:w="80" w:type="dxa"/>
              <w:start w:w="90" w:type="dxa"/>
              <w:bottom w:w="80" w:type="dxa"/>
              <w:end w:w="90" w:type="dxa"/>
            </w:tcMar>
          </w:tcPr>
          <w:p>
            <w:pPr>
              <w:spacing w:after="0"/>
            </w:pPr>
            <w:r>
              <w:rPr>
                <w:b/>
                <w:color w:val="FFFFFF"/>
                <w:sz w:val="16"/>
              </w:rPr>
              <w:t>Requirement</w:t>
            </w:r>
          </w:p>
        </w:tc>
        <w:tc>
          <w:tcPr>
            <w:tcW w:type="dxa" w:w="3096"/>
            <w:shd w:fill="1F4E79"/>
            <w:vAlign w:val="center"/>
            <w:tcMar>
              <w:top w:w="80" w:type="dxa"/>
              <w:start w:w="90" w:type="dxa"/>
              <w:bottom w:w="80" w:type="dxa"/>
              <w:end w:w="90" w:type="dxa"/>
            </w:tcMar>
          </w:tcPr>
          <w:p>
            <w:pPr>
              <w:spacing w:after="0"/>
            </w:pPr>
            <w:r>
              <w:rPr>
                <w:b/>
                <w:color w:val="FFFFFF"/>
                <w:sz w:val="16"/>
              </w:rPr>
              <w:t>Design Element</w:t>
            </w:r>
          </w:p>
        </w:tc>
        <w:tc>
          <w:tcPr>
            <w:tcW w:type="dxa" w:w="5184"/>
            <w:shd w:fill="1F4E79"/>
            <w:vAlign w:val="center"/>
            <w:tcMar>
              <w:top w:w="80" w:type="dxa"/>
              <w:start w:w="90" w:type="dxa"/>
              <w:bottom w:w="80" w:type="dxa"/>
              <w:end w:w="90" w:type="dxa"/>
            </w:tcMar>
          </w:tcPr>
          <w:p>
            <w:pPr>
              <w:spacing w:after="0"/>
            </w:pPr>
            <w:r>
              <w:rPr>
                <w:b/>
                <w:color w:val="FFFFFF"/>
                <w:sz w:val="16"/>
              </w:rPr>
              <w:t>Test or Demo Evidence</w:t>
            </w:r>
          </w:p>
        </w:tc>
        <w:tc>
          <w:tcPr>
            <w:tcW w:type="dxa" w:w="1224"/>
            <w:shd w:fill="1F4E79"/>
            <w:vAlign w:val="center"/>
            <w:tcMar>
              <w:top w:w="80" w:type="dxa"/>
              <w:start w:w="90" w:type="dxa"/>
              <w:bottom w:w="80" w:type="dxa"/>
              <w:end w:w="90" w:type="dxa"/>
            </w:tcMar>
          </w:tcPr>
          <w:p>
            <w:pPr>
              <w:spacing w:after="0"/>
            </w:pPr>
            <w:r>
              <w:rPr>
                <w:b/>
                <w:color w:val="FFFFFF"/>
                <w:sz w:val="16"/>
              </w:rPr>
              <w:t>Status</w:t>
            </w:r>
          </w:p>
        </w:tc>
      </w:tr>
      <w:tr>
        <w:trPr>
          <w:cantSplit/>
        </w:trPr>
        <w:tc>
          <w:tcPr>
            <w:tcW w:type="dxa" w:w="1440"/>
            <w:vAlign w:val="top"/>
            <w:tcMar>
              <w:top w:w="80" w:type="dxa"/>
              <w:start w:w="90" w:type="dxa"/>
              <w:bottom w:w="80" w:type="dxa"/>
              <w:end w:w="90" w:type="dxa"/>
            </w:tcMar>
          </w:tcPr>
          <w:p>
            <w:pPr>
              <w:spacing w:after="0"/>
            </w:pPr>
            <w:r>
              <w:rPr>
                <w:sz w:val="16"/>
              </w:rPr>
              <w:t>FR-001/FR-002</w:t>
            </w:r>
          </w:p>
        </w:tc>
        <w:tc>
          <w:tcPr>
            <w:tcW w:type="dxa" w:w="3096"/>
            <w:vAlign w:val="top"/>
            <w:tcMar>
              <w:top w:w="80" w:type="dxa"/>
              <w:start w:w="90" w:type="dxa"/>
              <w:bottom w:w="80" w:type="dxa"/>
              <w:end w:w="90" w:type="dxa"/>
            </w:tcMar>
          </w:tcPr>
          <w:p>
            <w:pPr>
              <w:spacing w:after="0"/>
            </w:pPr>
            <w:r>
              <w:rPr>
                <w:sz w:val="16"/>
              </w:rPr>
              <w:t>IMercuryClient send and receive pipeline</w:t>
            </w:r>
          </w:p>
        </w:tc>
        <w:tc>
          <w:tcPr>
            <w:tcW w:type="dxa" w:w="5184"/>
            <w:vAlign w:val="top"/>
            <w:tcMar>
              <w:top w:w="80" w:type="dxa"/>
              <w:start w:w="90" w:type="dxa"/>
              <w:bottom w:w="80" w:type="dxa"/>
              <w:end w:w="90" w:type="dxa"/>
            </w:tcMar>
          </w:tcPr>
          <w:p>
            <w:pPr>
              <w:spacing w:after="0"/>
            </w:pPr>
            <w:r>
              <w:rPr>
                <w:sz w:val="16"/>
              </w:rPr>
              <w:t>MercuryPipelineTests; WinForms and console round-trip demonstrations</w:t>
            </w:r>
          </w:p>
        </w:tc>
        <w:tc>
          <w:tcPr>
            <w:tcW w:type="dxa" w:w="1224"/>
            <w:vAlign w:val="top"/>
            <w:tcMar>
              <w:top w:w="80" w:type="dxa"/>
              <w:start w:w="90" w:type="dxa"/>
              <w:bottom w:w="80" w:type="dxa"/>
              <w:end w:w="90" w:type="dxa"/>
            </w:tcMar>
          </w:tcPr>
          <w:p>
            <w:pPr>
              <w:spacing w:after="0"/>
            </w:pPr>
            <w:r>
              <w:rPr>
                <w:sz w:val="16"/>
              </w:rPr>
              <w:t>Implemented</w:t>
            </w:r>
          </w:p>
        </w:tc>
      </w:tr>
      <w:tr>
        <w:trPr>
          <w:cantSplit/>
        </w:trPr>
        <w:tc>
          <w:tcPr>
            <w:tcW w:type="dxa" w:w="1440"/>
            <w:vAlign w:val="top"/>
            <w:tcMar>
              <w:top w:w="80" w:type="dxa"/>
              <w:start w:w="90" w:type="dxa"/>
              <w:bottom w:w="80" w:type="dxa"/>
              <w:end w:w="90" w:type="dxa"/>
            </w:tcMar>
          </w:tcPr>
          <w:p>
            <w:pPr>
              <w:spacing w:after="0"/>
            </w:pPr>
            <w:r>
              <w:rPr>
                <w:sz w:val="16"/>
              </w:rPr>
              <w:t>FR-003/FR-004/FR-010</w:t>
            </w:r>
          </w:p>
        </w:tc>
        <w:tc>
          <w:tcPr>
            <w:tcW w:type="dxa" w:w="3096"/>
            <w:vAlign w:val="top"/>
            <w:tcMar>
              <w:top w:w="80" w:type="dxa"/>
              <w:start w:w="90" w:type="dxa"/>
              <w:bottom w:w="80" w:type="dxa"/>
              <w:end w:w="90" w:type="dxa"/>
            </w:tcMar>
          </w:tcPr>
          <w:p>
            <w:pPr>
              <w:spacing w:after="0"/>
            </w:pPr>
            <w:r>
              <w:rPr>
                <w:sz w:val="16"/>
              </w:rPr>
              <w:t>AES-GCM and ChaCha20-Poly1305 providers; authenticated canonical envelope data</w:t>
            </w:r>
          </w:p>
        </w:tc>
        <w:tc>
          <w:tcPr>
            <w:tcW w:type="dxa" w:w="5184"/>
            <w:vAlign w:val="top"/>
            <w:tcMar>
              <w:top w:w="80" w:type="dxa"/>
              <w:start w:w="90" w:type="dxa"/>
              <w:bottom w:w="80" w:type="dxa"/>
              <w:end w:w="90" w:type="dxa"/>
            </w:tcMar>
          </w:tcPr>
          <w:p>
            <w:pPr>
              <w:spacing w:after="0"/>
            </w:pPr>
            <w:r>
              <w:rPr>
                <w:sz w:val="16"/>
              </w:rPr>
              <w:t>CryptoProviderContractTests; AuthenticatedEnvelopeTamperTests; tamper demo</w:t>
            </w:r>
          </w:p>
        </w:tc>
        <w:tc>
          <w:tcPr>
            <w:tcW w:type="dxa" w:w="1224"/>
            <w:vAlign w:val="top"/>
            <w:tcMar>
              <w:top w:w="80" w:type="dxa"/>
              <w:start w:w="90" w:type="dxa"/>
              <w:bottom w:w="80" w:type="dxa"/>
              <w:end w:w="90" w:type="dxa"/>
            </w:tcMar>
          </w:tcPr>
          <w:p>
            <w:pPr>
              <w:spacing w:after="0"/>
            </w:pPr>
            <w:r>
              <w:rPr>
                <w:sz w:val="16"/>
              </w:rPr>
              <w:t>Implemented</w:t>
            </w:r>
          </w:p>
        </w:tc>
      </w:tr>
      <w:tr>
        <w:trPr>
          <w:cantSplit/>
        </w:trPr>
        <w:tc>
          <w:tcPr>
            <w:tcW w:type="dxa" w:w="1440"/>
            <w:vAlign w:val="top"/>
            <w:tcMar>
              <w:top w:w="80" w:type="dxa"/>
              <w:start w:w="90" w:type="dxa"/>
              <w:bottom w:w="80" w:type="dxa"/>
              <w:end w:w="90" w:type="dxa"/>
            </w:tcMar>
          </w:tcPr>
          <w:p>
            <w:pPr>
              <w:spacing w:after="0"/>
            </w:pPr>
            <w:r>
              <w:rPr>
                <w:sz w:val="16"/>
              </w:rPr>
              <w:t>FR-005/FR-014</w:t>
            </w:r>
          </w:p>
        </w:tc>
        <w:tc>
          <w:tcPr>
            <w:tcW w:type="dxa" w:w="3096"/>
            <w:vAlign w:val="top"/>
            <w:tcMar>
              <w:top w:w="80" w:type="dxa"/>
              <w:start w:w="90" w:type="dxa"/>
              <w:bottom w:w="80" w:type="dxa"/>
              <w:end w:w="90" w:type="dxa"/>
            </w:tcMar>
          </w:tcPr>
          <w:p>
            <w:pPr>
              <w:spacing w:after="0"/>
            </w:pPr>
            <w:r>
              <w:rPr>
                <w:sz w:val="16"/>
              </w:rPr>
              <w:t>IReplayProtector and InMemoryReplayProtector</w:t>
            </w:r>
          </w:p>
        </w:tc>
        <w:tc>
          <w:tcPr>
            <w:tcW w:type="dxa" w:w="5184"/>
            <w:vAlign w:val="top"/>
            <w:tcMar>
              <w:top w:w="80" w:type="dxa"/>
              <w:start w:w="90" w:type="dxa"/>
              <w:bottom w:w="80" w:type="dxa"/>
              <w:end w:w="90" w:type="dxa"/>
            </w:tcMar>
          </w:tcPr>
          <w:p>
            <w:pPr>
              <w:spacing w:after="0"/>
            </w:pPr>
            <w:r>
              <w:rPr>
                <w:sz w:val="16"/>
              </w:rPr>
              <w:t>InMemoryReplayProtectorTests; replay pipeline tests; replay demo</w:t>
            </w:r>
          </w:p>
        </w:tc>
        <w:tc>
          <w:tcPr>
            <w:tcW w:type="dxa" w:w="1224"/>
            <w:vAlign w:val="top"/>
            <w:tcMar>
              <w:top w:w="80" w:type="dxa"/>
              <w:start w:w="90" w:type="dxa"/>
              <w:bottom w:w="80" w:type="dxa"/>
              <w:end w:w="90" w:type="dxa"/>
            </w:tcMar>
          </w:tcPr>
          <w:p>
            <w:pPr>
              <w:spacing w:after="0"/>
            </w:pPr>
            <w:r>
              <w:rPr>
                <w:sz w:val="16"/>
              </w:rPr>
              <w:t>Implemented</w:t>
            </w:r>
          </w:p>
        </w:tc>
      </w:tr>
      <w:tr>
        <w:trPr>
          <w:cantSplit/>
        </w:trPr>
        <w:tc>
          <w:tcPr>
            <w:tcW w:type="dxa" w:w="1440"/>
            <w:vAlign w:val="top"/>
            <w:tcMar>
              <w:top w:w="80" w:type="dxa"/>
              <w:start w:w="90" w:type="dxa"/>
              <w:bottom w:w="80" w:type="dxa"/>
              <w:end w:w="90" w:type="dxa"/>
            </w:tcMar>
          </w:tcPr>
          <w:p>
            <w:pPr>
              <w:spacing w:after="0"/>
            </w:pPr>
            <w:r>
              <w:rPr>
                <w:sz w:val="16"/>
              </w:rPr>
              <w:t>FR-006</w:t>
            </w:r>
          </w:p>
        </w:tc>
        <w:tc>
          <w:tcPr>
            <w:tcW w:type="dxa" w:w="3096"/>
            <w:vAlign w:val="top"/>
            <w:tcMar>
              <w:top w:w="80" w:type="dxa"/>
              <w:start w:w="90" w:type="dxa"/>
              <w:bottom w:w="80" w:type="dxa"/>
              <w:end w:w="90" w:type="dxa"/>
            </w:tcMar>
          </w:tcPr>
          <w:p>
            <w:pPr>
              <w:spacing w:after="0"/>
            </w:pPr>
            <w:r>
              <w:rPr>
                <w:sz w:val="16"/>
              </w:rPr>
              <w:t>Provider authentication failure with mismatched keys</w:t>
            </w:r>
          </w:p>
        </w:tc>
        <w:tc>
          <w:tcPr>
            <w:tcW w:type="dxa" w:w="5184"/>
            <w:vAlign w:val="top"/>
            <w:tcMar>
              <w:top w:w="80" w:type="dxa"/>
              <w:start w:w="90" w:type="dxa"/>
              <w:bottom w:w="80" w:type="dxa"/>
              <w:end w:w="90" w:type="dxa"/>
            </w:tcMar>
          </w:tcPr>
          <w:p>
            <w:pPr>
              <w:spacing w:after="0"/>
            </w:pPr>
            <w:r>
              <w:rPr>
                <w:sz w:val="16"/>
              </w:rPr>
              <w:t>Wrong-key provider and pipeline tests; wrong-key demo</w:t>
            </w:r>
          </w:p>
        </w:tc>
        <w:tc>
          <w:tcPr>
            <w:tcW w:type="dxa" w:w="1224"/>
            <w:vAlign w:val="top"/>
            <w:tcMar>
              <w:top w:w="80" w:type="dxa"/>
              <w:start w:w="90" w:type="dxa"/>
              <w:bottom w:w="80" w:type="dxa"/>
              <w:end w:w="90" w:type="dxa"/>
            </w:tcMar>
          </w:tcPr>
          <w:p>
            <w:pPr>
              <w:spacing w:after="0"/>
            </w:pPr>
            <w:r>
              <w:rPr>
                <w:sz w:val="16"/>
              </w:rPr>
              <w:t>Implemented</w:t>
            </w:r>
          </w:p>
        </w:tc>
      </w:tr>
      <w:tr>
        <w:trPr>
          <w:cantSplit/>
        </w:trPr>
        <w:tc>
          <w:tcPr>
            <w:tcW w:type="dxa" w:w="1440"/>
            <w:vAlign w:val="top"/>
            <w:tcMar>
              <w:top w:w="80" w:type="dxa"/>
              <w:start w:w="90" w:type="dxa"/>
              <w:bottom w:w="80" w:type="dxa"/>
              <w:end w:w="90" w:type="dxa"/>
            </w:tcMar>
          </w:tcPr>
          <w:p>
            <w:pPr>
              <w:spacing w:after="0"/>
            </w:pPr>
            <w:r>
              <w:rPr>
                <w:sz w:val="16"/>
              </w:rPr>
              <w:t>FR-007/FR-008/FR-009</w:t>
            </w:r>
          </w:p>
        </w:tc>
        <w:tc>
          <w:tcPr>
            <w:tcW w:type="dxa" w:w="3096"/>
            <w:vAlign w:val="top"/>
            <w:tcMar>
              <w:top w:w="80" w:type="dxa"/>
              <w:start w:w="90" w:type="dxa"/>
              <w:bottom w:w="80" w:type="dxa"/>
              <w:end w:w="90" w:type="dxa"/>
            </w:tcMar>
          </w:tcPr>
          <w:p>
            <w:pPr>
              <w:spacing w:after="0"/>
            </w:pPr>
            <w:r>
              <w:rPr>
                <w:sz w:val="16"/>
              </w:rPr>
              <w:t>ICryptoProvider, ITransport, and IEnvelopeCodec boundaries</w:t>
            </w:r>
          </w:p>
        </w:tc>
        <w:tc>
          <w:tcPr>
            <w:tcW w:type="dxa" w:w="5184"/>
            <w:vAlign w:val="top"/>
            <w:tcMar>
              <w:top w:w="80" w:type="dxa"/>
              <w:start w:w="90" w:type="dxa"/>
              <w:bottom w:w="80" w:type="dxa"/>
              <w:end w:w="90" w:type="dxa"/>
            </w:tcMar>
          </w:tcPr>
          <w:p>
            <w:pPr>
              <w:spacing w:after="0"/>
            </w:pPr>
            <w:r>
              <w:rPr>
                <w:sz w:val="16"/>
              </w:rPr>
              <w:t>Provider/codec matrix tests; in-memory, TCP, FileDrop, Binary, and JSON tests</w:t>
            </w:r>
          </w:p>
        </w:tc>
        <w:tc>
          <w:tcPr>
            <w:tcW w:type="dxa" w:w="1224"/>
            <w:vAlign w:val="top"/>
            <w:tcMar>
              <w:top w:w="80" w:type="dxa"/>
              <w:start w:w="90" w:type="dxa"/>
              <w:bottom w:w="80" w:type="dxa"/>
              <w:end w:w="90" w:type="dxa"/>
            </w:tcMar>
          </w:tcPr>
          <w:p>
            <w:pPr>
              <w:spacing w:after="0"/>
            </w:pPr>
            <w:r>
              <w:rPr>
                <w:sz w:val="16"/>
              </w:rPr>
              <w:t>Implemented</w:t>
            </w:r>
          </w:p>
        </w:tc>
      </w:tr>
      <w:tr>
        <w:trPr>
          <w:cantSplit/>
        </w:trPr>
        <w:tc>
          <w:tcPr>
            <w:tcW w:type="dxa" w:w="1440"/>
            <w:vAlign w:val="top"/>
            <w:tcMar>
              <w:top w:w="80" w:type="dxa"/>
              <w:start w:w="90" w:type="dxa"/>
              <w:bottom w:w="80" w:type="dxa"/>
              <w:end w:w="90" w:type="dxa"/>
            </w:tcMar>
          </w:tcPr>
          <w:p>
            <w:pPr>
              <w:spacing w:after="0"/>
            </w:pPr>
            <w:r>
              <w:rPr>
                <w:sz w:val="16"/>
              </w:rPr>
              <w:t>FR-011/FR-012</w:t>
            </w:r>
          </w:p>
        </w:tc>
        <w:tc>
          <w:tcPr>
            <w:tcW w:type="dxa" w:w="3096"/>
            <w:vAlign w:val="top"/>
            <w:tcMar>
              <w:top w:w="80" w:type="dxa"/>
              <w:start w:w="90" w:type="dxa"/>
              <w:bottom w:w="80" w:type="dxa"/>
              <w:end w:w="90" w:type="dxa"/>
            </w:tcMar>
          </w:tcPr>
          <w:p>
            <w:pPr>
              <w:spacing w:after="0"/>
            </w:pPr>
            <w:r>
              <w:rPr>
                <w:sz w:val="16"/>
              </w:rPr>
              <w:t>Metadata and ReadOnlyMemory payload contracts</w:t>
            </w:r>
          </w:p>
        </w:tc>
        <w:tc>
          <w:tcPr>
            <w:tcW w:type="dxa" w:w="5184"/>
            <w:vAlign w:val="top"/>
            <w:tcMar>
              <w:top w:w="80" w:type="dxa"/>
              <w:start w:w="90" w:type="dxa"/>
              <w:bottom w:w="80" w:type="dxa"/>
              <w:end w:w="90" w:type="dxa"/>
            </w:tcMar>
          </w:tcPr>
          <w:p>
            <w:pPr>
              <w:spacing w:after="0"/>
            </w:pPr>
            <w:r>
              <w:rPr>
                <w:sz w:val="16"/>
              </w:rPr>
              <w:t>Codec round-trip, metadata tamper, binary payload, large payload, and file scenarios</w:t>
            </w:r>
          </w:p>
        </w:tc>
        <w:tc>
          <w:tcPr>
            <w:tcW w:type="dxa" w:w="1224"/>
            <w:vAlign w:val="top"/>
            <w:tcMar>
              <w:top w:w="80" w:type="dxa"/>
              <w:start w:w="90" w:type="dxa"/>
              <w:bottom w:w="80" w:type="dxa"/>
              <w:end w:w="90" w:type="dxa"/>
            </w:tcMar>
          </w:tcPr>
          <w:p>
            <w:pPr>
              <w:spacing w:after="0"/>
            </w:pPr>
            <w:r>
              <w:rPr>
                <w:sz w:val="16"/>
              </w:rPr>
              <w:t>Implemented</w:t>
            </w:r>
          </w:p>
        </w:tc>
      </w:tr>
      <w:tr>
        <w:trPr>
          <w:cantSplit/>
        </w:trPr>
        <w:tc>
          <w:tcPr>
            <w:tcW w:type="dxa" w:w="1440"/>
            <w:vAlign w:val="top"/>
            <w:tcMar>
              <w:top w:w="80" w:type="dxa"/>
              <w:start w:w="90" w:type="dxa"/>
              <w:bottom w:w="80" w:type="dxa"/>
              <w:end w:w="90" w:type="dxa"/>
            </w:tcMar>
          </w:tcPr>
          <w:p>
            <w:pPr>
              <w:spacing w:after="0"/>
            </w:pPr>
            <w:r>
              <w:rPr>
                <w:sz w:val="16"/>
              </w:rPr>
              <w:t>FR-013</w:t>
            </w:r>
          </w:p>
        </w:tc>
        <w:tc>
          <w:tcPr>
            <w:tcW w:type="dxa" w:w="3096"/>
            <w:vAlign w:val="top"/>
            <w:tcMar>
              <w:top w:w="80" w:type="dxa"/>
              <w:start w:w="90" w:type="dxa"/>
              <w:bottom w:w="80" w:type="dxa"/>
              <w:end w:w="90" w:type="dxa"/>
            </w:tcMar>
          </w:tcPr>
          <w:p>
            <w:pPr>
              <w:spacing w:after="0"/>
            </w:pPr>
            <w:r>
              <w:rPr>
                <w:sz w:val="16"/>
              </w:rPr>
              <w:t>Explicit client KeyId validation</w:t>
            </w:r>
          </w:p>
        </w:tc>
        <w:tc>
          <w:tcPr>
            <w:tcW w:type="dxa" w:w="5184"/>
            <w:vAlign w:val="top"/>
            <w:tcMar>
              <w:top w:w="80" w:type="dxa"/>
              <w:start w:w="90" w:type="dxa"/>
              <w:bottom w:w="80" w:type="dxa"/>
              <w:end w:w="90" w:type="dxa"/>
            </w:tcMar>
          </w:tcPr>
          <w:p>
            <w:pPr>
              <w:spacing w:after="0"/>
            </w:pPr>
            <w:r>
              <w:rPr>
                <w:sz w:val="16"/>
              </w:rPr>
              <w:t>Recipient mismatch and pipeline failure tests</w:t>
            </w:r>
          </w:p>
        </w:tc>
        <w:tc>
          <w:tcPr>
            <w:tcW w:type="dxa" w:w="1224"/>
            <w:vAlign w:val="top"/>
            <w:tcMar>
              <w:top w:w="80" w:type="dxa"/>
              <w:start w:w="90" w:type="dxa"/>
              <w:bottom w:w="80" w:type="dxa"/>
              <w:end w:w="90" w:type="dxa"/>
            </w:tcMar>
          </w:tcPr>
          <w:p>
            <w:pPr>
              <w:spacing w:after="0"/>
            </w:pPr>
            <w:r>
              <w:rPr>
                <w:sz w:val="16"/>
              </w:rPr>
              <w:t>Implemented</w:t>
            </w:r>
          </w:p>
        </w:tc>
      </w:tr>
      <w:tr>
        <w:trPr>
          <w:cantSplit/>
        </w:trPr>
        <w:tc>
          <w:tcPr>
            <w:tcW w:type="dxa" w:w="1440"/>
            <w:vAlign w:val="top"/>
            <w:tcMar>
              <w:top w:w="80" w:type="dxa"/>
              <w:start w:w="90" w:type="dxa"/>
              <w:bottom w:w="80" w:type="dxa"/>
              <w:end w:w="90" w:type="dxa"/>
            </w:tcMar>
          </w:tcPr>
          <w:p>
            <w:pPr>
              <w:spacing w:after="0"/>
            </w:pPr>
            <w:r>
              <w:rPr>
                <w:sz w:val="16"/>
              </w:rPr>
              <w:t>FR-015</w:t>
            </w:r>
          </w:p>
        </w:tc>
        <w:tc>
          <w:tcPr>
            <w:tcW w:type="dxa" w:w="3096"/>
            <w:vAlign w:val="top"/>
            <w:tcMar>
              <w:top w:w="80" w:type="dxa"/>
              <w:start w:w="90" w:type="dxa"/>
              <w:bottom w:w="80" w:type="dxa"/>
              <w:end w:w="90" w:type="dxa"/>
            </w:tcMar>
          </w:tcPr>
          <w:p>
            <w:pPr>
              <w:spacing w:after="0"/>
            </w:pPr>
            <w:r>
              <w:rPr>
                <w:sz w:val="16"/>
              </w:rPr>
              <w:t>In-memory and TCP frame limits</w:t>
            </w:r>
          </w:p>
        </w:tc>
        <w:tc>
          <w:tcPr>
            <w:tcW w:type="dxa" w:w="5184"/>
            <w:vAlign w:val="top"/>
            <w:tcMar>
              <w:top w:w="80" w:type="dxa"/>
              <w:start w:w="90" w:type="dxa"/>
              <w:bottom w:w="80" w:type="dxa"/>
              <w:end w:w="90" w:type="dxa"/>
            </w:tcMar>
          </w:tcPr>
          <w:p>
            <w:pPr>
              <w:spacing w:after="0"/>
            </w:pPr>
            <w:r>
              <w:rPr>
                <w:sz w:val="16"/>
              </w:rPr>
              <w:t>Transport limit and oversized-frame tests</w:t>
            </w:r>
          </w:p>
        </w:tc>
        <w:tc>
          <w:tcPr>
            <w:tcW w:type="dxa" w:w="1224"/>
            <w:vAlign w:val="top"/>
            <w:tcMar>
              <w:top w:w="80" w:type="dxa"/>
              <w:start w:w="90" w:type="dxa"/>
              <w:bottom w:w="80" w:type="dxa"/>
              <w:end w:w="90" w:type="dxa"/>
            </w:tcMar>
          </w:tcPr>
          <w:p>
            <w:pPr>
              <w:spacing w:after="0"/>
            </w:pPr>
            <w:r>
              <w:rPr>
                <w:sz w:val="16"/>
              </w:rPr>
              <w:t>Implemented</w:t>
            </w:r>
          </w:p>
        </w:tc>
      </w:tr>
      <w:tr>
        <w:trPr>
          <w:cantSplit/>
        </w:trPr>
        <w:tc>
          <w:tcPr>
            <w:tcW w:type="dxa" w:w="1440"/>
            <w:vAlign w:val="top"/>
            <w:tcMar>
              <w:top w:w="80" w:type="dxa"/>
              <w:start w:w="90" w:type="dxa"/>
              <w:bottom w:w="80" w:type="dxa"/>
              <w:end w:w="90" w:type="dxa"/>
            </w:tcMar>
          </w:tcPr>
          <w:p>
            <w:pPr>
              <w:spacing w:after="0"/>
            </w:pPr>
            <w:r>
              <w:rPr>
                <w:sz w:val="16"/>
              </w:rPr>
              <w:t>FR-016</w:t>
            </w:r>
          </w:p>
        </w:tc>
        <w:tc>
          <w:tcPr>
            <w:tcW w:type="dxa" w:w="3096"/>
            <w:vAlign w:val="top"/>
            <w:tcMar>
              <w:top w:w="80" w:type="dxa"/>
              <w:start w:w="90" w:type="dxa"/>
              <w:bottom w:w="80" w:type="dxa"/>
              <w:end w:w="90" w:type="dxa"/>
            </w:tcMar>
          </w:tcPr>
          <w:p>
            <w:pPr>
              <w:spacing w:after="0"/>
            </w:pPr>
            <w:r>
              <w:rPr>
                <w:sz w:val="16"/>
              </w:rPr>
              <w:t>FailureReason and payload release controls</w:t>
            </w:r>
          </w:p>
        </w:tc>
        <w:tc>
          <w:tcPr>
            <w:tcW w:type="dxa" w:w="5184"/>
            <w:vAlign w:val="top"/>
            <w:tcMar>
              <w:top w:w="80" w:type="dxa"/>
              <w:start w:w="90" w:type="dxa"/>
              <w:bottom w:w="80" w:type="dxa"/>
              <w:end w:w="90" w:type="dxa"/>
            </w:tcMar>
          </w:tcPr>
          <w:p>
            <w:pPr>
              <w:spacing w:after="0"/>
            </w:pPr>
            <w:r>
              <w:rPr>
                <w:sz w:val="16"/>
              </w:rPr>
              <w:t>Decode, provider, transport, authentication, replay, and cancellation tests</w:t>
            </w:r>
          </w:p>
        </w:tc>
        <w:tc>
          <w:tcPr>
            <w:tcW w:type="dxa" w:w="1224"/>
            <w:vAlign w:val="top"/>
            <w:tcMar>
              <w:top w:w="80" w:type="dxa"/>
              <w:start w:w="90" w:type="dxa"/>
              <w:bottom w:w="80" w:type="dxa"/>
              <w:end w:w="90" w:type="dxa"/>
            </w:tcMar>
          </w:tcPr>
          <w:p>
            <w:pPr>
              <w:spacing w:after="0"/>
            </w:pPr>
            <w:r>
              <w:rPr>
                <w:sz w:val="16"/>
              </w:rPr>
              <w:t>Implemented</w:t>
            </w:r>
          </w:p>
        </w:tc>
      </w:tr>
      <w:tr>
        <w:trPr>
          <w:cantSplit/>
        </w:trPr>
        <w:tc>
          <w:tcPr>
            <w:tcW w:type="dxa" w:w="1440"/>
            <w:vAlign w:val="top"/>
            <w:tcMar>
              <w:top w:w="80" w:type="dxa"/>
              <w:start w:w="90" w:type="dxa"/>
              <w:bottom w:w="80" w:type="dxa"/>
              <w:end w:w="90" w:type="dxa"/>
            </w:tcMar>
          </w:tcPr>
          <w:p>
            <w:pPr>
              <w:spacing w:after="0"/>
            </w:pPr>
            <w:r>
              <w:rPr>
                <w:sz w:val="16"/>
              </w:rPr>
              <w:t>FR-017</w:t>
            </w:r>
          </w:p>
        </w:tc>
        <w:tc>
          <w:tcPr>
            <w:tcW w:type="dxa" w:w="3096"/>
            <w:vAlign w:val="top"/>
            <w:tcMar>
              <w:top w:w="80" w:type="dxa"/>
              <w:start w:w="90" w:type="dxa"/>
              <w:bottom w:w="80" w:type="dxa"/>
              <w:end w:w="90" w:type="dxa"/>
            </w:tcMar>
          </w:tcPr>
          <w:p>
            <w:pPr>
              <w:spacing w:after="0"/>
            </w:pPr>
            <w:r>
              <w:rPr>
                <w:sz w:val="16"/>
              </w:rPr>
              <w:t>Mercury.Demo.Console and Mercury.Demo.WinForms</w:t>
            </w:r>
          </w:p>
        </w:tc>
        <w:tc>
          <w:tcPr>
            <w:tcW w:type="dxa" w:w="5184"/>
            <w:vAlign w:val="top"/>
            <w:tcMar>
              <w:top w:w="80" w:type="dxa"/>
              <w:start w:w="90" w:type="dxa"/>
              <w:bottom w:w="80" w:type="dxa"/>
              <w:end w:w="90" w:type="dxa"/>
            </w:tcMar>
          </w:tcPr>
          <w:p>
            <w:pPr>
              <w:spacing w:after="0"/>
            </w:pPr>
            <w:r>
              <w:rPr>
                <w:sz w:val="16"/>
              </w:rPr>
              <w:t>Manual demo verification</w:t>
            </w:r>
          </w:p>
        </w:tc>
        <w:tc>
          <w:tcPr>
            <w:tcW w:type="dxa" w:w="1224"/>
            <w:vAlign w:val="top"/>
            <w:tcMar>
              <w:top w:w="80" w:type="dxa"/>
              <w:start w:w="90" w:type="dxa"/>
              <w:bottom w:w="80" w:type="dxa"/>
              <w:end w:w="90" w:type="dxa"/>
            </w:tcMar>
          </w:tcPr>
          <w:p>
            <w:pPr>
              <w:spacing w:after="0"/>
            </w:pPr>
            <w:r>
              <w:rPr>
                <w:sz w:val="16"/>
              </w:rPr>
              <w:t>Implemented</w:t>
            </w:r>
          </w:p>
        </w:tc>
      </w:tr>
      <w:tr>
        <w:trPr>
          <w:cantSplit/>
        </w:trPr>
        <w:tc>
          <w:tcPr>
            <w:tcW w:type="dxa" w:w="1440"/>
            <w:vAlign w:val="top"/>
            <w:tcMar>
              <w:top w:w="80" w:type="dxa"/>
              <w:start w:w="90" w:type="dxa"/>
              <w:bottom w:w="80" w:type="dxa"/>
              <w:end w:w="90" w:type="dxa"/>
            </w:tcMar>
          </w:tcPr>
          <w:p>
            <w:pPr>
              <w:spacing w:after="0"/>
            </w:pPr>
            <w:r>
              <w:rPr>
                <w:sz w:val="16"/>
              </w:rPr>
              <w:t>AES-CCM</w:t>
            </w:r>
          </w:p>
        </w:tc>
        <w:tc>
          <w:tcPr>
            <w:tcW w:type="dxa" w:w="3096"/>
            <w:vAlign w:val="top"/>
            <w:tcMar>
              <w:top w:w="80" w:type="dxa"/>
              <w:start w:w="90" w:type="dxa"/>
              <w:bottom w:w="80" w:type="dxa"/>
              <w:end w:w="90" w:type="dxa"/>
            </w:tcMar>
          </w:tcPr>
          <w:p>
            <w:pPr>
              <w:spacing w:after="0"/>
            </w:pPr>
            <w:r>
              <w:rPr>
                <w:sz w:val="16"/>
              </w:rPr>
              <w:t>Pending provider contribution</w:t>
            </w:r>
          </w:p>
        </w:tc>
        <w:tc>
          <w:tcPr>
            <w:tcW w:type="dxa" w:w="5184"/>
            <w:vAlign w:val="top"/>
            <w:tcMar>
              <w:top w:w="80" w:type="dxa"/>
              <w:start w:w="90" w:type="dxa"/>
              <w:bottom w:w="80" w:type="dxa"/>
              <w:end w:w="90" w:type="dxa"/>
            </w:tcMar>
          </w:tcPr>
          <w:p>
            <w:pPr>
              <w:spacing w:after="0"/>
            </w:pPr>
            <w:r>
              <w:rPr>
                <w:sz w:val="16"/>
              </w:rPr>
              <w:t>Two intentionally skipped tests</w:t>
            </w:r>
          </w:p>
        </w:tc>
        <w:tc>
          <w:tcPr>
            <w:tcW w:type="dxa" w:w="1224"/>
            <w:vAlign w:val="top"/>
            <w:tcMar>
              <w:top w:w="80" w:type="dxa"/>
              <w:start w:w="90" w:type="dxa"/>
              <w:bottom w:w="80" w:type="dxa"/>
              <w:end w:w="90" w:type="dxa"/>
            </w:tcMar>
          </w:tcPr>
          <w:p>
            <w:pPr>
              <w:spacing w:after="0"/>
            </w:pPr>
            <w:r>
              <w:rPr>
                <w:sz w:val="16"/>
              </w:rPr>
              <w:t>Pending</w:t>
            </w:r>
          </w:p>
        </w:tc>
      </w:tr>
    </w:tbl>
    <w:p>
      <w:pPr>
        <w:pStyle w:val="Heading1"/>
      </w:pPr>
      <w:r>
        <w:t>Acceptance Summary</w:t>
      </w:r>
    </w:p>
    <w:p>
      <w:r>
        <w:t>Mercury RC 1.2 satisfies the defined CSE499 scope when the solution builds, the full automated suite completes with zero failures, the completed providers and codecs pass their contract and pipeline tests, and the console and WinForms demonstrations show successful exchange, tamper rejection, replay rejection, and wrong-key failure. The latest recorded verification discovered 330 tests, passed 328, skipped the two pending AES-CCM tests, and reported zero failures.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CONFIDENTIAL ACADEMIC SUBMISSION - CSE499 review and grading only. | Copyright (C) 2026 Matthew D. Barker. All rights reserved.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Mercury |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Mercury RC 1.2 Requirements Document</dc:title>
  <dc:subject>CSE499 Senior Project - Mercury RC 1.2</dc:subject>
  <dc:creator>Matthew D. Barker</dc:creator>
  <cp:keywords>Mercury, CSE499, secure communications, authenticated encryption</cp:keywords>
  <cp:lastModifiedBy/>
  <cp:revision>1</cp:revision>
  <dcterms:created xsi:type="dcterms:W3CDTF">2013-12-23T23:15:00Z</dcterms:created>
  <dcterms:modified xsi:type="dcterms:W3CDTF">2013-12-23T23:15:00Z</dcterms:modified>
  <cp:category/>
</cp:coreProperties>
</file>