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C00000"/>
          <w:sz w:val="24"/>
        </w:rPr>
        <w:t>CONFIDENTIAL ACADEMIC SUBMISSION - CSE499 review and grading only.</w:t>
      </w:r>
    </w:p>
    <w:p>
      <w:pPr>
        <w:pStyle w:val="Title"/>
        <w:jc w:val="center"/>
      </w:pPr>
      <w:r>
        <w:t>Mercury Project</w:t>
      </w:r>
    </w:p>
    <w:p>
      <w:pPr>
        <w:pStyle w:val="Heading1"/>
        <w:jc w:val="center"/>
      </w:pPr>
      <w:r>
        <w:t>Threat Model</w:t>
      </w:r>
    </w:p>
    <w:p>
      <w:pPr>
        <w:jc w:val="center"/>
      </w:pPr>
      <w:r>
        <w:rPr>
          <w:i/>
          <w:sz w:val="24"/>
        </w:rPr>
        <w:t>Assets, trust boundaries, threats, mitigations, residual risk, and out-of-scope items.</w:t>
      </w:r>
    </w:p>
    <w:p/>
    <w:tbl>
      <w:tblPr>
        <w:tblStyle w:val="TableGrid"/>
        <w:tblW w:type="auto" w:w="0"/>
        <w:jc w:val="center"/>
        <w:tblLook w:firstColumn="1" w:firstRow="1" w:lastColumn="0" w:lastRow="0" w:noHBand="0" w:noVBand="1" w:val="04A0"/>
      </w:tblPr>
      <w:tblGrid>
        <w:gridCol w:w="5040"/>
        <w:gridCol w:w="5040"/>
      </w:tblGrid>
      <w:tr>
        <w:tc>
          <w:tcPr>
            <w:tcW w:type="dxa" w:w="5256"/>
            <w:shd w:fill="D9EAF7"/>
            <w:tcMar>
              <w:top w:w="70" w:type="dxa"/>
              <w:start w:w="90" w:type="dxa"/>
              <w:bottom w:w="70" w:type="dxa"/>
              <w:end w:w="90" w:type="dxa"/>
            </w:tcMar>
          </w:tcPr>
          <w:p>
            <w:pPr>
              <w:spacing w:after="0"/>
            </w:pPr>
            <w:r>
              <w:rPr>
                <w:b/>
                <w:sz w:val="20"/>
              </w:rPr>
              <w:t>Course</w:t>
            </w:r>
          </w:p>
        </w:tc>
        <w:tc>
          <w:tcPr>
            <w:tcW w:type="dxa" w:w="5256"/>
            <w:tcMar>
              <w:top w:w="70" w:type="dxa"/>
              <w:start w:w="90" w:type="dxa"/>
              <w:bottom w:w="70" w:type="dxa"/>
              <w:end w:w="90" w:type="dxa"/>
            </w:tcMar>
          </w:tcPr>
          <w:p>
            <w:pPr>
              <w:spacing w:after="0"/>
            </w:pPr>
            <w:r>
              <w:rPr>
                <w:sz w:val="20"/>
              </w:rPr>
              <w:t>CSE499 Senior Project</w:t>
            </w:r>
          </w:p>
        </w:tc>
      </w:tr>
      <w:tr>
        <w:tc>
          <w:tcPr>
            <w:tcW w:type="dxa" w:w="5256"/>
            <w:shd w:fill="D9EAF7"/>
            <w:tcMar>
              <w:top w:w="70" w:type="dxa"/>
              <w:start w:w="90" w:type="dxa"/>
              <w:bottom w:w="70" w:type="dxa"/>
              <w:end w:w="90" w:type="dxa"/>
            </w:tcMar>
          </w:tcPr>
          <w:p>
            <w:pPr>
              <w:spacing w:after="0"/>
            </w:pPr>
            <w:r>
              <w:rPr>
                <w:b/>
                <w:sz w:val="20"/>
              </w:rPr>
              <w:t>Author</w:t>
            </w:r>
          </w:p>
        </w:tc>
        <w:tc>
          <w:tcPr>
            <w:tcW w:type="dxa" w:w="5256"/>
            <w:tcMar>
              <w:top w:w="70" w:type="dxa"/>
              <w:start w:w="90" w:type="dxa"/>
              <w:bottom w:w="70" w:type="dxa"/>
              <w:end w:w="90" w:type="dxa"/>
            </w:tcMar>
          </w:tcPr>
          <w:p>
            <w:pPr>
              <w:spacing w:after="0"/>
            </w:pPr>
            <w:r>
              <w:rPr>
                <w:sz w:val="20"/>
              </w:rPr>
              <w:t>Matthew D. Barker</w:t>
            </w:r>
          </w:p>
        </w:tc>
      </w:tr>
      <w:tr>
        <w:tc>
          <w:tcPr>
            <w:tcW w:type="dxa" w:w="5256"/>
            <w:shd w:fill="D9EAF7"/>
            <w:tcMar>
              <w:top w:w="70" w:type="dxa"/>
              <w:start w:w="90" w:type="dxa"/>
              <w:bottom w:w="70" w:type="dxa"/>
              <w:end w:w="90" w:type="dxa"/>
            </w:tcMar>
          </w:tcPr>
          <w:p>
            <w:pPr>
              <w:spacing w:after="0"/>
            </w:pPr>
            <w:r>
              <w:rPr>
                <w:b/>
                <w:sz w:val="20"/>
              </w:rPr>
              <w:t>Version</w:t>
            </w:r>
          </w:p>
        </w:tc>
        <w:tc>
          <w:tcPr>
            <w:tcW w:type="dxa" w:w="5256"/>
            <w:tcMar>
              <w:top w:w="70" w:type="dxa"/>
              <w:start w:w="90" w:type="dxa"/>
              <w:bottom w:w="70" w:type="dxa"/>
              <w:end w:w="90" w:type="dxa"/>
            </w:tcMar>
          </w:tcPr>
          <w:p>
            <w:pPr>
              <w:spacing w:after="0"/>
            </w:pPr>
            <w:r>
              <w:rPr>
                <w:sz w:val="20"/>
              </w:rPr>
              <w:t>RC 1.2 (1.2.0-rc.1)</w:t>
            </w:r>
          </w:p>
        </w:tc>
      </w:tr>
      <w:tr>
        <w:tc>
          <w:tcPr>
            <w:tcW w:type="dxa" w:w="5256"/>
            <w:shd w:fill="D9EAF7"/>
            <w:tcMar>
              <w:top w:w="70" w:type="dxa"/>
              <w:start w:w="90" w:type="dxa"/>
              <w:bottom w:w="70" w:type="dxa"/>
              <w:end w:w="90" w:type="dxa"/>
            </w:tcMar>
          </w:tcPr>
          <w:p>
            <w:pPr>
              <w:spacing w:after="0"/>
            </w:pPr>
            <w:r>
              <w:rPr>
                <w:b/>
                <w:sz w:val="20"/>
              </w:rPr>
              <w:t>Date</w:t>
            </w:r>
          </w:p>
        </w:tc>
        <w:tc>
          <w:tcPr>
            <w:tcW w:type="dxa" w:w="5256"/>
            <w:tcMar>
              <w:top w:w="70" w:type="dxa"/>
              <w:start w:w="90" w:type="dxa"/>
              <w:bottom w:w="70" w:type="dxa"/>
              <w:end w:w="90" w:type="dxa"/>
            </w:tcMar>
          </w:tcPr>
          <w:p>
            <w:pPr>
              <w:spacing w:after="0"/>
            </w:pPr>
            <w:r>
              <w:rPr>
                <w:sz w:val="20"/>
              </w:rPr>
              <w:t>July 2026</w:t>
            </w:r>
          </w:p>
        </w:tc>
      </w:tr>
      <w:tr>
        <w:tc>
          <w:tcPr>
            <w:tcW w:type="dxa" w:w="5256"/>
            <w:shd w:fill="D9EAF7"/>
            <w:tcMar>
              <w:top w:w="70" w:type="dxa"/>
              <w:start w:w="90" w:type="dxa"/>
              <w:bottom w:w="70" w:type="dxa"/>
              <w:end w:w="90" w:type="dxa"/>
            </w:tcMar>
          </w:tcPr>
          <w:p>
            <w:pPr>
              <w:spacing w:after="0"/>
            </w:pPr>
            <w:r>
              <w:rPr>
                <w:b/>
                <w:sz w:val="20"/>
              </w:rPr>
              <w:t>Use</w:t>
            </w:r>
          </w:p>
        </w:tc>
        <w:tc>
          <w:tcPr>
            <w:tcW w:type="dxa" w:w="5256"/>
            <w:tcMar>
              <w:top w:w="70" w:type="dxa"/>
              <w:start w:w="90" w:type="dxa"/>
              <w:bottom w:w="70" w:type="dxa"/>
              <w:end w:w="90" w:type="dxa"/>
            </w:tcMar>
          </w:tcPr>
          <w:p>
            <w:pPr>
              <w:spacing w:after="0"/>
            </w:pPr>
            <w:r>
              <w:rPr>
                <w:sz w:val="20"/>
              </w:rPr>
              <w:t>Academic review and grading only</w:t>
            </w:r>
          </w:p>
        </w:tc>
      </w:tr>
    </w:tbl>
    <w:p/>
    <w:p>
      <w:pPr>
        <w:jc w:val="center"/>
      </w:pPr>
      <w:r>
        <w:rPr>
          <w:b/>
          <w:sz w:val="19"/>
        </w:rPr>
        <w:t>This document and related project materials may not be publicly posted, redistributed, showcased, or shared outside the course review process without prior written permission from the copyright owner.</w:t>
      </w:r>
    </w:p>
    <w:p>
      <w:r>
        <w:br w:type="page"/>
      </w:r>
    </w:p>
    <w:p>
      <w:pPr>
        <w:pStyle w:val="Heading1"/>
      </w:pPr>
      <w:r>
        <w:t>Document Purpose</w:t>
      </w:r>
    </w:p>
    <w:p>
      <w:r>
        <w:t>This document defines the threat model for Mercury RC 1.2. It identifies protected assets, trust boundaries, assumptions, attacker capabilities, threats, mitigations, residual risks, and intentionally out-of-scope concerns.</w:t>
      </w:r>
    </w:p>
    <w:p>
      <w:pPr>
        <w:pStyle w:val="Heading1"/>
      </w:pPr>
      <w:r>
        <w:t>Security Position</w:t>
      </w:r>
    </w:p>
    <w:p>
      <w:r>
        <w:t>Mercury assumes that transports may be untrusted. An attacker may observe, copy, modify, drop, delay, reorder, or replay frames. Mercury protects payloads before transport and releases plaintext only after structural validation, authenticated decryption, recipient validation, and replay protection succeed.</w:t>
      </w:r>
    </w:p>
    <w:p>
      <w:r>
        <w:t>Mercury does not claim that a transport is secure. The transport is treated as a delivery mechanism for protected frames.</w:t>
      </w:r>
    </w:p>
    <w:p>
      <w:pPr>
        <w:pStyle w:val="Heading1"/>
      </w:pPr>
      <w:r>
        <w:t>Assets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168"/>
            <w:shd w:fill="1F4E79"/>
            <w:vAlign w:val="center"/>
            <w:tcMar>
              <w:top w:w="80" w:type="dxa"/>
              <w:start w:w="90" w:type="dxa"/>
              <w:bottom w:w="80" w:type="dxa"/>
              <w:end w:w="90" w:type="dxa"/>
            </w:tcMar>
          </w:tcPr>
          <w:p>
            <w:pPr>
              <w:spacing w:after="0"/>
            </w:pPr>
            <w:r>
              <w:rPr>
                <w:b/>
                <w:color w:val="FFFFFF"/>
                <w:sz w:val="18"/>
              </w:rPr>
              <w:t>Asset</w:t>
            </w:r>
          </w:p>
        </w:tc>
        <w:tc>
          <w:tcPr>
            <w:tcW w:type="dxa" w:w="7344"/>
            <w:shd w:fill="1F4E79"/>
            <w:vAlign w:val="center"/>
            <w:tcMar>
              <w:top w:w="80" w:type="dxa"/>
              <w:start w:w="90" w:type="dxa"/>
              <w:bottom w:w="80" w:type="dxa"/>
              <w:end w:w="90" w:type="dxa"/>
            </w:tcMar>
          </w:tcPr>
          <w:p>
            <w:pPr>
              <w:spacing w:after="0"/>
            </w:pPr>
            <w:r>
              <w:rPr>
                <w:b/>
                <w:color w:val="FFFFFF"/>
                <w:sz w:val="18"/>
              </w:rPr>
              <w:t>Protection Goal</w:t>
            </w:r>
          </w:p>
        </w:tc>
      </w:tr>
      <w:tr>
        <w:trPr>
          <w:cantSplit/>
        </w:trPr>
        <w:tc>
          <w:tcPr>
            <w:tcW w:type="dxa" w:w="3168"/>
            <w:vAlign w:val="top"/>
            <w:tcMar>
              <w:top w:w="80" w:type="dxa"/>
              <w:start w:w="90" w:type="dxa"/>
              <w:bottom w:w="80" w:type="dxa"/>
              <w:end w:w="90" w:type="dxa"/>
            </w:tcMar>
          </w:tcPr>
          <w:p>
            <w:pPr>
              <w:spacing w:after="0"/>
            </w:pPr>
            <w:r>
              <w:rPr>
                <w:sz w:val="18"/>
              </w:rPr>
              <w:t>Payload contents</w:t>
            </w:r>
          </w:p>
        </w:tc>
        <w:tc>
          <w:tcPr>
            <w:tcW w:type="dxa" w:w="7344"/>
            <w:vAlign w:val="top"/>
            <w:tcMar>
              <w:top w:w="80" w:type="dxa"/>
              <w:start w:w="90" w:type="dxa"/>
              <w:bottom w:w="80" w:type="dxa"/>
              <w:end w:w="90" w:type="dxa"/>
            </w:tcMar>
          </w:tcPr>
          <w:p>
            <w:pPr>
              <w:spacing w:after="0"/>
            </w:pPr>
            <w:r>
              <w:rPr>
                <w:sz w:val="18"/>
              </w:rPr>
              <w:t>Prevent unauthorized reading while the payload is protected or in transit.</w:t>
            </w:r>
          </w:p>
        </w:tc>
      </w:tr>
      <w:tr>
        <w:trPr>
          <w:cantSplit/>
        </w:trPr>
        <w:tc>
          <w:tcPr>
            <w:tcW w:type="dxa" w:w="3168"/>
            <w:vAlign w:val="top"/>
            <w:tcMar>
              <w:top w:w="80" w:type="dxa"/>
              <w:start w:w="90" w:type="dxa"/>
              <w:bottom w:w="80" w:type="dxa"/>
              <w:end w:w="90" w:type="dxa"/>
            </w:tcMar>
          </w:tcPr>
          <w:p>
            <w:pPr>
              <w:spacing w:after="0"/>
            </w:pPr>
            <w:r>
              <w:rPr>
                <w:sz w:val="18"/>
              </w:rPr>
              <w:t>Payload integrity</w:t>
            </w:r>
          </w:p>
        </w:tc>
        <w:tc>
          <w:tcPr>
            <w:tcW w:type="dxa" w:w="7344"/>
            <w:vAlign w:val="top"/>
            <w:tcMar>
              <w:top w:w="80" w:type="dxa"/>
              <w:start w:w="90" w:type="dxa"/>
              <w:bottom w:w="80" w:type="dxa"/>
              <w:end w:w="90" w:type="dxa"/>
            </w:tcMar>
          </w:tcPr>
          <w:p>
            <w:pPr>
              <w:spacing w:after="0"/>
            </w:pPr>
            <w:r>
              <w:rPr>
                <w:sz w:val="18"/>
              </w:rPr>
              <w:t>Detect modification before plaintext is released.</w:t>
            </w:r>
          </w:p>
        </w:tc>
      </w:tr>
      <w:tr>
        <w:trPr>
          <w:cantSplit/>
        </w:trPr>
        <w:tc>
          <w:tcPr>
            <w:tcW w:type="dxa" w:w="3168"/>
            <w:vAlign w:val="top"/>
            <w:tcMar>
              <w:top w:w="80" w:type="dxa"/>
              <w:start w:w="90" w:type="dxa"/>
              <w:bottom w:w="80" w:type="dxa"/>
              <w:end w:w="90" w:type="dxa"/>
            </w:tcMar>
          </w:tcPr>
          <w:p>
            <w:pPr>
              <w:spacing w:after="0"/>
            </w:pPr>
            <w:r>
              <w:rPr>
                <w:sz w:val="18"/>
              </w:rPr>
              <w:t>Authenticated envelope context</w:t>
            </w:r>
          </w:p>
        </w:tc>
        <w:tc>
          <w:tcPr>
            <w:tcW w:type="dxa" w:w="7344"/>
            <w:vAlign w:val="top"/>
            <w:tcMar>
              <w:top w:w="80" w:type="dxa"/>
              <w:start w:w="90" w:type="dxa"/>
              <w:bottom w:w="80" w:type="dxa"/>
              <w:end w:w="90" w:type="dxa"/>
            </w:tcMar>
          </w:tcPr>
          <w:p>
            <w:pPr>
              <w:spacing w:after="0"/>
            </w:pPr>
            <w:r>
              <w:rPr>
                <w:sz w:val="18"/>
              </w:rPr>
              <w:t>Protect version, envelope ID, timestamp, sender, recipient, algorithms, replay token, and metadata from undetected modification.</w:t>
            </w:r>
          </w:p>
        </w:tc>
      </w:tr>
      <w:tr>
        <w:trPr>
          <w:cantSplit/>
        </w:trPr>
        <w:tc>
          <w:tcPr>
            <w:tcW w:type="dxa" w:w="3168"/>
            <w:vAlign w:val="top"/>
            <w:tcMar>
              <w:top w:w="80" w:type="dxa"/>
              <w:start w:w="90" w:type="dxa"/>
              <w:bottom w:w="80" w:type="dxa"/>
              <w:end w:w="90" w:type="dxa"/>
            </w:tcMar>
          </w:tcPr>
          <w:p>
            <w:pPr>
              <w:spacing w:after="0"/>
            </w:pPr>
            <w:r>
              <w:rPr>
                <w:sz w:val="18"/>
              </w:rPr>
              <w:t>Replay-token uniqueness</w:t>
            </w:r>
          </w:p>
        </w:tc>
        <w:tc>
          <w:tcPr>
            <w:tcW w:type="dxa" w:w="7344"/>
            <w:vAlign w:val="top"/>
            <w:tcMar>
              <w:top w:w="80" w:type="dxa"/>
              <w:start w:w="90" w:type="dxa"/>
              <w:bottom w:w="80" w:type="dxa"/>
              <w:end w:w="90" w:type="dxa"/>
            </w:tcMar>
          </w:tcPr>
          <w:p>
            <w:pPr>
              <w:spacing w:after="0"/>
            </w:pPr>
            <w:r>
              <w:rPr>
                <w:sz w:val="18"/>
              </w:rPr>
              <w:t>Reject duplicate sender and replay-token combinations within the configured replay window.</w:t>
            </w:r>
          </w:p>
        </w:tc>
      </w:tr>
      <w:tr>
        <w:trPr>
          <w:cantSplit/>
        </w:trPr>
        <w:tc>
          <w:tcPr>
            <w:tcW w:type="dxa" w:w="3168"/>
            <w:vAlign w:val="top"/>
            <w:tcMar>
              <w:top w:w="80" w:type="dxa"/>
              <w:start w:w="90" w:type="dxa"/>
              <w:bottom w:w="80" w:type="dxa"/>
              <w:end w:w="90" w:type="dxa"/>
            </w:tcMar>
          </w:tcPr>
          <w:p>
            <w:pPr>
              <w:spacing w:after="0"/>
            </w:pPr>
            <w:r>
              <w:rPr>
                <w:sz w:val="18"/>
              </w:rPr>
              <w:t>SecureEnvelope structure</w:t>
            </w:r>
          </w:p>
        </w:tc>
        <w:tc>
          <w:tcPr>
            <w:tcW w:type="dxa" w:w="7344"/>
            <w:vAlign w:val="top"/>
            <w:tcMar>
              <w:top w:w="80" w:type="dxa"/>
              <w:start w:w="90" w:type="dxa"/>
              <w:bottom w:w="80" w:type="dxa"/>
              <w:end w:w="90" w:type="dxa"/>
            </w:tcMar>
          </w:tcPr>
          <w:p>
            <w:pPr>
              <w:spacing w:after="0"/>
            </w:pPr>
            <w:r>
              <w:rPr>
                <w:sz w:val="18"/>
              </w:rPr>
              <w:t>Decode and validate protected frames without trusting malformed lengths, fields, or unsupported versions.</w:t>
            </w:r>
          </w:p>
        </w:tc>
      </w:tr>
      <w:tr>
        <w:trPr>
          <w:cantSplit/>
        </w:trPr>
        <w:tc>
          <w:tcPr>
            <w:tcW w:type="dxa" w:w="3168"/>
            <w:vAlign w:val="top"/>
            <w:tcMar>
              <w:top w:w="80" w:type="dxa"/>
              <w:start w:w="90" w:type="dxa"/>
              <w:bottom w:w="80" w:type="dxa"/>
              <w:end w:w="90" w:type="dxa"/>
            </w:tcMar>
          </w:tcPr>
          <w:p>
            <w:pPr>
              <w:spacing w:after="0"/>
            </w:pPr>
            <w:r>
              <w:rPr>
                <w:sz w:val="18"/>
              </w:rPr>
              <w:t>Key selection context</w:t>
            </w:r>
          </w:p>
        </w:tc>
        <w:tc>
          <w:tcPr>
            <w:tcW w:type="dxa" w:w="7344"/>
            <w:vAlign w:val="top"/>
            <w:tcMar>
              <w:top w:w="80" w:type="dxa"/>
              <w:start w:w="90" w:type="dxa"/>
              <w:bottom w:w="80" w:type="dxa"/>
              <w:end w:w="90" w:type="dxa"/>
            </w:tcMar>
          </w:tcPr>
          <w:p>
            <w:pPr>
              <w:spacing w:after="0"/>
            </w:pPr>
            <w:r>
              <w:rPr>
                <w:sz w:val="18"/>
              </w:rPr>
              <w:t>Resolve the intended symmetric key by exact, case-sensitive KeyId.</w:t>
            </w:r>
          </w:p>
        </w:tc>
      </w:tr>
      <w:tr>
        <w:trPr>
          <w:cantSplit/>
        </w:trPr>
        <w:tc>
          <w:tcPr>
            <w:tcW w:type="dxa" w:w="3168"/>
            <w:vAlign w:val="top"/>
            <w:tcMar>
              <w:top w:w="80" w:type="dxa"/>
              <w:start w:w="90" w:type="dxa"/>
              <w:bottom w:w="80" w:type="dxa"/>
              <w:end w:w="90" w:type="dxa"/>
            </w:tcMar>
          </w:tcPr>
          <w:p>
            <w:pPr>
              <w:spacing w:after="0"/>
            </w:pPr>
            <w:r>
              <w:rPr>
                <w:sz w:val="18"/>
              </w:rPr>
              <w:t>Plaintext release point</w:t>
            </w:r>
          </w:p>
        </w:tc>
        <w:tc>
          <w:tcPr>
            <w:tcW w:type="dxa" w:w="7344"/>
            <w:vAlign w:val="top"/>
            <w:tcMar>
              <w:top w:w="80" w:type="dxa"/>
              <w:start w:w="90" w:type="dxa"/>
              <w:bottom w:w="80" w:type="dxa"/>
              <w:end w:w="90" w:type="dxa"/>
            </w:tcMar>
          </w:tcPr>
          <w:p>
            <w:pPr>
              <w:spacing w:after="0"/>
            </w:pPr>
            <w:r>
              <w:rPr>
                <w:sz w:val="18"/>
              </w:rPr>
              <w:t>Ensure plaintext reaches the application only after all required security checks succeed.</w:t>
            </w:r>
          </w:p>
        </w:tc>
      </w:tr>
      <w:tr>
        <w:trPr>
          <w:cantSplit/>
        </w:trPr>
        <w:tc>
          <w:tcPr>
            <w:tcW w:type="dxa" w:w="3168"/>
            <w:vAlign w:val="top"/>
            <w:tcMar>
              <w:top w:w="80" w:type="dxa"/>
              <w:start w:w="90" w:type="dxa"/>
              <w:bottom w:w="80" w:type="dxa"/>
              <w:end w:w="90" w:type="dxa"/>
            </w:tcMar>
          </w:tcPr>
          <w:p>
            <w:pPr>
              <w:spacing w:after="0"/>
            </w:pPr>
            <w:r>
              <w:rPr>
                <w:sz w:val="18"/>
              </w:rPr>
              <w:t>Framework availability</w:t>
            </w:r>
          </w:p>
        </w:tc>
        <w:tc>
          <w:tcPr>
            <w:tcW w:type="dxa" w:w="7344"/>
            <w:vAlign w:val="top"/>
            <w:tcMar>
              <w:top w:w="80" w:type="dxa"/>
              <w:start w:w="90" w:type="dxa"/>
              <w:bottom w:w="80" w:type="dxa"/>
              <w:end w:w="90" w:type="dxa"/>
            </w:tcMar>
          </w:tcPr>
          <w:p>
            <w:pPr>
              <w:spacing w:after="0"/>
            </w:pPr>
            <w:r>
              <w:rPr>
                <w:sz w:val="18"/>
              </w:rPr>
              <w:t>Limit avoidable memory growth in replay storage and supported transports while recognizing that full DoS resistance is out of scope.</w:t>
            </w:r>
          </w:p>
        </w:tc>
      </w:tr>
    </w:tbl>
    <w:p>
      <w:pPr>
        <w:pStyle w:val="Heading1"/>
      </w:pPr>
      <w:r>
        <w:t>Trust Boundaries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232"/>
            <w:shd w:fill="1F4E79"/>
            <w:vAlign w:val="center"/>
            <w:tcMar>
              <w:top w:w="80" w:type="dxa"/>
              <w:start w:w="90" w:type="dxa"/>
              <w:bottom w:w="80" w:type="dxa"/>
              <w:end w:w="90" w:type="dxa"/>
            </w:tcMar>
          </w:tcPr>
          <w:p>
            <w:pPr>
              <w:spacing w:after="0"/>
            </w:pPr>
            <w:r>
              <w:rPr>
                <w:b/>
                <w:color w:val="FFFFFF"/>
                <w:sz w:val="16"/>
              </w:rPr>
              <w:t>Boundary</w:t>
            </w:r>
          </w:p>
        </w:tc>
        <w:tc>
          <w:tcPr>
            <w:tcW w:type="dxa" w:w="1800"/>
            <w:shd w:fill="1F4E79"/>
            <w:vAlign w:val="center"/>
            <w:tcMar>
              <w:top w:w="80" w:type="dxa"/>
              <w:start w:w="90" w:type="dxa"/>
              <w:bottom w:w="80" w:type="dxa"/>
              <w:end w:w="90" w:type="dxa"/>
            </w:tcMar>
          </w:tcPr>
          <w:p>
            <w:pPr>
              <w:spacing w:after="0"/>
            </w:pPr>
            <w:r>
              <w:rPr>
                <w:b/>
                <w:color w:val="FFFFFF"/>
                <w:sz w:val="16"/>
              </w:rPr>
              <w:t>Trust Position</w:t>
            </w:r>
          </w:p>
        </w:tc>
        <w:tc>
          <w:tcPr>
            <w:tcW w:type="dxa" w:w="6480"/>
            <w:shd w:fill="1F4E79"/>
            <w:vAlign w:val="center"/>
            <w:tcMar>
              <w:top w:w="80" w:type="dxa"/>
              <w:start w:w="90" w:type="dxa"/>
              <w:bottom w:w="80" w:type="dxa"/>
              <w:end w:w="90" w:type="dxa"/>
            </w:tcMar>
          </w:tcPr>
          <w:p>
            <w:pPr>
              <w:spacing w:after="0"/>
            </w:pPr>
            <w:r>
              <w:rPr>
                <w:b/>
                <w:color w:val="FFFFFF"/>
                <w:sz w:val="16"/>
              </w:rPr>
              <w:t>Notes</w:t>
            </w:r>
          </w:p>
        </w:tc>
      </w:tr>
      <w:tr>
        <w:trPr>
          <w:cantSplit/>
        </w:trPr>
        <w:tc>
          <w:tcPr>
            <w:tcW w:type="dxa" w:w="2232"/>
            <w:vAlign w:val="top"/>
            <w:tcMar>
              <w:top w:w="80" w:type="dxa"/>
              <w:start w:w="90" w:type="dxa"/>
              <w:bottom w:w="80" w:type="dxa"/>
              <w:end w:w="90" w:type="dxa"/>
            </w:tcMar>
          </w:tcPr>
          <w:p>
            <w:pPr>
              <w:spacing w:after="0"/>
            </w:pPr>
            <w:r>
              <w:rPr>
                <w:sz w:val="16"/>
              </w:rPr>
              <w:t>Application to Mercury</w:t>
            </w:r>
          </w:p>
        </w:tc>
        <w:tc>
          <w:tcPr>
            <w:tcW w:type="dxa" w:w="1800"/>
            <w:vAlign w:val="top"/>
            <w:tcMar>
              <w:top w:w="80" w:type="dxa"/>
              <w:start w:w="90" w:type="dxa"/>
              <w:bottom w:w="80" w:type="dxa"/>
              <w:end w:w="90" w:type="dxa"/>
            </w:tcMar>
          </w:tcPr>
          <w:p>
            <w:pPr>
              <w:spacing w:after="0"/>
            </w:pPr>
            <w:r>
              <w:rPr>
                <w:sz w:val="16"/>
              </w:rPr>
              <w:t>Partially trusted</w:t>
            </w:r>
          </w:p>
        </w:tc>
        <w:tc>
          <w:tcPr>
            <w:tcW w:type="dxa" w:w="6480"/>
            <w:vAlign w:val="top"/>
            <w:tcMar>
              <w:top w:w="80" w:type="dxa"/>
              <w:start w:w="90" w:type="dxa"/>
              <w:bottom w:w="80" w:type="dxa"/>
              <w:end w:w="90" w:type="dxa"/>
            </w:tcMar>
          </w:tcPr>
          <w:p>
            <w:pPr>
              <w:spacing w:after="0"/>
            </w:pPr>
            <w:r>
              <w:rPr>
                <w:sz w:val="16"/>
              </w:rPr>
              <w:t>The application provides payloads and context. Mercury validates caller input and returns controlled failures where possible.</w:t>
            </w:r>
          </w:p>
        </w:tc>
      </w:tr>
      <w:tr>
        <w:trPr>
          <w:cantSplit/>
        </w:trPr>
        <w:tc>
          <w:tcPr>
            <w:tcW w:type="dxa" w:w="2232"/>
            <w:vAlign w:val="top"/>
            <w:tcMar>
              <w:top w:w="80" w:type="dxa"/>
              <w:start w:w="90" w:type="dxa"/>
              <w:bottom w:w="80" w:type="dxa"/>
              <w:end w:w="90" w:type="dxa"/>
            </w:tcMar>
          </w:tcPr>
          <w:p>
            <w:pPr>
              <w:spacing w:after="0"/>
            </w:pPr>
            <w:r>
              <w:rPr>
                <w:sz w:val="16"/>
              </w:rPr>
              <w:t>Mercury Core</w:t>
            </w:r>
          </w:p>
        </w:tc>
        <w:tc>
          <w:tcPr>
            <w:tcW w:type="dxa" w:w="1800"/>
            <w:vAlign w:val="top"/>
            <w:tcMar>
              <w:top w:w="80" w:type="dxa"/>
              <w:start w:w="90" w:type="dxa"/>
              <w:bottom w:w="80" w:type="dxa"/>
              <w:end w:w="90" w:type="dxa"/>
            </w:tcMar>
          </w:tcPr>
          <w:p>
            <w:pPr>
              <w:spacing w:after="0"/>
            </w:pPr>
            <w:r>
              <w:rPr>
                <w:sz w:val="16"/>
              </w:rPr>
              <w:t>Trusted component</w:t>
            </w:r>
          </w:p>
        </w:tc>
        <w:tc>
          <w:tcPr>
            <w:tcW w:type="dxa" w:w="6480"/>
            <w:vAlign w:val="top"/>
            <w:tcMar>
              <w:top w:w="80" w:type="dxa"/>
              <w:start w:w="90" w:type="dxa"/>
              <w:bottom w:w="80" w:type="dxa"/>
              <w:end w:w="90" w:type="dxa"/>
            </w:tcMar>
          </w:tcPr>
          <w:p>
            <w:pPr>
              <w:spacing w:after="0"/>
            </w:pPr>
            <w:r>
              <w:rPr>
                <w:sz w:val="16"/>
              </w:rPr>
              <w:t>Coordinates provider, codec, transport, replay protection, logging, and plaintext release decisions.</w:t>
            </w:r>
          </w:p>
        </w:tc>
      </w:tr>
      <w:tr>
        <w:trPr>
          <w:cantSplit/>
        </w:trPr>
        <w:tc>
          <w:tcPr>
            <w:tcW w:type="dxa" w:w="2232"/>
            <w:vAlign w:val="top"/>
            <w:tcMar>
              <w:top w:w="80" w:type="dxa"/>
              <w:start w:w="90" w:type="dxa"/>
              <w:bottom w:w="80" w:type="dxa"/>
              <w:end w:w="90" w:type="dxa"/>
            </w:tcMar>
          </w:tcPr>
          <w:p>
            <w:pPr>
              <w:spacing w:after="0"/>
            </w:pPr>
            <w:r>
              <w:rPr>
                <w:sz w:val="16"/>
              </w:rPr>
              <w:t>Crypto provider</w:t>
            </w:r>
          </w:p>
        </w:tc>
        <w:tc>
          <w:tcPr>
            <w:tcW w:type="dxa" w:w="1800"/>
            <w:vAlign w:val="top"/>
            <w:tcMar>
              <w:top w:w="80" w:type="dxa"/>
              <w:start w:w="90" w:type="dxa"/>
              <w:bottom w:w="80" w:type="dxa"/>
              <w:end w:w="90" w:type="dxa"/>
            </w:tcMar>
          </w:tcPr>
          <w:p>
            <w:pPr>
              <w:spacing w:after="0"/>
            </w:pPr>
            <w:r>
              <w:rPr>
                <w:sz w:val="16"/>
              </w:rPr>
              <w:t>Trusted plugin</w:t>
            </w:r>
          </w:p>
        </w:tc>
        <w:tc>
          <w:tcPr>
            <w:tcW w:type="dxa" w:w="6480"/>
            <w:vAlign w:val="top"/>
            <w:tcMar>
              <w:top w:w="80" w:type="dxa"/>
              <w:start w:w="90" w:type="dxa"/>
              <w:bottom w:w="80" w:type="dxa"/>
              <w:end w:w="90" w:type="dxa"/>
            </w:tcMar>
          </w:tcPr>
          <w:p>
            <w:pPr>
              <w:spacing w:after="0"/>
            </w:pPr>
            <w:r>
              <w:rPr>
                <w:sz w:val="16"/>
              </w:rPr>
              <w:t>Performs authenticated encryption, validates canonical envelope data, and releases plaintext only after authentication.</w:t>
            </w:r>
          </w:p>
        </w:tc>
      </w:tr>
      <w:tr>
        <w:trPr>
          <w:cantSplit/>
        </w:trPr>
        <w:tc>
          <w:tcPr>
            <w:tcW w:type="dxa" w:w="2232"/>
            <w:vAlign w:val="top"/>
            <w:tcMar>
              <w:top w:w="80" w:type="dxa"/>
              <w:start w:w="90" w:type="dxa"/>
              <w:bottom w:w="80" w:type="dxa"/>
              <w:end w:w="90" w:type="dxa"/>
            </w:tcMar>
          </w:tcPr>
          <w:p>
            <w:pPr>
              <w:spacing w:after="0"/>
            </w:pPr>
            <w:r>
              <w:rPr>
                <w:sz w:val="16"/>
              </w:rPr>
              <w:t>Envelope codec</w:t>
            </w:r>
          </w:p>
        </w:tc>
        <w:tc>
          <w:tcPr>
            <w:tcW w:type="dxa" w:w="1800"/>
            <w:vAlign w:val="top"/>
            <w:tcMar>
              <w:top w:w="80" w:type="dxa"/>
              <w:start w:w="90" w:type="dxa"/>
              <w:bottom w:w="80" w:type="dxa"/>
              <w:end w:w="90" w:type="dxa"/>
            </w:tcMar>
          </w:tcPr>
          <w:p>
            <w:pPr>
              <w:spacing w:after="0"/>
            </w:pPr>
            <w:r>
              <w:rPr>
                <w:sz w:val="16"/>
              </w:rPr>
              <w:t>Untrusted-input parser</w:t>
            </w:r>
          </w:p>
        </w:tc>
        <w:tc>
          <w:tcPr>
            <w:tcW w:type="dxa" w:w="6480"/>
            <w:vAlign w:val="top"/>
            <w:tcMar>
              <w:top w:w="80" w:type="dxa"/>
              <w:start w:w="90" w:type="dxa"/>
              <w:bottom w:w="80" w:type="dxa"/>
              <w:end w:w="90" w:type="dxa"/>
            </w:tcMar>
          </w:tcPr>
          <w:p>
            <w:pPr>
              <w:spacing w:after="0"/>
            </w:pPr>
            <w:r>
              <w:rPr>
                <w:sz w:val="16"/>
              </w:rPr>
              <w:t>Serializes and deserializes SecureEnvelope values. It provides structural validation but not cryptographic authentication.</w:t>
            </w:r>
          </w:p>
        </w:tc>
      </w:tr>
      <w:tr>
        <w:trPr>
          <w:cantSplit/>
        </w:trPr>
        <w:tc>
          <w:tcPr>
            <w:tcW w:type="dxa" w:w="2232"/>
            <w:vAlign w:val="top"/>
            <w:tcMar>
              <w:top w:w="80" w:type="dxa"/>
              <w:start w:w="90" w:type="dxa"/>
              <w:bottom w:w="80" w:type="dxa"/>
              <w:end w:w="90" w:type="dxa"/>
            </w:tcMar>
          </w:tcPr>
          <w:p>
            <w:pPr>
              <w:spacing w:after="0"/>
            </w:pPr>
            <w:r>
              <w:rPr>
                <w:sz w:val="16"/>
              </w:rPr>
              <w:t>Transport</w:t>
            </w:r>
          </w:p>
        </w:tc>
        <w:tc>
          <w:tcPr>
            <w:tcW w:type="dxa" w:w="1800"/>
            <w:vAlign w:val="top"/>
            <w:tcMar>
              <w:top w:w="80" w:type="dxa"/>
              <w:start w:w="90" w:type="dxa"/>
              <w:bottom w:w="80" w:type="dxa"/>
              <w:end w:w="90" w:type="dxa"/>
            </w:tcMar>
          </w:tcPr>
          <w:p>
            <w:pPr>
              <w:spacing w:after="0"/>
            </w:pPr>
            <w:r>
              <w:rPr>
                <w:sz w:val="16"/>
              </w:rPr>
              <w:t>Untrusted</w:t>
            </w:r>
          </w:p>
        </w:tc>
        <w:tc>
          <w:tcPr>
            <w:tcW w:type="dxa" w:w="6480"/>
            <w:vAlign w:val="top"/>
            <w:tcMar>
              <w:top w:w="80" w:type="dxa"/>
              <w:start w:w="90" w:type="dxa"/>
              <w:bottom w:w="80" w:type="dxa"/>
              <w:end w:w="90" w:type="dxa"/>
            </w:tcMar>
          </w:tcPr>
          <w:p>
            <w:pPr>
              <w:spacing w:after="0"/>
            </w:pPr>
            <w:r>
              <w:rPr>
                <w:sz w:val="16"/>
              </w:rPr>
              <w:t>Moves complete protected frames and provides no required confidentiality, integrity, authentication, or replay protection.</w:t>
            </w:r>
          </w:p>
        </w:tc>
      </w:tr>
      <w:tr>
        <w:trPr>
          <w:cantSplit/>
        </w:trPr>
        <w:tc>
          <w:tcPr>
            <w:tcW w:type="dxa" w:w="2232"/>
            <w:vAlign w:val="top"/>
            <w:tcMar>
              <w:top w:w="80" w:type="dxa"/>
              <w:start w:w="90" w:type="dxa"/>
              <w:bottom w:w="80" w:type="dxa"/>
              <w:end w:w="90" w:type="dxa"/>
            </w:tcMar>
          </w:tcPr>
          <w:p>
            <w:pPr>
              <w:spacing w:after="0"/>
            </w:pPr>
            <w:r>
              <w:rPr>
                <w:sz w:val="16"/>
              </w:rPr>
              <w:t>Key provider</w:t>
            </w:r>
          </w:p>
        </w:tc>
        <w:tc>
          <w:tcPr>
            <w:tcW w:type="dxa" w:w="1800"/>
            <w:vAlign w:val="top"/>
            <w:tcMar>
              <w:top w:w="80" w:type="dxa"/>
              <w:start w:w="90" w:type="dxa"/>
              <w:bottom w:w="80" w:type="dxa"/>
              <w:end w:w="90" w:type="dxa"/>
            </w:tcMar>
          </w:tcPr>
          <w:p>
            <w:pPr>
              <w:spacing w:after="0"/>
            </w:pPr>
            <w:r>
              <w:rPr>
                <w:sz w:val="16"/>
              </w:rPr>
              <w:t>Trusted assumption</w:t>
            </w:r>
          </w:p>
        </w:tc>
        <w:tc>
          <w:tcPr>
            <w:tcW w:type="dxa" w:w="6480"/>
            <w:vAlign w:val="top"/>
            <w:tcMar>
              <w:top w:w="80" w:type="dxa"/>
              <w:start w:w="90" w:type="dxa"/>
              <w:bottom w:w="80" w:type="dxa"/>
              <w:end w:w="90" w:type="dxa"/>
            </w:tcMar>
          </w:tcPr>
          <w:p>
            <w:pPr>
              <w:spacing w:after="0"/>
            </w:pPr>
            <w:r>
              <w:rPr>
                <w:sz w:val="16"/>
              </w:rPr>
              <w:t>Supplies key material by KeyId. Long-term provisioning, rotation, and secure storage remain outside RC 1.2.</w:t>
            </w:r>
          </w:p>
        </w:tc>
      </w:tr>
      <w:tr>
        <w:trPr>
          <w:cantSplit/>
        </w:trPr>
        <w:tc>
          <w:tcPr>
            <w:tcW w:type="dxa" w:w="2232"/>
            <w:vAlign w:val="top"/>
            <w:tcMar>
              <w:top w:w="80" w:type="dxa"/>
              <w:start w:w="90" w:type="dxa"/>
              <w:bottom w:w="80" w:type="dxa"/>
              <w:end w:w="90" w:type="dxa"/>
            </w:tcMar>
          </w:tcPr>
          <w:p>
            <w:pPr>
              <w:spacing w:after="0"/>
            </w:pPr>
            <w:r>
              <w:rPr>
                <w:sz w:val="16"/>
              </w:rPr>
              <w:t>Replay protector</w:t>
            </w:r>
          </w:p>
        </w:tc>
        <w:tc>
          <w:tcPr>
            <w:tcW w:type="dxa" w:w="1800"/>
            <w:vAlign w:val="top"/>
            <w:tcMar>
              <w:top w:w="80" w:type="dxa"/>
              <w:start w:w="90" w:type="dxa"/>
              <w:bottom w:w="80" w:type="dxa"/>
              <w:end w:w="90" w:type="dxa"/>
            </w:tcMar>
          </w:tcPr>
          <w:p>
            <w:pPr>
              <w:spacing w:after="0"/>
            </w:pPr>
            <w:r>
              <w:rPr>
                <w:sz w:val="16"/>
              </w:rPr>
              <w:t>Trusted component</w:t>
            </w:r>
          </w:p>
        </w:tc>
        <w:tc>
          <w:tcPr>
            <w:tcW w:type="dxa" w:w="6480"/>
            <w:vAlign w:val="top"/>
            <w:tcMar>
              <w:top w:w="80" w:type="dxa"/>
              <w:start w:w="90" w:type="dxa"/>
              <w:bottom w:w="80" w:type="dxa"/>
              <w:end w:w="90" w:type="dxa"/>
            </w:tcMar>
          </w:tcPr>
          <w:p>
            <w:pPr>
              <w:spacing w:after="0"/>
            </w:pPr>
            <w:r>
              <w:rPr>
                <w:sz w:val="16"/>
              </w:rPr>
              <w:t>Tracks accepted sender/token combinations using bounded process-local state.</w:t>
            </w:r>
          </w:p>
        </w:tc>
      </w:tr>
      <w:tr>
        <w:trPr>
          <w:cantSplit/>
        </w:trPr>
        <w:tc>
          <w:tcPr>
            <w:tcW w:type="dxa" w:w="2232"/>
            <w:vAlign w:val="top"/>
            <w:tcMar>
              <w:top w:w="80" w:type="dxa"/>
              <w:start w:w="90" w:type="dxa"/>
              <w:bottom w:w="80" w:type="dxa"/>
              <w:end w:w="90" w:type="dxa"/>
            </w:tcMar>
          </w:tcPr>
          <w:p>
            <w:pPr>
              <w:spacing w:after="0"/>
            </w:pPr>
            <w:r>
              <w:rPr>
                <w:sz w:val="16"/>
              </w:rPr>
              <w:t>Demo UI and attack simulator</w:t>
            </w:r>
          </w:p>
        </w:tc>
        <w:tc>
          <w:tcPr>
            <w:tcW w:type="dxa" w:w="1800"/>
            <w:vAlign w:val="top"/>
            <w:tcMar>
              <w:top w:w="80" w:type="dxa"/>
              <w:start w:w="90" w:type="dxa"/>
              <w:bottom w:w="80" w:type="dxa"/>
              <w:end w:w="90" w:type="dxa"/>
            </w:tcMar>
          </w:tcPr>
          <w:p>
            <w:pPr>
              <w:spacing w:after="0"/>
            </w:pPr>
            <w:r>
              <w:rPr>
                <w:sz w:val="16"/>
              </w:rPr>
              <w:t>Demonstration only</w:t>
            </w:r>
          </w:p>
        </w:tc>
        <w:tc>
          <w:tcPr>
            <w:tcW w:type="dxa" w:w="6480"/>
            <w:vAlign w:val="top"/>
            <w:tcMar>
              <w:top w:w="80" w:type="dxa"/>
              <w:start w:w="90" w:type="dxa"/>
              <w:bottom w:w="80" w:type="dxa"/>
              <w:end w:w="90" w:type="dxa"/>
            </w:tcMar>
          </w:tcPr>
          <w:p>
            <w:pPr>
              <w:spacing w:after="0"/>
            </w:pPr>
            <w:r>
              <w:rPr>
                <w:sz w:val="16"/>
              </w:rPr>
              <w:t>Shows behavior and controlled attacks; it is not a production enforcement boundary.</w:t>
            </w:r>
          </w:p>
        </w:tc>
      </w:tr>
    </w:tbl>
    <w:p>
      <w:pPr>
        <w:pStyle w:val="Heading1"/>
      </w:pPr>
      <w:r>
        <w:t>Assumptions</w:t>
      </w:r>
    </w:p>
    <w:p>
      <w:pPr>
        <w:pStyle w:val="ListNumber"/>
      </w:pPr>
      <w:r>
        <w:t>The .NET AES-GCM and ChaCha20-Poly1305 implementations operate correctly.</w:t>
      </w:r>
    </w:p>
    <w:p>
      <w:pPr>
        <w:pStyle w:val="ListNumber"/>
      </w:pPr>
      <w:r>
        <w:t>Keys are generated with sufficient entropy, provisioned correctly, and protected outside Mercury.</w:t>
      </w:r>
    </w:p>
    <w:p>
      <w:pPr>
        <w:pStyle w:val="ListNumber"/>
      </w:pPr>
      <w:r>
        <w:t>Attackers do not possess valid secret key material.</w:t>
      </w:r>
    </w:p>
    <w:p>
      <w:pPr>
        <w:pStyle w:val="ListNumber"/>
      </w:pPr>
      <w:r>
        <w:t>The application checks receive success before using returned payload data.</w:t>
      </w:r>
    </w:p>
    <w:p>
      <w:pPr>
        <w:pStyle w:val="ListNumber"/>
      </w:pPr>
      <w:r>
        <w:t>Replay state remains available for the lifetime of the receiving context.</w:t>
      </w:r>
    </w:p>
    <w:p>
      <w:pPr>
        <w:pStyle w:val="ListNumber"/>
      </w:pPr>
      <w:r>
        <w:t>The operating system, .NET runtime, trusted process memory, and build environment are not compromised.</w:t>
      </w:r>
    </w:p>
    <w:p>
      <w:pPr>
        <w:pStyle w:val="ListNumber"/>
      </w:pPr>
      <w:r>
        <w:t>Mercury clients use consistent sender and recipient KeyId values.</w:t>
      </w:r>
    </w:p>
    <w:p>
      <w:pPr>
        <w:pStyle w:val="ListNumber"/>
      </w:pPr>
      <w:r>
        <w:t>The selected provider, codec, and transport are configured consistently on communicating endpoints.</w:t>
      </w:r>
    </w:p>
    <w:p>
      <w:pPr>
        <w:pStyle w:val="Heading1"/>
      </w:pPr>
      <w:r>
        <w:t>Attacker Capabilities</w:t>
      </w:r>
    </w:p>
    <w:p>
      <w:pPr>
        <w:pStyle w:val="ListBullet"/>
      </w:pPr>
      <w:r>
        <w:t>Observe protected frames in transit.</w:t>
      </w:r>
    </w:p>
    <w:p>
      <w:pPr>
        <w:pStyle w:val="ListBullet"/>
      </w:pPr>
      <w:r>
        <w:t>Capture and replay previously valid protected frames.</w:t>
      </w:r>
    </w:p>
    <w:p>
      <w:pPr>
        <w:pStyle w:val="ListBullet"/>
      </w:pPr>
      <w:r>
        <w:t>Modify ciphertext, authentication data, or encoded frame bytes.</w:t>
      </w:r>
    </w:p>
    <w:p>
      <w:pPr>
        <w:pStyle w:val="ListBullet"/>
      </w:pPr>
      <w:r>
        <w:t>Modify authenticated header or footer fields while preserving a structurally valid envelope.</w:t>
      </w:r>
    </w:p>
    <w:p>
      <w:pPr>
        <w:pStyle w:val="ListBullet"/>
      </w:pPr>
      <w:r>
        <w:t>Send malformed, truncated, oversized, or wrong-codec frames.</w:t>
      </w:r>
    </w:p>
    <w:p>
      <w:pPr>
        <w:pStyle w:val="ListBullet"/>
      </w:pPr>
      <w:r>
        <w:t>Attempt decryption with incorrect keys or altered recipient identifiers.</w:t>
      </w:r>
    </w:p>
    <w:p>
      <w:pPr>
        <w:pStyle w:val="ListBullet"/>
      </w:pPr>
      <w:r>
        <w:t>Drop, delay, duplicate, or reorder frames.</w:t>
      </w:r>
    </w:p>
    <w:p>
      <w:pPr>
        <w:pStyle w:val="ListBullet"/>
      </w:pPr>
      <w:r>
        <w:t>Send many unique replay tokens to pressure replay storage.</w:t>
      </w:r>
    </w:p>
    <w:p>
      <w:pPr>
        <w:pStyle w:val="ListBullet"/>
      </w:pPr>
      <w:r>
        <w:t>Attempt to trigger unsafe exception and failure paths.</w:t>
      </w:r>
    </w:p>
    <w:p>
      <w:pPr>
        <w:pStyle w:val="Heading1"/>
      </w:pPr>
      <w:r>
        <w:t>Attacker Limitations</w:t>
      </w:r>
    </w:p>
    <w:p>
      <w:pPr>
        <w:pStyle w:val="ListBullet"/>
      </w:pPr>
      <w:r>
        <w:t>Cannot break the selected authenticated-encryption algorithm.</w:t>
      </w:r>
    </w:p>
    <w:p>
      <w:pPr>
        <w:pStyle w:val="ListBullet"/>
      </w:pPr>
      <w:r>
        <w:t>Cannot access valid secret key material.</w:t>
      </w:r>
    </w:p>
    <w:p>
      <w:pPr>
        <w:pStyle w:val="ListBullet"/>
      </w:pPr>
      <w:r>
        <w:t>Cannot modify trusted application memory or Mercury code after deployment.</w:t>
      </w:r>
    </w:p>
    <w:p>
      <w:pPr>
        <w:pStyle w:val="ListBullet"/>
      </w:pPr>
      <w:r>
        <w:t>Cannot compromise the operating system or .NET runtime.</w:t>
      </w:r>
    </w:p>
    <w:p>
      <w:pPr>
        <w:pStyle w:val="ListBullet"/>
      </w:pPr>
      <w:r>
        <w:t>Cannot defeat every possible side-channel or traffic-analysis technique.</w:t>
      </w:r>
    </w:p>
    <w:p>
      <w:pPr>
        <w:pStyle w:val="Heading1"/>
      </w:pPr>
      <w:r>
        <w:t>Threats and Mitigations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792"/>
            <w:shd w:fill="1F4E79"/>
            <w:vAlign w:val="center"/>
            <w:tcMar>
              <w:top w:w="80" w:type="dxa"/>
              <w:start w:w="90" w:type="dxa"/>
              <w:bottom w:w="80" w:type="dxa"/>
              <w:end w:w="90" w:type="dxa"/>
            </w:tcMar>
          </w:tcPr>
          <w:p>
            <w:pPr>
              <w:spacing w:after="0"/>
            </w:pPr>
            <w:r>
              <w:rPr>
                <w:b/>
                <w:color w:val="FFFFFF"/>
                <w:sz w:val="14"/>
              </w:rPr>
              <w:t>ID</w:t>
            </w:r>
          </w:p>
        </w:tc>
        <w:tc>
          <w:tcPr>
            <w:tcW w:type="dxa" w:w="1656"/>
            <w:shd w:fill="1F4E79"/>
            <w:vAlign w:val="center"/>
            <w:tcMar>
              <w:top w:w="80" w:type="dxa"/>
              <w:start w:w="90" w:type="dxa"/>
              <w:bottom w:w="80" w:type="dxa"/>
              <w:end w:w="90" w:type="dxa"/>
            </w:tcMar>
          </w:tcPr>
          <w:p>
            <w:pPr>
              <w:spacing w:after="0"/>
            </w:pPr>
            <w:r>
              <w:rPr>
                <w:b/>
                <w:color w:val="FFFFFF"/>
                <w:sz w:val="14"/>
              </w:rPr>
              <w:t>Threat</w:t>
            </w:r>
          </w:p>
        </w:tc>
        <w:tc>
          <w:tcPr>
            <w:tcW w:type="dxa" w:w="2376"/>
            <w:shd w:fill="1F4E79"/>
            <w:vAlign w:val="center"/>
            <w:tcMar>
              <w:top w:w="80" w:type="dxa"/>
              <w:start w:w="90" w:type="dxa"/>
              <w:bottom w:w="80" w:type="dxa"/>
              <w:end w:w="90" w:type="dxa"/>
            </w:tcMar>
          </w:tcPr>
          <w:p>
            <w:pPr>
              <w:spacing w:after="0"/>
            </w:pPr>
            <w:r>
              <w:rPr>
                <w:b/>
                <w:color w:val="FFFFFF"/>
                <w:sz w:val="14"/>
              </w:rPr>
              <w:t>Attack</w:t>
            </w:r>
          </w:p>
        </w:tc>
        <w:tc>
          <w:tcPr>
            <w:tcW w:type="dxa" w:w="3816"/>
            <w:shd w:fill="1F4E79"/>
            <w:vAlign w:val="center"/>
            <w:tcMar>
              <w:top w:w="80" w:type="dxa"/>
              <w:start w:w="90" w:type="dxa"/>
              <w:bottom w:w="80" w:type="dxa"/>
              <w:end w:w="90" w:type="dxa"/>
            </w:tcMar>
          </w:tcPr>
          <w:p>
            <w:pPr>
              <w:spacing w:after="0"/>
            </w:pPr>
            <w:r>
              <w:rPr>
                <w:b/>
                <w:color w:val="FFFFFF"/>
                <w:sz w:val="14"/>
              </w:rPr>
              <w:t>Current Mitigation</w:t>
            </w:r>
          </w:p>
        </w:tc>
        <w:tc>
          <w:tcPr>
            <w:tcW w:type="dxa" w:w="2016"/>
            <w:shd w:fill="1F4E79"/>
            <w:vAlign w:val="center"/>
            <w:tcMar>
              <w:top w:w="80" w:type="dxa"/>
              <w:start w:w="90" w:type="dxa"/>
              <w:bottom w:w="80" w:type="dxa"/>
              <w:end w:w="90" w:type="dxa"/>
            </w:tcMar>
          </w:tcPr>
          <w:p>
            <w:pPr>
              <w:spacing w:after="0"/>
            </w:pPr>
            <w:r>
              <w:rPr>
                <w:b/>
                <w:color w:val="FFFFFF"/>
                <w:sz w:val="14"/>
              </w:rPr>
              <w:t>Residual Risk</w:t>
            </w:r>
          </w:p>
        </w:tc>
      </w:tr>
      <w:tr>
        <w:trPr>
          <w:cantSplit/>
        </w:trPr>
        <w:tc>
          <w:tcPr>
            <w:tcW w:type="dxa" w:w="792"/>
            <w:vAlign w:val="top"/>
            <w:tcMar>
              <w:top w:w="80" w:type="dxa"/>
              <w:start w:w="90" w:type="dxa"/>
              <w:bottom w:w="80" w:type="dxa"/>
              <w:end w:w="90" w:type="dxa"/>
            </w:tcMar>
          </w:tcPr>
          <w:p>
            <w:pPr>
              <w:spacing w:after="0"/>
            </w:pPr>
            <w:r>
              <w:rPr>
                <w:sz w:val="14"/>
              </w:rPr>
              <w:t>T-001</w:t>
            </w:r>
          </w:p>
        </w:tc>
        <w:tc>
          <w:tcPr>
            <w:tcW w:type="dxa" w:w="1656"/>
            <w:vAlign w:val="top"/>
            <w:tcMar>
              <w:top w:w="80" w:type="dxa"/>
              <w:start w:w="90" w:type="dxa"/>
              <w:bottom w:w="80" w:type="dxa"/>
              <w:end w:w="90" w:type="dxa"/>
            </w:tcMar>
          </w:tcPr>
          <w:p>
            <w:pPr>
              <w:spacing w:after="0"/>
            </w:pPr>
            <w:r>
              <w:rPr>
                <w:sz w:val="14"/>
              </w:rPr>
              <w:t>Eavesdropping</w:t>
            </w:r>
          </w:p>
        </w:tc>
        <w:tc>
          <w:tcPr>
            <w:tcW w:type="dxa" w:w="2376"/>
            <w:vAlign w:val="top"/>
            <w:tcMar>
              <w:top w:w="80" w:type="dxa"/>
              <w:start w:w="90" w:type="dxa"/>
              <w:bottom w:w="80" w:type="dxa"/>
              <w:end w:w="90" w:type="dxa"/>
            </w:tcMar>
          </w:tcPr>
          <w:p>
            <w:pPr>
              <w:spacing w:after="0"/>
            </w:pPr>
            <w:r>
              <w:rPr>
                <w:sz w:val="14"/>
              </w:rPr>
              <w:t>Attacker observes protected frames.</w:t>
            </w:r>
          </w:p>
        </w:tc>
        <w:tc>
          <w:tcPr>
            <w:tcW w:type="dxa" w:w="3816"/>
            <w:vAlign w:val="top"/>
            <w:tcMar>
              <w:top w:w="80" w:type="dxa"/>
              <w:start w:w="90" w:type="dxa"/>
              <w:bottom w:w="80" w:type="dxa"/>
              <w:end w:w="90" w:type="dxa"/>
            </w:tcMar>
          </w:tcPr>
          <w:p>
            <w:pPr>
              <w:spacing w:after="0"/>
            </w:pPr>
            <w:r>
              <w:rPr>
                <w:sz w:val="14"/>
              </w:rPr>
              <w:t>AES-GCM or ChaCha20-Poly1305 encrypts payload contents before transport.</w:t>
            </w:r>
          </w:p>
        </w:tc>
        <w:tc>
          <w:tcPr>
            <w:tcW w:type="dxa" w:w="2016"/>
            <w:vAlign w:val="top"/>
            <w:tcMar>
              <w:top w:w="80" w:type="dxa"/>
              <w:start w:w="90" w:type="dxa"/>
              <w:bottom w:w="80" w:type="dxa"/>
              <w:end w:w="90" w:type="dxa"/>
            </w:tcMar>
          </w:tcPr>
          <w:p>
            <w:pPr>
              <w:spacing w:after="0"/>
            </w:pPr>
            <w:r>
              <w:rPr>
                <w:sz w:val="14"/>
              </w:rPr>
              <w:t>Residual traffic size and timing information remain visible.</w:t>
            </w:r>
          </w:p>
        </w:tc>
      </w:tr>
      <w:tr>
        <w:trPr>
          <w:cantSplit/>
        </w:trPr>
        <w:tc>
          <w:tcPr>
            <w:tcW w:type="dxa" w:w="792"/>
            <w:vAlign w:val="top"/>
            <w:tcMar>
              <w:top w:w="80" w:type="dxa"/>
              <w:start w:w="90" w:type="dxa"/>
              <w:bottom w:w="80" w:type="dxa"/>
              <w:end w:w="90" w:type="dxa"/>
            </w:tcMar>
          </w:tcPr>
          <w:p>
            <w:pPr>
              <w:spacing w:after="0"/>
            </w:pPr>
            <w:r>
              <w:rPr>
                <w:sz w:val="14"/>
              </w:rPr>
              <w:t>T-002</w:t>
            </w:r>
          </w:p>
        </w:tc>
        <w:tc>
          <w:tcPr>
            <w:tcW w:type="dxa" w:w="1656"/>
            <w:vAlign w:val="top"/>
            <w:tcMar>
              <w:top w:w="80" w:type="dxa"/>
              <w:start w:w="90" w:type="dxa"/>
              <w:bottom w:w="80" w:type="dxa"/>
              <w:end w:w="90" w:type="dxa"/>
            </w:tcMar>
          </w:tcPr>
          <w:p>
            <w:pPr>
              <w:spacing w:after="0"/>
            </w:pPr>
            <w:r>
              <w:rPr>
                <w:sz w:val="14"/>
              </w:rPr>
              <w:t>Protected-payload tampering</w:t>
            </w:r>
          </w:p>
        </w:tc>
        <w:tc>
          <w:tcPr>
            <w:tcW w:type="dxa" w:w="2376"/>
            <w:vAlign w:val="top"/>
            <w:tcMar>
              <w:top w:w="80" w:type="dxa"/>
              <w:start w:w="90" w:type="dxa"/>
              <w:bottom w:w="80" w:type="dxa"/>
              <w:end w:w="90" w:type="dxa"/>
            </w:tcMar>
          </w:tcPr>
          <w:p>
            <w:pPr>
              <w:spacing w:after="0"/>
            </w:pPr>
            <w:r>
              <w:rPr>
                <w:sz w:val="14"/>
              </w:rPr>
              <w:t>Attacker changes ciphertext, nonce, tag, or protected payload bytes.</w:t>
            </w:r>
          </w:p>
        </w:tc>
        <w:tc>
          <w:tcPr>
            <w:tcW w:type="dxa" w:w="3816"/>
            <w:vAlign w:val="top"/>
            <w:tcMar>
              <w:top w:w="80" w:type="dxa"/>
              <w:start w:w="90" w:type="dxa"/>
              <w:bottom w:w="80" w:type="dxa"/>
              <w:end w:w="90" w:type="dxa"/>
            </w:tcMar>
          </w:tcPr>
          <w:p>
            <w:pPr>
              <w:spacing w:after="0"/>
            </w:pPr>
            <w:r>
              <w:rPr>
                <w:sz w:val="14"/>
              </w:rPr>
              <w:t>Authenticated decryption fails and plaintext is not released.</w:t>
            </w:r>
          </w:p>
        </w:tc>
        <w:tc>
          <w:tcPr>
            <w:tcW w:type="dxa" w:w="2016"/>
            <w:vAlign w:val="top"/>
            <w:tcMar>
              <w:top w:w="80" w:type="dxa"/>
              <w:start w:w="90" w:type="dxa"/>
              <w:bottom w:w="80" w:type="dxa"/>
              <w:end w:w="90" w:type="dxa"/>
            </w:tcMar>
          </w:tcPr>
          <w:p>
            <w:pPr>
              <w:spacing w:after="0"/>
            </w:pPr>
            <w:r>
              <w:rPr>
                <w:sz w:val="14"/>
              </w:rPr>
              <w:t>Availability impact remains possible.</w:t>
            </w:r>
          </w:p>
        </w:tc>
      </w:tr>
      <w:tr>
        <w:trPr>
          <w:cantSplit/>
        </w:trPr>
        <w:tc>
          <w:tcPr>
            <w:tcW w:type="dxa" w:w="792"/>
            <w:vAlign w:val="top"/>
            <w:tcMar>
              <w:top w:w="80" w:type="dxa"/>
              <w:start w:w="90" w:type="dxa"/>
              <w:bottom w:w="80" w:type="dxa"/>
              <w:end w:w="90" w:type="dxa"/>
            </w:tcMar>
          </w:tcPr>
          <w:p>
            <w:pPr>
              <w:spacing w:after="0"/>
            </w:pPr>
            <w:r>
              <w:rPr>
                <w:sz w:val="14"/>
              </w:rPr>
              <w:t>T-003</w:t>
            </w:r>
          </w:p>
        </w:tc>
        <w:tc>
          <w:tcPr>
            <w:tcW w:type="dxa" w:w="1656"/>
            <w:vAlign w:val="top"/>
            <w:tcMar>
              <w:top w:w="80" w:type="dxa"/>
              <w:start w:w="90" w:type="dxa"/>
              <w:bottom w:w="80" w:type="dxa"/>
              <w:end w:w="90" w:type="dxa"/>
            </w:tcMar>
          </w:tcPr>
          <w:p>
            <w:pPr>
              <w:spacing w:after="0"/>
            </w:pPr>
            <w:r>
              <w:rPr>
                <w:sz w:val="14"/>
              </w:rPr>
              <w:t>Envelope-context tampering</w:t>
            </w:r>
          </w:p>
        </w:tc>
        <w:tc>
          <w:tcPr>
            <w:tcW w:type="dxa" w:w="2376"/>
            <w:vAlign w:val="top"/>
            <w:tcMar>
              <w:top w:w="80" w:type="dxa"/>
              <w:start w:w="90" w:type="dxa"/>
              <w:bottom w:w="80" w:type="dxa"/>
              <w:end w:w="90" w:type="dxa"/>
            </w:tcMar>
          </w:tcPr>
          <w:p>
            <w:pPr>
              <w:spacing w:after="0"/>
            </w:pPr>
            <w:r>
              <w:rPr>
                <w:sz w:val="14"/>
              </w:rPr>
              <w:t>Attacker changes version, IDs, timestamp, algorithms, replay token, or metadata.</w:t>
            </w:r>
          </w:p>
        </w:tc>
        <w:tc>
          <w:tcPr>
            <w:tcW w:type="dxa" w:w="3816"/>
            <w:vAlign w:val="top"/>
            <w:tcMar>
              <w:top w:w="80" w:type="dxa"/>
              <w:start w:w="90" w:type="dxa"/>
              <w:bottom w:w="80" w:type="dxa"/>
              <w:end w:w="90" w:type="dxa"/>
            </w:tcMar>
          </w:tcPr>
          <w:p>
            <w:pPr>
              <w:spacing w:after="0"/>
            </w:pPr>
            <w:r>
              <w:rPr>
                <w:sz w:val="14"/>
              </w:rPr>
              <w:t>Canonical envelope data is supplied as authenticated data to completed providers.</w:t>
            </w:r>
          </w:p>
        </w:tc>
        <w:tc>
          <w:tcPr>
            <w:tcW w:type="dxa" w:w="2016"/>
            <w:vAlign w:val="top"/>
            <w:tcMar>
              <w:top w:w="80" w:type="dxa"/>
              <w:start w:w="90" w:type="dxa"/>
              <w:bottom w:w="80" w:type="dxa"/>
              <w:end w:w="90" w:type="dxa"/>
            </w:tcMar>
          </w:tcPr>
          <w:p>
            <w:pPr>
              <w:spacing w:after="0"/>
            </w:pPr>
            <w:r>
              <w:rPr>
                <w:sz w:val="14"/>
              </w:rPr>
              <w:t>Unsupported future fields require deliberate versioned design.</w:t>
            </w:r>
          </w:p>
        </w:tc>
      </w:tr>
      <w:tr>
        <w:trPr>
          <w:cantSplit/>
        </w:trPr>
        <w:tc>
          <w:tcPr>
            <w:tcW w:type="dxa" w:w="792"/>
            <w:vAlign w:val="top"/>
            <w:tcMar>
              <w:top w:w="80" w:type="dxa"/>
              <w:start w:w="90" w:type="dxa"/>
              <w:bottom w:w="80" w:type="dxa"/>
              <w:end w:w="90" w:type="dxa"/>
            </w:tcMar>
          </w:tcPr>
          <w:p>
            <w:pPr>
              <w:spacing w:after="0"/>
            </w:pPr>
            <w:r>
              <w:rPr>
                <w:sz w:val="14"/>
              </w:rPr>
              <w:t>T-004</w:t>
            </w:r>
          </w:p>
        </w:tc>
        <w:tc>
          <w:tcPr>
            <w:tcW w:type="dxa" w:w="1656"/>
            <w:vAlign w:val="top"/>
            <w:tcMar>
              <w:top w:w="80" w:type="dxa"/>
              <w:start w:w="90" w:type="dxa"/>
              <w:bottom w:w="80" w:type="dxa"/>
              <w:end w:w="90" w:type="dxa"/>
            </w:tcMar>
          </w:tcPr>
          <w:p>
            <w:pPr>
              <w:spacing w:after="0"/>
            </w:pPr>
            <w:r>
              <w:rPr>
                <w:sz w:val="14"/>
              </w:rPr>
              <w:t>Replay</w:t>
            </w:r>
          </w:p>
        </w:tc>
        <w:tc>
          <w:tcPr>
            <w:tcW w:type="dxa" w:w="2376"/>
            <w:vAlign w:val="top"/>
            <w:tcMar>
              <w:top w:w="80" w:type="dxa"/>
              <w:start w:w="90" w:type="dxa"/>
              <w:bottom w:w="80" w:type="dxa"/>
              <w:end w:w="90" w:type="dxa"/>
            </w:tcMar>
          </w:tcPr>
          <w:p>
            <w:pPr>
              <w:spacing w:after="0"/>
            </w:pPr>
            <w:r>
              <w:rPr>
                <w:sz w:val="14"/>
              </w:rPr>
              <w:t>Attacker resends a previously accepted protected frame.</w:t>
            </w:r>
          </w:p>
        </w:tc>
        <w:tc>
          <w:tcPr>
            <w:tcW w:type="dxa" w:w="3816"/>
            <w:vAlign w:val="top"/>
            <w:tcMar>
              <w:top w:w="80" w:type="dxa"/>
              <w:start w:w="90" w:type="dxa"/>
              <w:bottom w:w="80" w:type="dxa"/>
              <w:end w:w="90" w:type="dxa"/>
            </w:tcMar>
          </w:tcPr>
          <w:p>
            <w:pPr>
              <w:spacing w:after="0"/>
            </w:pPr>
            <w:r>
              <w:rPr>
                <w:sz w:val="14"/>
              </w:rPr>
              <w:t>Replay protector records sender/token combinations and rejects duplicates.</w:t>
            </w:r>
          </w:p>
        </w:tc>
        <w:tc>
          <w:tcPr>
            <w:tcW w:type="dxa" w:w="2016"/>
            <w:vAlign w:val="top"/>
            <w:tcMar>
              <w:top w:w="80" w:type="dxa"/>
              <w:start w:w="90" w:type="dxa"/>
              <w:bottom w:w="80" w:type="dxa"/>
              <w:end w:w="90" w:type="dxa"/>
            </w:tcMar>
          </w:tcPr>
          <w:p>
            <w:pPr>
              <w:spacing w:after="0"/>
            </w:pPr>
            <w:r>
              <w:rPr>
                <w:sz w:val="14"/>
              </w:rPr>
              <w:t>Process restart clears in-memory history.</w:t>
            </w:r>
          </w:p>
        </w:tc>
      </w:tr>
      <w:tr>
        <w:trPr>
          <w:cantSplit/>
        </w:trPr>
        <w:tc>
          <w:tcPr>
            <w:tcW w:type="dxa" w:w="792"/>
            <w:vAlign w:val="top"/>
            <w:tcMar>
              <w:top w:w="80" w:type="dxa"/>
              <w:start w:w="90" w:type="dxa"/>
              <w:bottom w:w="80" w:type="dxa"/>
              <w:end w:w="90" w:type="dxa"/>
            </w:tcMar>
          </w:tcPr>
          <w:p>
            <w:pPr>
              <w:spacing w:after="0"/>
            </w:pPr>
            <w:r>
              <w:rPr>
                <w:sz w:val="14"/>
              </w:rPr>
              <w:t>T-005</w:t>
            </w:r>
          </w:p>
        </w:tc>
        <w:tc>
          <w:tcPr>
            <w:tcW w:type="dxa" w:w="1656"/>
            <w:vAlign w:val="top"/>
            <w:tcMar>
              <w:top w:w="80" w:type="dxa"/>
              <w:start w:w="90" w:type="dxa"/>
              <w:bottom w:w="80" w:type="dxa"/>
              <w:end w:w="90" w:type="dxa"/>
            </w:tcMar>
          </w:tcPr>
          <w:p>
            <w:pPr>
              <w:spacing w:after="0"/>
            </w:pPr>
            <w:r>
              <w:rPr>
                <w:sz w:val="14"/>
              </w:rPr>
              <w:t>Wrong key</w:t>
            </w:r>
          </w:p>
        </w:tc>
        <w:tc>
          <w:tcPr>
            <w:tcW w:type="dxa" w:w="2376"/>
            <w:vAlign w:val="top"/>
            <w:tcMar>
              <w:top w:w="80" w:type="dxa"/>
              <w:start w:w="90" w:type="dxa"/>
              <w:bottom w:w="80" w:type="dxa"/>
              <w:end w:w="90" w:type="dxa"/>
            </w:tcMar>
          </w:tcPr>
          <w:p>
            <w:pPr>
              <w:spacing w:after="0"/>
            </w:pPr>
            <w:r>
              <w:rPr>
                <w:sz w:val="14"/>
              </w:rPr>
              <w:t>Receiver uses incorrect key material.</w:t>
            </w:r>
          </w:p>
        </w:tc>
        <w:tc>
          <w:tcPr>
            <w:tcW w:type="dxa" w:w="3816"/>
            <w:vAlign w:val="top"/>
            <w:tcMar>
              <w:top w:w="80" w:type="dxa"/>
              <w:start w:w="90" w:type="dxa"/>
              <w:bottom w:w="80" w:type="dxa"/>
              <w:end w:w="90" w:type="dxa"/>
            </w:tcMar>
          </w:tcPr>
          <w:p>
            <w:pPr>
              <w:spacing w:after="0"/>
            </w:pPr>
            <w:r>
              <w:rPr>
                <w:sz w:val="14"/>
              </w:rPr>
              <w:t>Authentication fails and plaintext remains empty.</w:t>
            </w:r>
          </w:p>
        </w:tc>
        <w:tc>
          <w:tcPr>
            <w:tcW w:type="dxa" w:w="2016"/>
            <w:vAlign w:val="top"/>
            <w:tcMar>
              <w:top w:w="80" w:type="dxa"/>
              <w:start w:w="90" w:type="dxa"/>
              <w:bottom w:w="80" w:type="dxa"/>
              <w:end w:w="90" w:type="dxa"/>
            </w:tcMar>
          </w:tcPr>
          <w:p>
            <w:pPr>
              <w:spacing w:after="0"/>
            </w:pPr>
            <w:r>
              <w:rPr>
                <w:sz w:val="14"/>
              </w:rPr>
              <w:t>Key provisioning errors still cause communication failure.</w:t>
            </w:r>
          </w:p>
        </w:tc>
      </w:tr>
      <w:tr>
        <w:trPr>
          <w:cantSplit/>
        </w:trPr>
        <w:tc>
          <w:tcPr>
            <w:tcW w:type="dxa" w:w="792"/>
            <w:vAlign w:val="top"/>
            <w:tcMar>
              <w:top w:w="80" w:type="dxa"/>
              <w:start w:w="90" w:type="dxa"/>
              <w:bottom w:w="80" w:type="dxa"/>
              <w:end w:w="90" w:type="dxa"/>
            </w:tcMar>
          </w:tcPr>
          <w:p>
            <w:pPr>
              <w:spacing w:after="0"/>
            </w:pPr>
            <w:r>
              <w:rPr>
                <w:sz w:val="14"/>
              </w:rPr>
              <w:t>T-006</w:t>
            </w:r>
          </w:p>
        </w:tc>
        <w:tc>
          <w:tcPr>
            <w:tcW w:type="dxa" w:w="1656"/>
            <w:vAlign w:val="top"/>
            <w:tcMar>
              <w:top w:w="80" w:type="dxa"/>
              <w:start w:w="90" w:type="dxa"/>
              <w:bottom w:w="80" w:type="dxa"/>
              <w:end w:w="90" w:type="dxa"/>
            </w:tcMar>
          </w:tcPr>
          <w:p>
            <w:pPr>
              <w:spacing w:after="0"/>
            </w:pPr>
            <w:r>
              <w:rPr>
                <w:sz w:val="14"/>
              </w:rPr>
              <w:t>Malformed frame</w:t>
            </w:r>
          </w:p>
        </w:tc>
        <w:tc>
          <w:tcPr>
            <w:tcW w:type="dxa" w:w="2376"/>
            <w:vAlign w:val="top"/>
            <w:tcMar>
              <w:top w:w="80" w:type="dxa"/>
              <w:start w:w="90" w:type="dxa"/>
              <w:bottom w:w="80" w:type="dxa"/>
              <w:end w:w="90" w:type="dxa"/>
            </w:tcMar>
          </w:tcPr>
          <w:p>
            <w:pPr>
              <w:spacing w:after="0"/>
            </w:pPr>
            <w:r>
              <w:rPr>
                <w:sz w:val="14"/>
              </w:rPr>
              <w:t>Attacker sends invalid, truncated, or wrong-codec data.</w:t>
            </w:r>
          </w:p>
        </w:tc>
        <w:tc>
          <w:tcPr>
            <w:tcW w:type="dxa" w:w="3816"/>
            <w:vAlign w:val="top"/>
            <w:tcMar>
              <w:top w:w="80" w:type="dxa"/>
              <w:start w:w="90" w:type="dxa"/>
              <w:bottom w:w="80" w:type="dxa"/>
              <w:end w:w="90" w:type="dxa"/>
            </w:tcMar>
          </w:tcPr>
          <w:p>
            <w:pPr>
              <w:spacing w:after="0"/>
            </w:pPr>
            <w:r>
              <w:rPr>
                <w:sz w:val="14"/>
              </w:rPr>
              <w:t>Codec and receive paths return controlled decode failures without calling the provider when decoding fails.</w:t>
            </w:r>
          </w:p>
        </w:tc>
        <w:tc>
          <w:tcPr>
            <w:tcW w:type="dxa" w:w="2016"/>
            <w:vAlign w:val="top"/>
            <w:tcMar>
              <w:top w:w="80" w:type="dxa"/>
              <w:start w:w="90" w:type="dxa"/>
              <w:bottom w:w="80" w:type="dxa"/>
              <w:end w:w="90" w:type="dxa"/>
            </w:tcMar>
          </w:tcPr>
          <w:p>
            <w:pPr>
              <w:spacing w:after="0"/>
            </w:pPr>
            <w:r>
              <w:rPr>
                <w:sz w:val="14"/>
              </w:rPr>
              <w:t>Repeated malformed traffic may consume processing time.</w:t>
            </w:r>
          </w:p>
        </w:tc>
      </w:tr>
      <w:tr>
        <w:trPr>
          <w:cantSplit/>
        </w:trPr>
        <w:tc>
          <w:tcPr>
            <w:tcW w:type="dxa" w:w="792"/>
            <w:vAlign w:val="top"/>
            <w:tcMar>
              <w:top w:w="80" w:type="dxa"/>
              <w:start w:w="90" w:type="dxa"/>
              <w:bottom w:w="80" w:type="dxa"/>
              <w:end w:w="90" w:type="dxa"/>
            </w:tcMar>
          </w:tcPr>
          <w:p>
            <w:pPr>
              <w:spacing w:after="0"/>
            </w:pPr>
            <w:r>
              <w:rPr>
                <w:sz w:val="14"/>
              </w:rPr>
              <w:t>T-007</w:t>
            </w:r>
          </w:p>
        </w:tc>
        <w:tc>
          <w:tcPr>
            <w:tcW w:type="dxa" w:w="1656"/>
            <w:vAlign w:val="top"/>
            <w:tcMar>
              <w:top w:w="80" w:type="dxa"/>
              <w:start w:w="90" w:type="dxa"/>
              <w:bottom w:w="80" w:type="dxa"/>
              <w:end w:w="90" w:type="dxa"/>
            </w:tcMar>
          </w:tcPr>
          <w:p>
            <w:pPr>
              <w:spacing w:after="0"/>
            </w:pPr>
            <w:r>
              <w:rPr>
                <w:sz w:val="14"/>
              </w:rPr>
              <w:t>Recipient confusion</w:t>
            </w:r>
          </w:p>
        </w:tc>
        <w:tc>
          <w:tcPr>
            <w:tcW w:type="dxa" w:w="2376"/>
            <w:vAlign w:val="top"/>
            <w:tcMar>
              <w:top w:w="80" w:type="dxa"/>
              <w:start w:w="90" w:type="dxa"/>
              <w:bottom w:w="80" w:type="dxa"/>
              <w:end w:w="90" w:type="dxa"/>
            </w:tcMar>
          </w:tcPr>
          <w:p>
            <w:pPr>
              <w:spacing w:after="0"/>
            </w:pPr>
            <w:r>
              <w:rPr>
                <w:sz w:val="14"/>
              </w:rPr>
              <w:t>Attacker redirects or alters recipient context.</w:t>
            </w:r>
          </w:p>
        </w:tc>
        <w:tc>
          <w:tcPr>
            <w:tcW w:type="dxa" w:w="3816"/>
            <w:vAlign w:val="top"/>
            <w:tcMar>
              <w:top w:w="80" w:type="dxa"/>
              <w:start w:w="90" w:type="dxa"/>
              <w:bottom w:w="80" w:type="dxa"/>
              <w:end w:w="90" w:type="dxa"/>
            </w:tcMar>
          </w:tcPr>
          <w:p>
            <w:pPr>
              <w:spacing w:after="0"/>
            </w:pPr>
            <w:r>
              <w:rPr>
                <w:sz w:val="14"/>
              </w:rPr>
              <w:t>Recipient KeyId is authenticated and the receiving client validates intended recipient identity.</w:t>
            </w:r>
          </w:p>
        </w:tc>
        <w:tc>
          <w:tcPr>
            <w:tcW w:type="dxa" w:w="2016"/>
            <w:vAlign w:val="top"/>
            <w:tcMar>
              <w:top w:w="80" w:type="dxa"/>
              <w:start w:w="90" w:type="dxa"/>
              <w:bottom w:w="80" w:type="dxa"/>
              <w:end w:w="90" w:type="dxa"/>
            </w:tcMar>
          </w:tcPr>
          <w:p>
            <w:pPr>
              <w:spacing w:after="0"/>
            </w:pPr>
            <w:r>
              <w:rPr>
                <w:sz w:val="14"/>
              </w:rPr>
              <w:t>Correct configuration of KeyId values remains required.</w:t>
            </w:r>
          </w:p>
        </w:tc>
      </w:tr>
      <w:tr>
        <w:trPr>
          <w:cantSplit/>
        </w:trPr>
        <w:tc>
          <w:tcPr>
            <w:tcW w:type="dxa" w:w="792"/>
            <w:vAlign w:val="top"/>
            <w:tcMar>
              <w:top w:w="80" w:type="dxa"/>
              <w:start w:w="90" w:type="dxa"/>
              <w:bottom w:w="80" w:type="dxa"/>
              <w:end w:w="90" w:type="dxa"/>
            </w:tcMar>
          </w:tcPr>
          <w:p>
            <w:pPr>
              <w:spacing w:after="0"/>
            </w:pPr>
            <w:r>
              <w:rPr>
                <w:sz w:val="14"/>
              </w:rPr>
              <w:t>T-008</w:t>
            </w:r>
          </w:p>
        </w:tc>
        <w:tc>
          <w:tcPr>
            <w:tcW w:type="dxa" w:w="1656"/>
            <w:vAlign w:val="top"/>
            <w:tcMar>
              <w:top w:w="80" w:type="dxa"/>
              <w:start w:w="90" w:type="dxa"/>
              <w:bottom w:w="80" w:type="dxa"/>
              <w:end w:w="90" w:type="dxa"/>
            </w:tcMar>
          </w:tcPr>
          <w:p>
            <w:pPr>
              <w:spacing w:after="0"/>
            </w:pPr>
            <w:r>
              <w:rPr>
                <w:sz w:val="14"/>
              </w:rPr>
              <w:t>Transport compromise</w:t>
            </w:r>
          </w:p>
        </w:tc>
        <w:tc>
          <w:tcPr>
            <w:tcW w:type="dxa" w:w="2376"/>
            <w:vAlign w:val="top"/>
            <w:tcMar>
              <w:top w:w="80" w:type="dxa"/>
              <w:start w:w="90" w:type="dxa"/>
              <w:bottom w:w="80" w:type="dxa"/>
              <w:end w:w="90" w:type="dxa"/>
            </w:tcMar>
          </w:tcPr>
          <w:p>
            <w:pPr>
              <w:spacing w:after="0"/>
            </w:pPr>
            <w:r>
              <w:rPr>
                <w:sz w:val="14"/>
              </w:rPr>
              <w:t>Transport is observed, modified, or unreliable.</w:t>
            </w:r>
          </w:p>
        </w:tc>
        <w:tc>
          <w:tcPr>
            <w:tcW w:type="dxa" w:w="3816"/>
            <w:vAlign w:val="top"/>
            <w:tcMar>
              <w:top w:w="80" w:type="dxa"/>
              <w:start w:w="90" w:type="dxa"/>
              <w:bottom w:w="80" w:type="dxa"/>
              <w:end w:w="90" w:type="dxa"/>
            </w:tcMar>
          </w:tcPr>
          <w:p>
            <w:pPr>
              <w:spacing w:after="0"/>
            </w:pPr>
            <w:r>
              <w:rPr>
                <w:sz w:val="14"/>
              </w:rPr>
              <w:t>Security is applied above the transport; only protected frames are sent.</w:t>
            </w:r>
          </w:p>
        </w:tc>
        <w:tc>
          <w:tcPr>
            <w:tcW w:type="dxa" w:w="2016"/>
            <w:vAlign w:val="top"/>
            <w:tcMar>
              <w:top w:w="80" w:type="dxa"/>
              <w:start w:w="90" w:type="dxa"/>
              <w:bottom w:w="80" w:type="dxa"/>
              <w:end w:w="90" w:type="dxa"/>
            </w:tcMar>
          </w:tcPr>
          <w:p>
            <w:pPr>
              <w:spacing w:after="0"/>
            </w:pPr>
            <w:r>
              <w:rPr>
                <w:sz w:val="14"/>
              </w:rPr>
              <w:t>Transport-level availability is not guaranteed.</w:t>
            </w:r>
          </w:p>
        </w:tc>
      </w:tr>
      <w:tr>
        <w:trPr>
          <w:cantSplit/>
        </w:trPr>
        <w:tc>
          <w:tcPr>
            <w:tcW w:type="dxa" w:w="792"/>
            <w:vAlign w:val="top"/>
            <w:tcMar>
              <w:top w:w="80" w:type="dxa"/>
              <w:start w:w="90" w:type="dxa"/>
              <w:bottom w:w="80" w:type="dxa"/>
              <w:end w:w="90" w:type="dxa"/>
            </w:tcMar>
          </w:tcPr>
          <w:p>
            <w:pPr>
              <w:spacing w:after="0"/>
            </w:pPr>
            <w:r>
              <w:rPr>
                <w:sz w:val="14"/>
              </w:rPr>
              <w:t>T-009</w:t>
            </w:r>
          </w:p>
        </w:tc>
        <w:tc>
          <w:tcPr>
            <w:tcW w:type="dxa" w:w="1656"/>
            <w:vAlign w:val="top"/>
            <w:tcMar>
              <w:top w:w="80" w:type="dxa"/>
              <w:start w:w="90" w:type="dxa"/>
              <w:bottom w:w="80" w:type="dxa"/>
              <w:end w:w="90" w:type="dxa"/>
            </w:tcMar>
          </w:tcPr>
          <w:p>
            <w:pPr>
              <w:spacing w:after="0"/>
            </w:pPr>
            <w:r>
              <w:rPr>
                <w:sz w:val="14"/>
              </w:rPr>
              <w:t>Replay-cache pressure</w:t>
            </w:r>
          </w:p>
        </w:tc>
        <w:tc>
          <w:tcPr>
            <w:tcW w:type="dxa" w:w="2376"/>
            <w:vAlign w:val="top"/>
            <w:tcMar>
              <w:top w:w="80" w:type="dxa"/>
              <w:start w:w="90" w:type="dxa"/>
              <w:bottom w:w="80" w:type="dxa"/>
              <w:end w:w="90" w:type="dxa"/>
            </w:tcMar>
          </w:tcPr>
          <w:p>
            <w:pPr>
              <w:spacing w:after="0"/>
            </w:pPr>
            <w:r>
              <w:rPr>
                <w:sz w:val="14"/>
              </w:rPr>
              <w:t>Attacker submits many unique valid envelopes.</w:t>
            </w:r>
          </w:p>
        </w:tc>
        <w:tc>
          <w:tcPr>
            <w:tcW w:type="dxa" w:w="3816"/>
            <w:vAlign w:val="top"/>
            <w:tcMar>
              <w:top w:w="80" w:type="dxa"/>
              <w:start w:w="90" w:type="dxa"/>
              <w:bottom w:w="80" w:type="dxa"/>
              <w:end w:w="90" w:type="dxa"/>
            </w:tcMar>
          </w:tcPr>
          <w:p>
            <w:pPr>
              <w:spacing w:after="0"/>
            </w:pPr>
            <w:r>
              <w:rPr>
                <w:sz w:val="14"/>
              </w:rPr>
              <w:t>Entries expire; active replay records are bounded; capacity failure is closed.</w:t>
            </w:r>
          </w:p>
        </w:tc>
        <w:tc>
          <w:tcPr>
            <w:tcW w:type="dxa" w:w="2016"/>
            <w:vAlign w:val="top"/>
            <w:tcMar>
              <w:top w:w="80" w:type="dxa"/>
              <w:start w:w="90" w:type="dxa"/>
              <w:bottom w:w="80" w:type="dxa"/>
              <w:end w:w="90" w:type="dxa"/>
            </w:tcMar>
          </w:tcPr>
          <w:p>
            <w:pPr>
              <w:spacing w:after="0"/>
            </w:pPr>
            <w:r>
              <w:rPr>
                <w:sz w:val="14"/>
              </w:rPr>
              <w:t>A full cache can reject legitimate new traffic until capacity returns.</w:t>
            </w:r>
          </w:p>
        </w:tc>
      </w:tr>
      <w:tr>
        <w:trPr>
          <w:cantSplit/>
        </w:trPr>
        <w:tc>
          <w:tcPr>
            <w:tcW w:type="dxa" w:w="792"/>
            <w:vAlign w:val="top"/>
            <w:tcMar>
              <w:top w:w="80" w:type="dxa"/>
              <w:start w:w="90" w:type="dxa"/>
              <w:bottom w:w="80" w:type="dxa"/>
              <w:end w:w="90" w:type="dxa"/>
            </w:tcMar>
          </w:tcPr>
          <w:p>
            <w:pPr>
              <w:spacing w:after="0"/>
            </w:pPr>
            <w:r>
              <w:rPr>
                <w:sz w:val="14"/>
              </w:rPr>
              <w:t>T-010</w:t>
            </w:r>
          </w:p>
        </w:tc>
        <w:tc>
          <w:tcPr>
            <w:tcW w:type="dxa" w:w="1656"/>
            <w:vAlign w:val="top"/>
            <w:tcMar>
              <w:top w:w="80" w:type="dxa"/>
              <w:start w:w="90" w:type="dxa"/>
              <w:bottom w:w="80" w:type="dxa"/>
              <w:end w:w="90" w:type="dxa"/>
            </w:tcMar>
          </w:tcPr>
          <w:p>
            <w:pPr>
              <w:spacing w:after="0"/>
            </w:pPr>
            <w:r>
              <w:rPr>
                <w:sz w:val="14"/>
              </w:rPr>
              <w:t>Oversized frame pressure</w:t>
            </w:r>
          </w:p>
        </w:tc>
        <w:tc>
          <w:tcPr>
            <w:tcW w:type="dxa" w:w="2376"/>
            <w:vAlign w:val="top"/>
            <w:tcMar>
              <w:top w:w="80" w:type="dxa"/>
              <w:start w:w="90" w:type="dxa"/>
              <w:bottom w:w="80" w:type="dxa"/>
              <w:end w:w="90" w:type="dxa"/>
            </w:tcMar>
          </w:tcPr>
          <w:p>
            <w:pPr>
              <w:spacing w:after="0"/>
            </w:pPr>
            <w:r>
              <w:rPr>
                <w:sz w:val="14"/>
              </w:rPr>
              <w:t>Attacker declares or sends an excessive frame.</w:t>
            </w:r>
          </w:p>
        </w:tc>
        <w:tc>
          <w:tcPr>
            <w:tcW w:type="dxa" w:w="3816"/>
            <w:vAlign w:val="top"/>
            <w:tcMar>
              <w:top w:w="80" w:type="dxa"/>
              <w:start w:w="90" w:type="dxa"/>
              <w:bottom w:w="80" w:type="dxa"/>
              <w:end w:w="90" w:type="dxa"/>
            </w:tcMar>
          </w:tcPr>
          <w:p>
            <w:pPr>
              <w:spacing w:after="0"/>
            </w:pPr>
            <w:r>
              <w:rPr>
                <w:sz w:val="14"/>
              </w:rPr>
              <w:t>TCP and in-memory transports enforce maximum frame sizes.</w:t>
            </w:r>
          </w:p>
        </w:tc>
        <w:tc>
          <w:tcPr>
            <w:tcW w:type="dxa" w:w="2016"/>
            <w:vAlign w:val="top"/>
            <w:tcMar>
              <w:top w:w="80" w:type="dxa"/>
              <w:start w:w="90" w:type="dxa"/>
              <w:bottom w:w="80" w:type="dxa"/>
              <w:end w:w="90" w:type="dxa"/>
            </w:tcMar>
          </w:tcPr>
          <w:p>
            <w:pPr>
              <w:spacing w:after="0"/>
            </w:pPr>
            <w:r>
              <w:rPr>
                <w:sz w:val="14"/>
              </w:rPr>
              <w:t>Full system-wide rate limiting remains outside RC 1.2.</w:t>
            </w:r>
          </w:p>
        </w:tc>
      </w:tr>
      <w:tr>
        <w:trPr>
          <w:cantSplit/>
        </w:trPr>
        <w:tc>
          <w:tcPr>
            <w:tcW w:type="dxa" w:w="792"/>
            <w:vAlign w:val="top"/>
            <w:tcMar>
              <w:top w:w="80" w:type="dxa"/>
              <w:start w:w="90" w:type="dxa"/>
              <w:bottom w:w="80" w:type="dxa"/>
              <w:end w:w="90" w:type="dxa"/>
            </w:tcMar>
          </w:tcPr>
          <w:p>
            <w:pPr>
              <w:spacing w:after="0"/>
            </w:pPr>
            <w:r>
              <w:rPr>
                <w:sz w:val="14"/>
              </w:rPr>
              <w:t>T-011</w:t>
            </w:r>
          </w:p>
        </w:tc>
        <w:tc>
          <w:tcPr>
            <w:tcW w:type="dxa" w:w="1656"/>
            <w:vAlign w:val="top"/>
            <w:tcMar>
              <w:top w:w="80" w:type="dxa"/>
              <w:start w:w="90" w:type="dxa"/>
              <w:bottom w:w="80" w:type="dxa"/>
              <w:end w:w="90" w:type="dxa"/>
            </w:tcMar>
          </w:tcPr>
          <w:p>
            <w:pPr>
              <w:spacing w:after="0"/>
            </w:pPr>
            <w:r>
              <w:rPr>
                <w:sz w:val="14"/>
              </w:rPr>
              <w:t>Unsafe failure</w:t>
            </w:r>
          </w:p>
        </w:tc>
        <w:tc>
          <w:tcPr>
            <w:tcW w:type="dxa" w:w="2376"/>
            <w:vAlign w:val="top"/>
            <w:tcMar>
              <w:top w:w="80" w:type="dxa"/>
              <w:start w:w="90" w:type="dxa"/>
              <w:bottom w:w="80" w:type="dxa"/>
              <w:end w:w="90" w:type="dxa"/>
            </w:tcMar>
          </w:tcPr>
          <w:p>
            <w:pPr>
              <w:spacing w:after="0"/>
            </w:pPr>
            <w:r>
              <w:rPr>
                <w:sz w:val="14"/>
              </w:rPr>
              <w:t>Invalid input triggers uncontrolled behavior or data release.</w:t>
            </w:r>
          </w:p>
        </w:tc>
        <w:tc>
          <w:tcPr>
            <w:tcW w:type="dxa" w:w="3816"/>
            <w:vAlign w:val="top"/>
            <w:tcMar>
              <w:top w:w="80" w:type="dxa"/>
              <w:start w:w="90" w:type="dxa"/>
              <w:bottom w:w="80" w:type="dxa"/>
              <w:end w:w="90" w:type="dxa"/>
            </w:tcMar>
          </w:tcPr>
          <w:p>
            <w:pPr>
              <w:spacing w:after="0"/>
            </w:pPr>
            <w:r>
              <w:rPr>
                <w:sz w:val="14"/>
              </w:rPr>
              <w:t>FailureReason results, cancellation behavior, and payload-empty assertions are covered by automated tests.</w:t>
            </w:r>
          </w:p>
        </w:tc>
        <w:tc>
          <w:tcPr>
            <w:tcW w:type="dxa" w:w="2016"/>
            <w:vAlign w:val="top"/>
            <w:tcMar>
              <w:top w:w="80" w:type="dxa"/>
              <w:start w:w="90" w:type="dxa"/>
              <w:bottom w:w="80" w:type="dxa"/>
              <w:end w:w="90" w:type="dxa"/>
            </w:tcMar>
          </w:tcPr>
          <w:p>
            <w:pPr>
              <w:spacing w:after="0"/>
            </w:pPr>
            <w:r>
              <w:rPr>
                <w:sz w:val="14"/>
              </w:rPr>
              <w:t>Unhandled host-level failures remain a deployment concern.</w:t>
            </w:r>
          </w:p>
        </w:tc>
      </w:tr>
      <w:tr>
        <w:trPr>
          <w:cantSplit/>
        </w:trPr>
        <w:tc>
          <w:tcPr>
            <w:tcW w:type="dxa" w:w="792"/>
            <w:vAlign w:val="top"/>
            <w:tcMar>
              <w:top w:w="80" w:type="dxa"/>
              <w:start w:w="90" w:type="dxa"/>
              <w:bottom w:w="80" w:type="dxa"/>
              <w:end w:w="90" w:type="dxa"/>
            </w:tcMar>
          </w:tcPr>
          <w:p>
            <w:pPr>
              <w:spacing w:after="0"/>
            </w:pPr>
            <w:r>
              <w:rPr>
                <w:sz w:val="14"/>
              </w:rPr>
              <w:t>T-012</w:t>
            </w:r>
          </w:p>
        </w:tc>
        <w:tc>
          <w:tcPr>
            <w:tcW w:type="dxa" w:w="1656"/>
            <w:vAlign w:val="top"/>
            <w:tcMar>
              <w:top w:w="80" w:type="dxa"/>
              <w:start w:w="90" w:type="dxa"/>
              <w:bottom w:w="80" w:type="dxa"/>
              <w:end w:w="90" w:type="dxa"/>
            </w:tcMar>
          </w:tcPr>
          <w:p>
            <w:pPr>
              <w:spacing w:after="0"/>
            </w:pPr>
            <w:r>
              <w:rPr>
                <w:sz w:val="14"/>
              </w:rPr>
              <w:t>Weak or missing key identifiers</w:t>
            </w:r>
          </w:p>
        </w:tc>
        <w:tc>
          <w:tcPr>
            <w:tcW w:type="dxa" w:w="2376"/>
            <w:vAlign w:val="top"/>
            <w:tcMar>
              <w:top w:w="80" w:type="dxa"/>
              <w:start w:w="90" w:type="dxa"/>
              <w:bottom w:w="80" w:type="dxa"/>
              <w:end w:w="90" w:type="dxa"/>
            </w:tcMar>
          </w:tcPr>
          <w:p>
            <w:pPr>
              <w:spacing w:after="0"/>
            </w:pPr>
            <w:r>
              <w:rPr>
                <w:sz w:val="14"/>
              </w:rPr>
              <w:t>Invalid identifiers select no key or ambiguous state.</w:t>
            </w:r>
          </w:p>
        </w:tc>
        <w:tc>
          <w:tcPr>
            <w:tcW w:type="dxa" w:w="3816"/>
            <w:vAlign w:val="top"/>
            <w:tcMar>
              <w:top w:w="80" w:type="dxa"/>
              <w:start w:w="90" w:type="dxa"/>
              <w:bottom w:w="80" w:type="dxa"/>
              <w:end w:w="90" w:type="dxa"/>
            </w:tcMar>
          </w:tcPr>
          <w:p>
            <w:pPr>
              <w:spacing w:after="0"/>
            </w:pPr>
            <w:r>
              <w:rPr>
                <w:sz w:val="14"/>
              </w:rPr>
              <w:t>KeyId and AlgorithmId handle default values consistently; dictionary providers reject empty key identifiers and missing keys.</w:t>
            </w:r>
          </w:p>
        </w:tc>
        <w:tc>
          <w:tcPr>
            <w:tcW w:type="dxa" w:w="2016"/>
            <w:vAlign w:val="top"/>
            <w:tcMar>
              <w:top w:w="80" w:type="dxa"/>
              <w:start w:w="90" w:type="dxa"/>
              <w:bottom w:w="80" w:type="dxa"/>
              <w:end w:w="90" w:type="dxa"/>
            </w:tcMar>
          </w:tcPr>
          <w:p>
            <w:pPr>
              <w:spacing w:after="0"/>
            </w:pPr>
            <w:r>
              <w:rPr>
                <w:sz w:val="14"/>
              </w:rPr>
              <w:t>Production key lifecycle remains external.</w:t>
            </w:r>
          </w:p>
        </w:tc>
      </w:tr>
    </w:tbl>
    <w:p>
      <w:pPr>
        <w:pStyle w:val="Heading1"/>
      </w:pPr>
      <w:r>
        <w:t>STRIDE Review</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shd w:fill="1F4E79"/>
            <w:vAlign w:val="center"/>
            <w:tcMar>
              <w:top w:w="80" w:type="dxa"/>
              <w:start w:w="90" w:type="dxa"/>
              <w:bottom w:w="80" w:type="dxa"/>
              <w:end w:w="90" w:type="dxa"/>
            </w:tcMar>
          </w:tcPr>
          <w:p>
            <w:pPr>
              <w:spacing w:after="0"/>
            </w:pPr>
            <w:r>
              <w:rPr>
                <w:b/>
                <w:color w:val="FFFFFF"/>
                <w:sz w:val="17"/>
              </w:rPr>
              <w:t>STRIDE Category</w:t>
            </w:r>
          </w:p>
        </w:tc>
        <w:tc>
          <w:tcPr>
            <w:tcW w:type="dxa" w:w="2448"/>
            <w:shd w:fill="1F4E79"/>
            <w:vAlign w:val="center"/>
            <w:tcMar>
              <w:top w:w="80" w:type="dxa"/>
              <w:start w:w="90" w:type="dxa"/>
              <w:bottom w:w="80" w:type="dxa"/>
              <w:end w:w="90" w:type="dxa"/>
            </w:tcMar>
          </w:tcPr>
          <w:p>
            <w:pPr>
              <w:spacing w:after="0"/>
            </w:pPr>
            <w:r>
              <w:rPr>
                <w:b/>
                <w:color w:val="FFFFFF"/>
                <w:sz w:val="17"/>
              </w:rPr>
              <w:t>Applicability</w:t>
            </w:r>
          </w:p>
        </w:tc>
        <w:tc>
          <w:tcPr>
            <w:tcW w:type="dxa" w:w="6768"/>
            <w:shd w:fill="1F4E79"/>
            <w:vAlign w:val="center"/>
            <w:tcMar>
              <w:top w:w="80" w:type="dxa"/>
              <w:start w:w="90" w:type="dxa"/>
              <w:bottom w:w="80" w:type="dxa"/>
              <w:end w:w="90" w:type="dxa"/>
            </w:tcMar>
          </w:tcPr>
          <w:p>
            <w:pPr>
              <w:spacing w:after="0"/>
            </w:pPr>
            <w:r>
              <w:rPr>
                <w:b/>
                <w:color w:val="FFFFFF"/>
                <w:sz w:val="17"/>
              </w:rPr>
              <w:t>Current Control</w:t>
            </w:r>
          </w:p>
        </w:tc>
      </w:tr>
      <w:tr>
        <w:trPr>
          <w:cantSplit/>
        </w:trPr>
        <w:tc>
          <w:tcPr>
            <w:tcW w:type="dxa" w:w="1944"/>
            <w:vAlign w:val="top"/>
            <w:tcMar>
              <w:top w:w="80" w:type="dxa"/>
              <w:start w:w="90" w:type="dxa"/>
              <w:bottom w:w="80" w:type="dxa"/>
              <w:end w:w="90" w:type="dxa"/>
            </w:tcMar>
          </w:tcPr>
          <w:p>
            <w:pPr>
              <w:spacing w:after="0"/>
            </w:pPr>
            <w:r>
              <w:rPr>
                <w:sz w:val="17"/>
              </w:rPr>
              <w:t>Spoofing</w:t>
            </w:r>
          </w:p>
        </w:tc>
        <w:tc>
          <w:tcPr>
            <w:tcW w:type="dxa" w:w="2448"/>
            <w:vAlign w:val="top"/>
            <w:tcMar>
              <w:top w:w="80" w:type="dxa"/>
              <w:start w:w="90" w:type="dxa"/>
              <w:bottom w:w="80" w:type="dxa"/>
              <w:end w:w="90" w:type="dxa"/>
            </w:tcMar>
          </w:tcPr>
          <w:p>
            <w:pPr>
              <w:spacing w:after="0"/>
            </w:pPr>
            <w:r>
              <w:rPr>
                <w:sz w:val="17"/>
              </w:rPr>
              <w:t>Possible without a full identity system.</w:t>
            </w:r>
          </w:p>
        </w:tc>
        <w:tc>
          <w:tcPr>
            <w:tcW w:type="dxa" w:w="6768"/>
            <w:vAlign w:val="top"/>
            <w:tcMar>
              <w:top w:w="80" w:type="dxa"/>
              <w:start w:w="90" w:type="dxa"/>
              <w:bottom w:w="80" w:type="dxa"/>
              <w:end w:w="90" w:type="dxa"/>
            </w:tcMar>
          </w:tcPr>
          <w:p>
            <w:pPr>
              <w:spacing w:after="0"/>
            </w:pPr>
            <w:r>
              <w:rPr>
                <w:sz w:val="17"/>
              </w:rPr>
              <w:t>Authenticated encryption, exact key identifiers, intended-recipient validation, and authenticated context. Human or certificate identity is out of scope.</w:t>
            </w:r>
          </w:p>
        </w:tc>
      </w:tr>
      <w:tr>
        <w:trPr>
          <w:cantSplit/>
        </w:trPr>
        <w:tc>
          <w:tcPr>
            <w:tcW w:type="dxa" w:w="1944"/>
            <w:vAlign w:val="top"/>
            <w:tcMar>
              <w:top w:w="80" w:type="dxa"/>
              <w:start w:w="90" w:type="dxa"/>
              <w:bottom w:w="80" w:type="dxa"/>
              <w:end w:w="90" w:type="dxa"/>
            </w:tcMar>
          </w:tcPr>
          <w:p>
            <w:pPr>
              <w:spacing w:after="0"/>
            </w:pPr>
            <w:r>
              <w:rPr>
                <w:sz w:val="17"/>
              </w:rPr>
              <w:t>Tampering</w:t>
            </w:r>
          </w:p>
        </w:tc>
        <w:tc>
          <w:tcPr>
            <w:tcW w:type="dxa" w:w="2448"/>
            <w:vAlign w:val="top"/>
            <w:tcMar>
              <w:top w:w="80" w:type="dxa"/>
              <w:start w:w="90" w:type="dxa"/>
              <w:bottom w:w="80" w:type="dxa"/>
              <w:end w:w="90" w:type="dxa"/>
            </w:tcMar>
          </w:tcPr>
          <w:p>
            <w:pPr>
              <w:spacing w:after="0"/>
            </w:pPr>
            <w:r>
              <w:rPr>
                <w:sz w:val="17"/>
              </w:rPr>
              <w:t>Primary threat.</w:t>
            </w:r>
          </w:p>
        </w:tc>
        <w:tc>
          <w:tcPr>
            <w:tcW w:type="dxa" w:w="6768"/>
            <w:vAlign w:val="top"/>
            <w:tcMar>
              <w:top w:w="80" w:type="dxa"/>
              <w:start w:w="90" w:type="dxa"/>
              <w:bottom w:w="80" w:type="dxa"/>
              <w:end w:w="90" w:type="dxa"/>
            </w:tcMar>
          </w:tcPr>
          <w:p>
            <w:pPr>
              <w:spacing w:after="0"/>
            </w:pPr>
            <w:r>
              <w:rPr>
                <w:sz w:val="17"/>
              </w:rPr>
              <w:t>AEAD authentication covers payload and canonical envelope data; malformed frames fail before plaintext release.</w:t>
            </w:r>
          </w:p>
        </w:tc>
      </w:tr>
      <w:tr>
        <w:trPr>
          <w:cantSplit/>
        </w:trPr>
        <w:tc>
          <w:tcPr>
            <w:tcW w:type="dxa" w:w="1944"/>
            <w:vAlign w:val="top"/>
            <w:tcMar>
              <w:top w:w="80" w:type="dxa"/>
              <w:start w:w="90" w:type="dxa"/>
              <w:bottom w:w="80" w:type="dxa"/>
              <w:end w:w="90" w:type="dxa"/>
            </w:tcMar>
          </w:tcPr>
          <w:p>
            <w:pPr>
              <w:spacing w:after="0"/>
            </w:pPr>
            <w:r>
              <w:rPr>
                <w:sz w:val="17"/>
              </w:rPr>
              <w:t>Repudiation</w:t>
            </w:r>
          </w:p>
        </w:tc>
        <w:tc>
          <w:tcPr>
            <w:tcW w:type="dxa" w:w="2448"/>
            <w:vAlign w:val="top"/>
            <w:tcMar>
              <w:top w:w="80" w:type="dxa"/>
              <w:start w:w="90" w:type="dxa"/>
              <w:bottom w:w="80" w:type="dxa"/>
              <w:end w:w="90" w:type="dxa"/>
            </w:tcMar>
          </w:tcPr>
          <w:p>
            <w:pPr>
              <w:spacing w:after="0"/>
            </w:pPr>
            <w:r>
              <w:rPr>
                <w:sz w:val="17"/>
              </w:rPr>
              <w:t>Limited scope.</w:t>
            </w:r>
          </w:p>
        </w:tc>
        <w:tc>
          <w:tcPr>
            <w:tcW w:type="dxa" w:w="6768"/>
            <w:vAlign w:val="top"/>
            <w:tcMar>
              <w:top w:w="80" w:type="dxa"/>
              <w:start w:w="90" w:type="dxa"/>
              <w:bottom w:w="80" w:type="dxa"/>
              <w:end w:w="90" w:type="dxa"/>
            </w:tcMar>
          </w:tcPr>
          <w:p>
            <w:pPr>
              <w:spacing w:after="0"/>
            </w:pPr>
            <w:r>
              <w:rPr>
                <w:sz w:val="17"/>
              </w:rPr>
              <w:t>No audit-grade nonrepudiation. Digital signatures and durable audit storage are future work.</w:t>
            </w:r>
          </w:p>
        </w:tc>
      </w:tr>
      <w:tr>
        <w:trPr>
          <w:cantSplit/>
        </w:trPr>
        <w:tc>
          <w:tcPr>
            <w:tcW w:type="dxa" w:w="1944"/>
            <w:vAlign w:val="top"/>
            <w:tcMar>
              <w:top w:w="80" w:type="dxa"/>
              <w:start w:w="90" w:type="dxa"/>
              <w:bottom w:w="80" w:type="dxa"/>
              <w:end w:w="90" w:type="dxa"/>
            </w:tcMar>
          </w:tcPr>
          <w:p>
            <w:pPr>
              <w:spacing w:after="0"/>
            </w:pPr>
            <w:r>
              <w:rPr>
                <w:sz w:val="17"/>
              </w:rPr>
              <w:t>Information Disclosure</w:t>
            </w:r>
          </w:p>
        </w:tc>
        <w:tc>
          <w:tcPr>
            <w:tcW w:type="dxa" w:w="2448"/>
            <w:vAlign w:val="top"/>
            <w:tcMar>
              <w:top w:w="80" w:type="dxa"/>
              <w:start w:w="90" w:type="dxa"/>
              <w:bottom w:w="80" w:type="dxa"/>
              <w:end w:w="90" w:type="dxa"/>
            </w:tcMar>
          </w:tcPr>
          <w:p>
            <w:pPr>
              <w:spacing w:after="0"/>
            </w:pPr>
            <w:r>
              <w:rPr>
                <w:sz w:val="17"/>
              </w:rPr>
              <w:t>Primary threat.</w:t>
            </w:r>
          </w:p>
        </w:tc>
        <w:tc>
          <w:tcPr>
            <w:tcW w:type="dxa" w:w="6768"/>
            <w:vAlign w:val="top"/>
            <w:tcMar>
              <w:top w:w="80" w:type="dxa"/>
              <w:start w:w="90" w:type="dxa"/>
              <w:bottom w:w="80" w:type="dxa"/>
              <w:end w:w="90" w:type="dxa"/>
            </w:tcMar>
          </w:tcPr>
          <w:p>
            <w:pPr>
              <w:spacing w:after="0"/>
            </w:pPr>
            <w:r>
              <w:rPr>
                <w:sz w:val="17"/>
              </w:rPr>
              <w:t>Payload encryption and no-plaintext-on-failure behavior.</w:t>
            </w:r>
          </w:p>
        </w:tc>
      </w:tr>
      <w:tr>
        <w:trPr>
          <w:cantSplit/>
        </w:trPr>
        <w:tc>
          <w:tcPr>
            <w:tcW w:type="dxa" w:w="1944"/>
            <w:vAlign w:val="top"/>
            <w:tcMar>
              <w:top w:w="80" w:type="dxa"/>
              <w:start w:w="90" w:type="dxa"/>
              <w:bottom w:w="80" w:type="dxa"/>
              <w:end w:w="90" w:type="dxa"/>
            </w:tcMar>
          </w:tcPr>
          <w:p>
            <w:pPr>
              <w:spacing w:after="0"/>
            </w:pPr>
            <w:r>
              <w:rPr>
                <w:sz w:val="17"/>
              </w:rPr>
              <w:t>Denial of Service</w:t>
            </w:r>
          </w:p>
        </w:tc>
        <w:tc>
          <w:tcPr>
            <w:tcW w:type="dxa" w:w="2448"/>
            <w:vAlign w:val="top"/>
            <w:tcMar>
              <w:top w:w="80" w:type="dxa"/>
              <w:start w:w="90" w:type="dxa"/>
              <w:bottom w:w="80" w:type="dxa"/>
              <w:end w:w="90" w:type="dxa"/>
            </w:tcMar>
          </w:tcPr>
          <w:p>
            <w:pPr>
              <w:spacing w:after="0"/>
            </w:pPr>
            <w:r>
              <w:rPr>
                <w:sz w:val="17"/>
              </w:rPr>
              <w:t>Partially addressed.</w:t>
            </w:r>
          </w:p>
        </w:tc>
        <w:tc>
          <w:tcPr>
            <w:tcW w:type="dxa" w:w="6768"/>
            <w:vAlign w:val="top"/>
            <w:tcMar>
              <w:top w:w="80" w:type="dxa"/>
              <w:start w:w="90" w:type="dxa"/>
              <w:bottom w:w="80" w:type="dxa"/>
              <w:end w:w="90" w:type="dxa"/>
            </w:tcMar>
          </w:tcPr>
          <w:p>
            <w:pPr>
              <w:spacing w:after="0"/>
            </w:pPr>
            <w:r>
              <w:rPr>
                <w:sz w:val="17"/>
              </w:rPr>
              <w:t>Frame-size guards and bounded replay storage reduce avoidable resource growth. Full DoS resistance and rate limiting are out of scope.</w:t>
            </w:r>
          </w:p>
        </w:tc>
      </w:tr>
      <w:tr>
        <w:trPr>
          <w:cantSplit/>
        </w:trPr>
        <w:tc>
          <w:tcPr>
            <w:tcW w:type="dxa" w:w="1944"/>
            <w:vAlign w:val="top"/>
            <w:tcMar>
              <w:top w:w="80" w:type="dxa"/>
              <w:start w:w="90" w:type="dxa"/>
              <w:bottom w:w="80" w:type="dxa"/>
              <w:end w:w="90" w:type="dxa"/>
            </w:tcMar>
          </w:tcPr>
          <w:p>
            <w:pPr>
              <w:spacing w:after="0"/>
            </w:pPr>
            <w:r>
              <w:rPr>
                <w:sz w:val="17"/>
              </w:rPr>
              <w:t>Elevation of Privilege</w:t>
            </w:r>
          </w:p>
        </w:tc>
        <w:tc>
          <w:tcPr>
            <w:tcW w:type="dxa" w:w="2448"/>
            <w:vAlign w:val="top"/>
            <w:tcMar>
              <w:top w:w="80" w:type="dxa"/>
              <w:start w:w="90" w:type="dxa"/>
              <w:bottom w:w="80" w:type="dxa"/>
              <w:end w:w="90" w:type="dxa"/>
            </w:tcMar>
          </w:tcPr>
          <w:p>
            <w:pPr>
              <w:spacing w:after="0"/>
            </w:pPr>
            <w:r>
              <w:rPr>
                <w:sz w:val="17"/>
              </w:rPr>
              <w:t>Not directly modeled.</w:t>
            </w:r>
          </w:p>
        </w:tc>
        <w:tc>
          <w:tcPr>
            <w:tcW w:type="dxa" w:w="6768"/>
            <w:vAlign w:val="top"/>
            <w:tcMar>
              <w:top w:w="80" w:type="dxa"/>
              <w:start w:w="90" w:type="dxa"/>
              <w:bottom w:w="80" w:type="dxa"/>
              <w:end w:w="90" w:type="dxa"/>
            </w:tcMar>
          </w:tcPr>
          <w:p>
            <w:pPr>
              <w:spacing w:after="0"/>
            </w:pPr>
            <w:r>
              <w:rPr>
                <w:sz w:val="17"/>
              </w:rPr>
              <w:t>Mercury has no user-account or privilege-management model in RC 1.2.</w:t>
            </w:r>
          </w:p>
        </w:tc>
      </w:tr>
    </w:tbl>
    <w:p>
      <w:pPr>
        <w:pStyle w:val="Heading1"/>
      </w:pPr>
      <w:r>
        <w:t>Out-of-Scope Threats</w:t>
      </w:r>
    </w:p>
    <w:p>
      <w:pPr>
        <w:pStyle w:val="ListBullet"/>
      </w:pPr>
      <w:r>
        <w:t>Operating system, runtime, trusted process, or developer-machine compromise.</w:t>
      </w:r>
    </w:p>
    <w:p>
      <w:pPr>
        <w:pStyle w:val="ListBullet"/>
      </w:pPr>
      <w:r>
        <w:t>Memory scraping by malware and advanced side-channel attacks.</w:t>
      </w:r>
    </w:p>
    <w:p>
      <w:pPr>
        <w:pStyle w:val="ListBullet"/>
      </w:pPr>
      <w:r>
        <w:t>Traffic analysis and endpoint fingerprinting.</w:t>
      </w:r>
    </w:p>
    <w:p>
      <w:pPr>
        <w:pStyle w:val="ListBullet"/>
      </w:pPr>
      <w:r>
        <w:t>Public key infrastructure and certificate authority attacks.</w:t>
      </w:r>
    </w:p>
    <w:p>
      <w:pPr>
        <w:pStyle w:val="ListBullet"/>
      </w:pPr>
      <w:r>
        <w:t>Hardware security module integration.</w:t>
      </w:r>
    </w:p>
    <w:p>
      <w:pPr>
        <w:pStyle w:val="ListBullet"/>
      </w:pPr>
      <w:r>
        <w:t>Long-term production key rotation and key-exchange failures.</w:t>
      </w:r>
    </w:p>
    <w:p>
      <w:pPr>
        <w:pStyle w:val="ListBullet"/>
      </w:pPr>
      <w:r>
        <w:t>Formal cryptographic verification and post-quantum cryptography.</w:t>
      </w:r>
    </w:p>
    <w:p>
      <w:pPr>
        <w:pStyle w:val="ListBullet"/>
      </w:pPr>
      <w:r>
        <w:t>Production deployment certification, government certification, and regulatory compliance.</w:t>
      </w:r>
    </w:p>
    <w:p>
      <w:pPr>
        <w:pStyle w:val="ListBullet"/>
      </w:pPr>
      <w:r>
        <w:t>Comprehensive distributed denial-of-service resistance.</w:t>
      </w:r>
    </w:p>
    <w:p>
      <w:pPr>
        <w:pStyle w:val="Heading1"/>
      </w:pPr>
      <w:r>
        <w:t>Residual Risks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160"/>
            <w:shd w:fill="1F4E79"/>
            <w:vAlign w:val="center"/>
            <w:tcMar>
              <w:top w:w="80" w:type="dxa"/>
              <w:start w:w="90" w:type="dxa"/>
              <w:bottom w:w="80" w:type="dxa"/>
              <w:end w:w="90" w:type="dxa"/>
            </w:tcMar>
          </w:tcPr>
          <w:p>
            <w:pPr>
              <w:spacing w:after="0"/>
            </w:pPr>
            <w:r>
              <w:rPr>
                <w:b/>
                <w:color w:val="FFFFFF"/>
                <w:sz w:val="16"/>
              </w:rPr>
              <w:t>Risk</w:t>
            </w:r>
          </w:p>
        </w:tc>
        <w:tc>
          <w:tcPr>
            <w:tcW w:type="dxa" w:w="4536"/>
            <w:shd w:fill="1F4E79"/>
            <w:vAlign w:val="center"/>
            <w:tcMar>
              <w:top w:w="80" w:type="dxa"/>
              <w:start w:w="90" w:type="dxa"/>
              <w:bottom w:w="80" w:type="dxa"/>
              <w:end w:w="90" w:type="dxa"/>
            </w:tcMar>
          </w:tcPr>
          <w:p>
            <w:pPr>
              <w:spacing w:after="0"/>
            </w:pPr>
            <w:r>
              <w:rPr>
                <w:b/>
                <w:color w:val="FFFFFF"/>
                <w:sz w:val="16"/>
              </w:rPr>
              <w:t>Reason</w:t>
            </w:r>
          </w:p>
        </w:tc>
        <w:tc>
          <w:tcPr>
            <w:tcW w:type="dxa" w:w="4392"/>
            <w:shd w:fill="1F4E79"/>
            <w:vAlign w:val="center"/>
            <w:tcMar>
              <w:top w:w="80" w:type="dxa"/>
              <w:start w:w="90" w:type="dxa"/>
              <w:bottom w:w="80" w:type="dxa"/>
              <w:end w:w="90" w:type="dxa"/>
            </w:tcMar>
          </w:tcPr>
          <w:p>
            <w:pPr>
              <w:spacing w:after="0"/>
            </w:pPr>
            <w:r>
              <w:rPr>
                <w:b/>
                <w:color w:val="FFFFFF"/>
                <w:sz w:val="16"/>
              </w:rPr>
              <w:t>Recommended Future Work</w:t>
            </w:r>
          </w:p>
        </w:tc>
      </w:tr>
      <w:tr>
        <w:trPr>
          <w:cantSplit/>
        </w:trPr>
        <w:tc>
          <w:tcPr>
            <w:tcW w:type="dxa" w:w="2160"/>
            <w:vAlign w:val="top"/>
            <w:tcMar>
              <w:top w:w="80" w:type="dxa"/>
              <w:start w:w="90" w:type="dxa"/>
              <w:bottom w:w="80" w:type="dxa"/>
              <w:end w:w="90" w:type="dxa"/>
            </w:tcMar>
          </w:tcPr>
          <w:p>
            <w:pPr>
              <w:spacing w:after="0"/>
            </w:pPr>
            <w:r>
              <w:rPr>
                <w:sz w:val="16"/>
              </w:rPr>
              <w:t>Replay state lifetime</w:t>
            </w:r>
          </w:p>
        </w:tc>
        <w:tc>
          <w:tcPr>
            <w:tcW w:type="dxa" w:w="4536"/>
            <w:vAlign w:val="top"/>
            <w:tcMar>
              <w:top w:w="80" w:type="dxa"/>
              <w:start w:w="90" w:type="dxa"/>
              <w:bottom w:w="80" w:type="dxa"/>
              <w:end w:w="90" w:type="dxa"/>
            </w:tcMar>
          </w:tcPr>
          <w:p>
            <w:pPr>
              <w:spacing w:after="0"/>
            </w:pPr>
            <w:r>
              <w:rPr>
                <w:sz w:val="16"/>
              </w:rPr>
              <w:t>In-memory replay state is lost when the process restarts.</w:t>
            </w:r>
          </w:p>
        </w:tc>
        <w:tc>
          <w:tcPr>
            <w:tcW w:type="dxa" w:w="4392"/>
            <w:vAlign w:val="top"/>
            <w:tcMar>
              <w:top w:w="80" w:type="dxa"/>
              <w:start w:w="90" w:type="dxa"/>
              <w:bottom w:w="80" w:type="dxa"/>
              <w:end w:w="90" w:type="dxa"/>
            </w:tcMar>
          </w:tcPr>
          <w:p>
            <w:pPr>
              <w:spacing w:after="0"/>
            </w:pPr>
            <w:r>
              <w:rPr>
                <w:sz w:val="16"/>
              </w:rPr>
              <w:t>Provide persistent or distributed replay storage where deployment requirements justify it.</w:t>
            </w:r>
          </w:p>
        </w:tc>
      </w:tr>
      <w:tr>
        <w:trPr>
          <w:cantSplit/>
        </w:trPr>
        <w:tc>
          <w:tcPr>
            <w:tcW w:type="dxa" w:w="2160"/>
            <w:vAlign w:val="top"/>
            <w:tcMar>
              <w:top w:w="80" w:type="dxa"/>
              <w:start w:w="90" w:type="dxa"/>
              <w:bottom w:w="80" w:type="dxa"/>
              <w:end w:w="90" w:type="dxa"/>
            </w:tcMar>
          </w:tcPr>
          <w:p>
            <w:pPr>
              <w:spacing w:after="0"/>
            </w:pPr>
            <w:r>
              <w:rPr>
                <w:sz w:val="16"/>
              </w:rPr>
              <w:t>Identity proofing</w:t>
            </w:r>
          </w:p>
        </w:tc>
        <w:tc>
          <w:tcPr>
            <w:tcW w:type="dxa" w:w="4536"/>
            <w:vAlign w:val="top"/>
            <w:tcMar>
              <w:top w:w="80" w:type="dxa"/>
              <w:start w:w="90" w:type="dxa"/>
              <w:bottom w:w="80" w:type="dxa"/>
              <w:end w:w="90" w:type="dxa"/>
            </w:tcMar>
          </w:tcPr>
          <w:p>
            <w:pPr>
              <w:spacing w:after="0"/>
            </w:pPr>
            <w:r>
              <w:rPr>
                <w:sz w:val="16"/>
              </w:rPr>
              <w:t>Shared-key context does not prove a human or certificate-backed identity.</w:t>
            </w:r>
          </w:p>
        </w:tc>
        <w:tc>
          <w:tcPr>
            <w:tcW w:type="dxa" w:w="4392"/>
            <w:vAlign w:val="top"/>
            <w:tcMar>
              <w:top w:w="80" w:type="dxa"/>
              <w:start w:w="90" w:type="dxa"/>
              <w:bottom w:w="80" w:type="dxa"/>
              <w:end w:w="90" w:type="dxa"/>
            </w:tcMar>
          </w:tcPr>
          <w:p>
            <w:pPr>
              <w:spacing w:after="0"/>
            </w:pPr>
            <w:r>
              <w:rPr>
                <w:sz w:val="16"/>
              </w:rPr>
              <w:t>Add digital signatures or certificate-backed identity.</w:t>
            </w:r>
          </w:p>
        </w:tc>
      </w:tr>
      <w:tr>
        <w:trPr>
          <w:cantSplit/>
        </w:trPr>
        <w:tc>
          <w:tcPr>
            <w:tcW w:type="dxa" w:w="2160"/>
            <w:vAlign w:val="top"/>
            <w:tcMar>
              <w:top w:w="80" w:type="dxa"/>
              <w:start w:w="90" w:type="dxa"/>
              <w:bottom w:w="80" w:type="dxa"/>
              <w:end w:w="90" w:type="dxa"/>
            </w:tcMar>
          </w:tcPr>
          <w:p>
            <w:pPr>
              <w:spacing w:after="0"/>
            </w:pPr>
            <w:r>
              <w:rPr>
                <w:sz w:val="16"/>
              </w:rPr>
              <w:t>Key lifecycle</w:t>
            </w:r>
          </w:p>
        </w:tc>
        <w:tc>
          <w:tcPr>
            <w:tcW w:type="dxa" w:w="4536"/>
            <w:vAlign w:val="top"/>
            <w:tcMar>
              <w:top w:w="80" w:type="dxa"/>
              <w:start w:w="90" w:type="dxa"/>
              <w:bottom w:w="80" w:type="dxa"/>
              <w:end w:w="90" w:type="dxa"/>
            </w:tcMar>
          </w:tcPr>
          <w:p>
            <w:pPr>
              <w:spacing w:after="0"/>
            </w:pPr>
            <w:r>
              <w:rPr>
                <w:sz w:val="16"/>
              </w:rPr>
              <w:t>Mercury assumes key provisioning, storage, rotation, and revocation are solved externally.</w:t>
            </w:r>
          </w:p>
        </w:tc>
        <w:tc>
          <w:tcPr>
            <w:tcW w:type="dxa" w:w="4392"/>
            <w:vAlign w:val="top"/>
            <w:tcMar>
              <w:top w:w="80" w:type="dxa"/>
              <w:start w:w="90" w:type="dxa"/>
              <w:bottom w:w="80" w:type="dxa"/>
              <w:end w:w="90" w:type="dxa"/>
            </w:tcMar>
          </w:tcPr>
          <w:p>
            <w:pPr>
              <w:spacing w:after="0"/>
            </w:pPr>
            <w:r>
              <w:rPr>
                <w:sz w:val="16"/>
              </w:rPr>
              <w:t>Integrate secure key storage, rotation, and exchange mechanisms.</w:t>
            </w:r>
          </w:p>
        </w:tc>
      </w:tr>
      <w:tr>
        <w:trPr>
          <w:cantSplit/>
        </w:trPr>
        <w:tc>
          <w:tcPr>
            <w:tcW w:type="dxa" w:w="2160"/>
            <w:vAlign w:val="top"/>
            <w:tcMar>
              <w:top w:w="80" w:type="dxa"/>
              <w:start w:w="90" w:type="dxa"/>
              <w:bottom w:w="80" w:type="dxa"/>
              <w:end w:w="90" w:type="dxa"/>
            </w:tcMar>
          </w:tcPr>
          <w:p>
            <w:pPr>
              <w:spacing w:after="0"/>
            </w:pPr>
            <w:r>
              <w:rPr>
                <w:sz w:val="16"/>
              </w:rPr>
              <w:t>Availability</w:t>
            </w:r>
          </w:p>
        </w:tc>
        <w:tc>
          <w:tcPr>
            <w:tcW w:type="dxa" w:w="4536"/>
            <w:vAlign w:val="top"/>
            <w:tcMar>
              <w:top w:w="80" w:type="dxa"/>
              <w:start w:w="90" w:type="dxa"/>
              <w:bottom w:w="80" w:type="dxa"/>
              <w:end w:w="90" w:type="dxa"/>
            </w:tcMar>
          </w:tcPr>
          <w:p>
            <w:pPr>
              <w:spacing w:after="0"/>
            </w:pPr>
            <w:r>
              <w:rPr>
                <w:sz w:val="16"/>
              </w:rPr>
              <w:t>Attackers may flood transports, fill replay capacity, or repeatedly send malformed frames.</w:t>
            </w:r>
          </w:p>
        </w:tc>
        <w:tc>
          <w:tcPr>
            <w:tcW w:type="dxa" w:w="4392"/>
            <w:vAlign w:val="top"/>
            <w:tcMar>
              <w:top w:w="80" w:type="dxa"/>
              <w:start w:w="90" w:type="dxa"/>
              <w:bottom w:w="80" w:type="dxa"/>
              <w:end w:w="90" w:type="dxa"/>
            </w:tcMar>
          </w:tcPr>
          <w:p>
            <w:pPr>
              <w:spacing w:after="0"/>
            </w:pPr>
            <w:r>
              <w:rPr>
                <w:sz w:val="16"/>
              </w:rPr>
              <w:t>Add rate limiting, quotas, connection authentication, backpressure, and deployment-specific monitoring.</w:t>
            </w:r>
          </w:p>
        </w:tc>
      </w:tr>
      <w:tr>
        <w:trPr>
          <w:cantSplit/>
        </w:trPr>
        <w:tc>
          <w:tcPr>
            <w:tcW w:type="dxa" w:w="2160"/>
            <w:vAlign w:val="top"/>
            <w:tcMar>
              <w:top w:w="80" w:type="dxa"/>
              <w:start w:w="90" w:type="dxa"/>
              <w:bottom w:w="80" w:type="dxa"/>
              <w:end w:w="90" w:type="dxa"/>
            </w:tcMar>
          </w:tcPr>
          <w:p>
            <w:pPr>
              <w:spacing w:after="0"/>
            </w:pPr>
            <w:r>
              <w:rPr>
                <w:sz w:val="16"/>
              </w:rPr>
              <w:t>FileDrop operational recovery</w:t>
            </w:r>
          </w:p>
        </w:tc>
        <w:tc>
          <w:tcPr>
            <w:tcW w:type="dxa" w:w="4536"/>
            <w:vAlign w:val="top"/>
            <w:tcMar>
              <w:top w:w="80" w:type="dxa"/>
              <w:start w:w="90" w:type="dxa"/>
              <w:bottom w:w="80" w:type="dxa"/>
              <w:end w:w="90" w:type="dxa"/>
            </w:tcMar>
          </w:tcPr>
          <w:p>
            <w:pPr>
              <w:spacing w:after="0"/>
            </w:pPr>
            <w:r>
              <w:rPr>
                <w:sz w:val="16"/>
              </w:rPr>
              <w:t>File-based delivery has more filesystem and stale-claim concerns than the primary in-memory and TCP paths.</w:t>
            </w:r>
          </w:p>
        </w:tc>
        <w:tc>
          <w:tcPr>
            <w:tcW w:type="dxa" w:w="4392"/>
            <w:vAlign w:val="top"/>
            <w:tcMar>
              <w:top w:w="80" w:type="dxa"/>
              <w:start w:w="90" w:type="dxa"/>
              <w:bottom w:w="80" w:type="dxa"/>
              <w:end w:w="90" w:type="dxa"/>
            </w:tcMar>
          </w:tcPr>
          <w:p>
            <w:pPr>
              <w:spacing w:after="0"/>
            </w:pPr>
            <w:r>
              <w:rPr>
                <w:sz w:val="16"/>
              </w:rPr>
              <w:t>Complete additional recovery, cleanup, path, and resource controls before production use.</w:t>
            </w:r>
          </w:p>
        </w:tc>
      </w:tr>
      <w:tr>
        <w:trPr>
          <w:cantSplit/>
        </w:trPr>
        <w:tc>
          <w:tcPr>
            <w:tcW w:type="dxa" w:w="2160"/>
            <w:vAlign w:val="top"/>
            <w:tcMar>
              <w:top w:w="80" w:type="dxa"/>
              <w:start w:w="90" w:type="dxa"/>
              <w:bottom w:w="80" w:type="dxa"/>
              <w:end w:w="90" w:type="dxa"/>
            </w:tcMar>
          </w:tcPr>
          <w:p>
            <w:pPr>
              <w:spacing w:after="0"/>
            </w:pPr>
            <w:r>
              <w:rPr>
                <w:sz w:val="16"/>
              </w:rPr>
              <w:t>AES-CCM status</w:t>
            </w:r>
          </w:p>
        </w:tc>
        <w:tc>
          <w:tcPr>
            <w:tcW w:type="dxa" w:w="4536"/>
            <w:vAlign w:val="top"/>
            <w:tcMar>
              <w:top w:w="80" w:type="dxa"/>
              <w:start w:w="90" w:type="dxa"/>
              <w:bottom w:w="80" w:type="dxa"/>
              <w:end w:w="90" w:type="dxa"/>
            </w:tcMar>
          </w:tcPr>
          <w:p>
            <w:pPr>
              <w:spacing w:after="0"/>
            </w:pPr>
            <w:r>
              <w:rPr>
                <w:sz w:val="16"/>
              </w:rPr>
              <w:t>The provider and its two tests remain pending.</w:t>
            </w:r>
          </w:p>
        </w:tc>
        <w:tc>
          <w:tcPr>
            <w:tcW w:type="dxa" w:w="4392"/>
            <w:vAlign w:val="top"/>
            <w:tcMar>
              <w:top w:w="80" w:type="dxa"/>
              <w:start w:w="90" w:type="dxa"/>
              <w:bottom w:w="80" w:type="dxa"/>
              <w:end w:w="90" w:type="dxa"/>
            </w:tcMar>
          </w:tcPr>
          <w:p>
            <w:pPr>
              <w:spacing w:after="0"/>
            </w:pPr>
            <w:r>
              <w:rPr>
                <w:sz w:val="16"/>
              </w:rPr>
              <w:t>Complete implementation, contract tests, pipeline tests, and demo verification before claiming support.</w:t>
            </w:r>
          </w:p>
        </w:tc>
      </w:tr>
      <w:tr>
        <w:trPr>
          <w:cantSplit/>
        </w:trPr>
        <w:tc>
          <w:tcPr>
            <w:tcW w:type="dxa" w:w="2160"/>
            <w:vAlign w:val="top"/>
            <w:tcMar>
              <w:top w:w="80" w:type="dxa"/>
              <w:start w:w="90" w:type="dxa"/>
              <w:bottom w:w="80" w:type="dxa"/>
              <w:end w:w="90" w:type="dxa"/>
            </w:tcMar>
          </w:tcPr>
          <w:p>
            <w:pPr>
              <w:spacing w:after="0"/>
            </w:pPr>
            <w:r>
              <w:rPr>
                <w:sz w:val="16"/>
              </w:rPr>
              <w:t>Side-channel exposure</w:t>
            </w:r>
          </w:p>
        </w:tc>
        <w:tc>
          <w:tcPr>
            <w:tcW w:type="dxa" w:w="4536"/>
            <w:vAlign w:val="top"/>
            <w:tcMar>
              <w:top w:w="80" w:type="dxa"/>
              <w:start w:w="90" w:type="dxa"/>
              <w:bottom w:w="80" w:type="dxa"/>
              <w:end w:w="90" w:type="dxa"/>
            </w:tcMar>
          </w:tcPr>
          <w:p>
            <w:pPr>
              <w:spacing w:after="0"/>
            </w:pPr>
            <w:r>
              <w:rPr>
                <w:sz w:val="16"/>
              </w:rPr>
              <w:t>Managed memory and platform behavior are not formally hardened against all observation techniques.</w:t>
            </w:r>
          </w:p>
        </w:tc>
        <w:tc>
          <w:tcPr>
            <w:tcW w:type="dxa" w:w="4392"/>
            <w:vAlign w:val="top"/>
            <w:tcMar>
              <w:top w:w="80" w:type="dxa"/>
              <w:start w:w="90" w:type="dxa"/>
              <w:bottom w:w="80" w:type="dxa"/>
              <w:end w:w="90" w:type="dxa"/>
            </w:tcMar>
          </w:tcPr>
          <w:p>
            <w:pPr>
              <w:spacing w:after="0"/>
            </w:pPr>
            <w:r>
              <w:rPr>
                <w:sz w:val="16"/>
              </w:rPr>
              <w:t>Evaluate zeroing, disposal, HSM integration, and deployment isolation for production scenarios.</w:t>
            </w:r>
          </w:p>
        </w:tc>
      </w:tr>
    </w:tbl>
    <w:p>
      <w:pPr>
        <w:pStyle w:val="Heading1"/>
      </w:pPr>
      <w:r>
        <w:t>Threat Model Conclusion</w:t>
      </w:r>
    </w:p>
    <w:p>
      <w:r>
        <w:t>Mercury RC 1.2 appropriately demonstrates confidentiality, integrity, authenticated envelope context, replay rejection, wrong-key failure, safe failure, transport independence, and bounded in-memory replay state for the academic scope. It does not claim PKI, human identity proofing, production key lifecycle management, full denial-of-service resistance, side-channel certification, or government certification.</w:t>
      </w:r>
    </w:p>
    <w:sectPr w:rsidR="00F0201A"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2C5F1" w14:textId="77777777" w:rsidR="00113DE4" w:rsidRDefault="00113DE4">
      <w:pPr>
        <w:spacing w:after="0" w:line="240" w:lineRule="auto"/>
      </w:pPr>
      <w:r>
        <w:separator/>
      </w:r>
    </w:p>
  </w:endnote>
  <w:endnote w:type="continuationSeparator" w:id="0">
    <w:p w14:paraId="031F18DE" w14:textId="77777777" w:rsidR="00113DE4" w:rsidRDefault="00113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D436" w14:textId="77777777" w:rsidR="00F0201A" w:rsidRDefault="00000000">
    <w:pPr>
      <w:pStyle w:val="Footer"/>
      <w:jc w:val="center"/>
    </w:pPr>
    <w:r>
      <w:rPr>
        <w:color w:val="646464"/>
        <w:sz w:val="14"/>
      </w:rPr>
      <w:t>CONFIDENTIAL ACADEMIC SUBMISSION - CSE499 review and grading only. | Copyright (C) 2026 Matthew D. Barker.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14A38" w14:textId="77777777" w:rsidR="00113DE4" w:rsidRDefault="00113DE4">
      <w:pPr>
        <w:spacing w:after="0" w:line="240" w:lineRule="auto"/>
      </w:pPr>
      <w:r>
        <w:separator/>
      </w:r>
    </w:p>
  </w:footnote>
  <w:footnote w:type="continuationSeparator" w:id="0">
    <w:p w14:paraId="06289BD8" w14:textId="77777777" w:rsidR="00113DE4" w:rsidRDefault="00113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3822" w14:textId="77777777" w:rsidR="00FA085A" w:rsidRDefault="00FA085A">
    <w:pPr>
      <w:pStyle w:val="Header"/>
      <w:jc w:val="right"/>
      <w:rPr>
        <w:color w:val="646464"/>
        <w:sz w:val="16"/>
      </w:rPr>
    </w:pPr>
    <w:r>
      <w:rPr>
        <w:color w:val="646464"/>
        <w:sz w:val="16"/>
      </w:rPr>
      <w:t>Mercury | Threat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9470853">
    <w:abstractNumId w:val="8"/>
  </w:num>
  <w:num w:numId="2" w16cid:durableId="475756662">
    <w:abstractNumId w:val="6"/>
  </w:num>
  <w:num w:numId="3" w16cid:durableId="2057386221">
    <w:abstractNumId w:val="5"/>
  </w:num>
  <w:num w:numId="4" w16cid:durableId="567230377">
    <w:abstractNumId w:val="4"/>
  </w:num>
  <w:num w:numId="5" w16cid:durableId="2065449153">
    <w:abstractNumId w:val="7"/>
  </w:num>
  <w:num w:numId="6" w16cid:durableId="56754590">
    <w:abstractNumId w:val="3"/>
  </w:num>
  <w:num w:numId="7" w16cid:durableId="632172416">
    <w:abstractNumId w:val="2"/>
  </w:num>
  <w:num w:numId="8" w16cid:durableId="97481678">
    <w:abstractNumId w:val="1"/>
  </w:num>
  <w:num w:numId="9" w16cid:durableId="173959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DE4"/>
    <w:rsid w:val="0015074B"/>
    <w:rsid w:val="0029639D"/>
    <w:rsid w:val="00326F90"/>
    <w:rsid w:val="004164D5"/>
    <w:rsid w:val="004C5364"/>
    <w:rsid w:val="00AA1D8D"/>
    <w:rsid w:val="00AB7125"/>
    <w:rsid w:val="00B47730"/>
    <w:rsid w:val="00CA31BF"/>
    <w:rsid w:val="00CB0664"/>
    <w:rsid w:val="00F0201A"/>
    <w:rsid w:val="00FA08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A8186"/>
  <w14:defaultImageDpi w14:val="300"/>
  <w15:docId w15:val="{69C5EFE4-2D3D-4C5F-99E1-E932A655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918</Words>
  <Characters>5233</Characters>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Mercury RC 1.2 Threat Model</dc:title>
  <dc:subject>CSE499 Senior Project - Mercury RC 1.2</dc:subject>
  <dc:creator>Matthew D. Barker</dc:creator>
  <cp:keywords>Mercury, CSE499, secure communications, authenticated encryption</cp:keywords>
  <cp:lastModifiedBy>Matthew Barker</cp:lastModifiedBy>
  <cp:revision>3</cp:revision>
  <dcterms:created xsi:type="dcterms:W3CDTF">2013-12-23T23:15:00Z</dcterms:created>
  <dcterms:modified xsi:type="dcterms:W3CDTF">2026-07-09T16:27:00Z</dcterms:modified>
  <cp:category/>
</cp:coreProperties>
</file>