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D8A" w:rsidRPr="00125C2F" w:rsidRDefault="009D5305" w:rsidP="00D37D8A">
      <w:pPr>
        <w:pStyle w:val="MDPI63Notes"/>
        <w:rPr>
          <w:rFonts w:asciiTheme="minorHAnsi" w:eastAsia="Times New Roman" w:hAnsiTheme="minorHAnsi" w:cstheme="minorHAnsi"/>
          <w:b/>
          <w:bCs/>
          <w:snapToGrid/>
          <w:color w:val="0070C0"/>
          <w:sz w:val="24"/>
          <w:szCs w:val="24"/>
          <w:lang w:eastAsia="de-DE" w:bidi="ar-SA"/>
        </w:rPr>
      </w:pPr>
      <w:r>
        <w:rPr>
          <w:rFonts w:asciiTheme="minorHAnsi" w:eastAsia="Times New Roman" w:hAnsiTheme="minorHAnsi" w:cstheme="minorHAnsi"/>
          <w:b/>
          <w:bCs/>
          <w:snapToGrid/>
          <w:color w:val="0070C0"/>
          <w:sz w:val="24"/>
          <w:szCs w:val="24"/>
          <w:lang w:eastAsia="de-DE" w:bidi="ar-SA"/>
        </w:rPr>
        <w:t>Figure Captions</w:t>
      </w:r>
    </w:p>
    <w:p w:rsidR="00ED72D1" w:rsidRDefault="00ED72D1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</w:p>
    <w:p w:rsidR="008D536F" w:rsidRPr="000C6515" w:rsidRDefault="008D536F" w:rsidP="008D536F">
      <w:pPr>
        <w:pStyle w:val="MDPI71References"/>
        <w:numPr>
          <w:ilvl w:val="0"/>
          <w:numId w:val="0"/>
        </w:numPr>
        <w:spacing w:after="160"/>
        <w:rPr>
          <w:rFonts w:asciiTheme="minorHAnsi" w:eastAsia="SimSun" w:hAnsiTheme="minorHAnsi" w:cstheme="minorHAnsi"/>
          <w:i/>
          <w:sz w:val="20"/>
          <w:lang w:val="en-GB"/>
        </w:rPr>
      </w:pPr>
      <w:r w:rsidRPr="000C6515">
        <w:rPr>
          <w:rFonts w:asciiTheme="minorHAnsi" w:eastAsia="SimSun" w:hAnsiTheme="minorHAnsi" w:cstheme="minorHAnsi"/>
          <w:b/>
          <w:sz w:val="20"/>
        </w:rPr>
        <w:t>Fig. 1:</w:t>
      </w:r>
      <w:r w:rsidRPr="000C6515">
        <w:rPr>
          <w:rFonts w:asciiTheme="minorHAnsi" w:eastAsia="SimSun" w:hAnsiTheme="minorHAnsi" w:cstheme="minorHAnsi"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b/>
          <w:sz w:val="20"/>
        </w:rPr>
        <w:t xml:space="preserve">Workflow of the nested cross-validation approach. </w:t>
      </w:r>
      <w:proofErr w:type="spellStart"/>
      <w:r w:rsidRPr="000C6515">
        <w:rPr>
          <w:rFonts w:asciiTheme="minorHAnsi" w:eastAsia="SimSun" w:hAnsiTheme="minorHAnsi" w:cstheme="minorHAnsi"/>
          <w:sz w:val="20"/>
        </w:rPr>
        <w:t>cvAUC</w:t>
      </w:r>
      <w:proofErr w:type="spellEnd"/>
      <w:r w:rsidRPr="000C6515">
        <w:rPr>
          <w:rFonts w:asciiTheme="minorHAnsi" w:eastAsia="SimSun" w:hAnsiTheme="minorHAnsi" w:cstheme="minorHAnsi"/>
          <w:sz w:val="20"/>
        </w:rPr>
        <w:t xml:space="preserve">: cross-validated area under the curve. cv: cross validation. </w:t>
      </w:r>
    </w:p>
    <w:p w:rsidR="008D536F" w:rsidRDefault="008D536F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</w:p>
    <w:p w:rsidR="008D536F" w:rsidRDefault="008D536F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sz w:val="20"/>
          <w:lang w:val="en-GB"/>
        </w:rPr>
      </w:pPr>
      <w:r w:rsidRPr="000C6515">
        <w:rPr>
          <w:rFonts w:asciiTheme="minorHAnsi" w:eastAsia="SimSun" w:hAnsiTheme="minorHAnsi" w:cstheme="minorHAnsi"/>
          <w:b/>
          <w:sz w:val="20"/>
          <w:lang w:val="en-GB"/>
        </w:rPr>
        <w:t>Fig. 2: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</w:t>
      </w:r>
      <w:r w:rsidRPr="000C6515">
        <w:rPr>
          <w:rFonts w:asciiTheme="minorHAnsi" w:eastAsia="SimSun" w:hAnsiTheme="minorHAnsi" w:cstheme="minorHAnsi"/>
          <w:b/>
          <w:sz w:val="20"/>
          <w:lang w:val="en-GB"/>
        </w:rPr>
        <w:t>Log-2 miRNA expression in melanoma patients grouped by immunotherapy response.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Expression has been determined by </w:t>
      </w:r>
      <w:proofErr w:type="spellStart"/>
      <w:r w:rsidRPr="000C6515">
        <w:rPr>
          <w:rFonts w:asciiTheme="minorHAnsi" w:eastAsia="SimSun" w:hAnsiTheme="minorHAnsi" w:cstheme="minorHAnsi"/>
          <w:sz w:val="20"/>
          <w:lang w:val="en-GB"/>
        </w:rPr>
        <w:t>FirePlex</w:t>
      </w:r>
      <w:proofErr w:type="spellEnd"/>
      <w:r w:rsidRPr="00B00F2E">
        <w:rPr>
          <w:rFonts w:ascii="Segoe UI Emoji" w:eastAsia="Segoe UI Emoji" w:hAnsi="Segoe UI Emoji" w:cs="Segoe UI Emoji"/>
          <w:sz w:val="20"/>
          <w:vertAlign w:val="superscript"/>
          <w:lang w:val="en-GB"/>
        </w:rPr>
        <w:t>®</w:t>
      </w:r>
      <w:r>
        <w:rPr>
          <w:rFonts w:asciiTheme="minorHAnsi" w:eastAsia="SimSun" w:hAnsiTheme="minorHAnsi" w:cstheme="minorHAnsi"/>
          <w:sz w:val="20"/>
          <w:lang w:val="en-GB"/>
        </w:rPr>
        <w:t>-assay</w:t>
      </w:r>
      <w:r w:rsidRPr="000C6515">
        <w:rPr>
          <w:rFonts w:asciiTheme="minorHAnsi" w:eastAsia="SimSun" w:hAnsiTheme="minorHAnsi" w:cstheme="minorHAnsi"/>
          <w:sz w:val="20"/>
          <w:lang w:val="en-GB"/>
        </w:rPr>
        <w:t>. Crossbars show mean ± sd. Statistics: unequal variances t-test (</w:t>
      </w:r>
      <w:r>
        <w:rPr>
          <w:rFonts w:asciiTheme="minorHAnsi" w:eastAsia="SimSun" w:hAnsiTheme="minorHAnsi" w:cstheme="minorHAnsi"/>
          <w:sz w:val="20"/>
          <w:lang w:val="en-GB"/>
        </w:rPr>
        <w:t>W</w:t>
      </w:r>
      <w:r w:rsidRPr="000C6515">
        <w:rPr>
          <w:rFonts w:asciiTheme="minorHAnsi" w:eastAsia="SimSun" w:hAnsiTheme="minorHAnsi" w:cstheme="minorHAnsi"/>
          <w:sz w:val="20"/>
          <w:lang w:val="en-GB"/>
        </w:rPr>
        <w:t>elch’s t-test). Grey: Non-responder. Blue: Responder.</w:t>
      </w:r>
      <w:r>
        <w:rPr>
          <w:rFonts w:asciiTheme="minorHAnsi" w:eastAsia="SimSun" w:hAnsiTheme="minorHAnsi" w:cstheme="minorHAnsi"/>
          <w:sz w:val="20"/>
          <w:lang w:val="en-GB"/>
        </w:rPr>
        <w:t xml:space="preserve"> *: p&lt;0.05.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  </w:t>
      </w:r>
    </w:p>
    <w:p w:rsidR="008D536F" w:rsidRDefault="008D536F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sz w:val="20"/>
          <w:lang w:val="en-GB"/>
        </w:rPr>
      </w:pPr>
    </w:p>
    <w:p w:rsidR="008D536F" w:rsidRPr="000C6515" w:rsidRDefault="008D536F" w:rsidP="008D536F">
      <w:pPr>
        <w:pStyle w:val="MDPI71References"/>
        <w:numPr>
          <w:ilvl w:val="0"/>
          <w:numId w:val="0"/>
        </w:numPr>
        <w:spacing w:after="160"/>
        <w:rPr>
          <w:rFonts w:asciiTheme="minorHAnsi" w:eastAsia="SimSun" w:hAnsiTheme="minorHAnsi" w:cstheme="minorHAnsi"/>
          <w:sz w:val="20"/>
          <w:lang w:val="en-GB"/>
        </w:rPr>
      </w:pPr>
      <w:r w:rsidRPr="000C6515">
        <w:rPr>
          <w:rFonts w:asciiTheme="minorHAnsi" w:eastAsia="SimSun" w:hAnsiTheme="minorHAnsi" w:cstheme="minorHAnsi"/>
          <w:b/>
          <w:sz w:val="20"/>
        </w:rPr>
        <w:t>Fig. 3:</w:t>
      </w:r>
      <w:r w:rsidRPr="000C6515">
        <w:rPr>
          <w:rFonts w:asciiTheme="minorHAnsi" w:eastAsia="SimSun" w:hAnsiTheme="minorHAnsi" w:cstheme="minorHAnsi"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b/>
          <w:sz w:val="20"/>
        </w:rPr>
        <w:t>Log-2 serum marker concentration.</w:t>
      </w:r>
      <w:r w:rsidRPr="000C6515">
        <w:rPr>
          <w:rFonts w:asciiTheme="minorHAnsi" w:eastAsia="SimSun" w:hAnsiTheme="minorHAnsi" w:cstheme="minorHAnsi"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sz w:val="20"/>
          <w:lang w:val="en-GB"/>
        </w:rPr>
        <w:t>Crossbars show mean ± sd. Statistics: unequal variances t-test (</w:t>
      </w:r>
      <w:proofErr w:type="spellStart"/>
      <w:r w:rsidRPr="000C6515">
        <w:rPr>
          <w:rFonts w:asciiTheme="minorHAnsi" w:eastAsia="SimSun" w:hAnsiTheme="minorHAnsi" w:cstheme="minorHAnsi"/>
          <w:sz w:val="20"/>
          <w:lang w:val="en-GB"/>
        </w:rPr>
        <w:t>welch’s</w:t>
      </w:r>
      <w:proofErr w:type="spellEnd"/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t-test). Grey: Non-responder. Blue: Responder. CRP: c-reactive protein. LDH: lactate dehydrogenase. </w:t>
      </w:r>
      <w:r>
        <w:rPr>
          <w:rFonts w:asciiTheme="minorHAnsi" w:eastAsia="SimSun" w:hAnsiTheme="minorHAnsi" w:cstheme="minorHAnsi"/>
          <w:sz w:val="20"/>
          <w:lang w:val="en-GB"/>
        </w:rPr>
        <w:t>*: p&lt;0.05; **: p&lt;0.01; ***: p&lt;0.001.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 </w:t>
      </w:r>
    </w:p>
    <w:p w:rsidR="008D536F" w:rsidRDefault="008D536F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</w:p>
    <w:p w:rsidR="008D536F" w:rsidRPr="000C6515" w:rsidRDefault="008D536F" w:rsidP="008D536F">
      <w:pPr>
        <w:pStyle w:val="MDPI71References"/>
        <w:numPr>
          <w:ilvl w:val="0"/>
          <w:numId w:val="0"/>
        </w:numPr>
        <w:spacing w:after="160"/>
        <w:rPr>
          <w:rFonts w:asciiTheme="minorHAnsi" w:eastAsia="SimSun" w:hAnsiTheme="minorHAnsi" w:cstheme="minorHAnsi"/>
          <w:sz w:val="20"/>
          <w:lang w:val="en-GB"/>
        </w:rPr>
      </w:pPr>
      <w:r w:rsidRPr="000C6515">
        <w:rPr>
          <w:rFonts w:asciiTheme="minorHAnsi" w:eastAsia="SimSun" w:hAnsiTheme="minorHAnsi" w:cstheme="minorHAnsi"/>
          <w:b/>
          <w:sz w:val="20"/>
        </w:rPr>
        <w:t>Fig. 4:</w:t>
      </w:r>
      <w:r w:rsidRPr="000C6515">
        <w:rPr>
          <w:rFonts w:asciiTheme="minorHAnsi" w:eastAsia="SimSun" w:hAnsiTheme="minorHAnsi" w:cstheme="minorHAnsi"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b/>
          <w:sz w:val="20"/>
        </w:rPr>
        <w:t xml:space="preserve">Development of a machine learning model. </w:t>
      </w:r>
      <w:r>
        <w:rPr>
          <w:rFonts w:asciiTheme="minorHAnsi" w:eastAsia="SimSun" w:hAnsiTheme="minorHAnsi" w:cstheme="minorHAnsi"/>
          <w:b/>
          <w:sz w:val="20"/>
        </w:rPr>
        <w:t>(</w:t>
      </w:r>
      <w:r w:rsidRPr="000C6515">
        <w:rPr>
          <w:rFonts w:asciiTheme="minorHAnsi" w:eastAsia="SimSun" w:hAnsiTheme="minorHAnsi" w:cstheme="minorHAnsi"/>
          <w:b/>
          <w:sz w:val="20"/>
        </w:rPr>
        <w:t>A</w:t>
      </w:r>
      <w:r>
        <w:rPr>
          <w:rFonts w:asciiTheme="minorHAnsi" w:eastAsia="SimSun" w:hAnsiTheme="minorHAnsi" w:cstheme="minorHAnsi"/>
          <w:b/>
          <w:sz w:val="20"/>
        </w:rPr>
        <w:t>)</w:t>
      </w:r>
      <w:r w:rsidRPr="000C6515">
        <w:rPr>
          <w:rFonts w:asciiTheme="minorHAnsi" w:eastAsia="SimSun" w:hAnsiTheme="minorHAnsi" w:cstheme="minorHAnsi"/>
          <w:b/>
          <w:sz w:val="20"/>
        </w:rPr>
        <w:t xml:space="preserve">: </w:t>
      </w:r>
      <w:r w:rsidRPr="000C6515">
        <w:rPr>
          <w:rFonts w:asciiTheme="minorHAnsi" w:eastAsia="SimSun" w:hAnsiTheme="minorHAnsi" w:cstheme="minorHAnsi"/>
          <w:i/>
          <w:sz w:val="20"/>
        </w:rPr>
        <w:t xml:space="preserve">Model selection based on </w:t>
      </w:r>
      <w:proofErr w:type="spellStart"/>
      <w:r w:rsidRPr="000C6515">
        <w:rPr>
          <w:rFonts w:asciiTheme="minorHAnsi" w:eastAsia="SimSun" w:hAnsiTheme="minorHAnsi" w:cstheme="minorHAnsi"/>
          <w:i/>
          <w:sz w:val="20"/>
        </w:rPr>
        <w:t>cvAUC</w:t>
      </w:r>
      <w:proofErr w:type="spellEnd"/>
      <w:r w:rsidRPr="000C6515">
        <w:rPr>
          <w:rFonts w:asciiTheme="minorHAnsi" w:eastAsia="SimSun" w:hAnsiTheme="minorHAnsi" w:cstheme="minorHAnsi"/>
          <w:i/>
          <w:sz w:val="20"/>
        </w:rPr>
        <w:t>.</w:t>
      </w:r>
      <w:r w:rsidRPr="000C6515">
        <w:rPr>
          <w:rFonts w:asciiTheme="minorHAnsi" w:eastAsia="SimSun" w:hAnsiTheme="minorHAnsi" w:cstheme="minorHAnsi"/>
          <w:b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sz w:val="20"/>
        </w:rPr>
        <w:t>Calculation of cross-validated AUC as described in the workflow passage (Fig</w:t>
      </w:r>
      <w:r>
        <w:rPr>
          <w:rFonts w:asciiTheme="minorHAnsi" w:eastAsia="SimSun" w:hAnsiTheme="minorHAnsi" w:cstheme="minorHAnsi"/>
          <w:sz w:val="20"/>
        </w:rPr>
        <w:t>.</w:t>
      </w:r>
      <w:r w:rsidRPr="000C6515">
        <w:rPr>
          <w:rFonts w:asciiTheme="minorHAnsi" w:eastAsia="SimSun" w:hAnsiTheme="minorHAnsi" w:cstheme="minorHAnsi"/>
          <w:sz w:val="20"/>
        </w:rPr>
        <w:t xml:space="preserve"> </w:t>
      </w:r>
      <w:r>
        <w:rPr>
          <w:rFonts w:asciiTheme="minorHAnsi" w:eastAsia="SimSun" w:hAnsiTheme="minorHAnsi" w:cstheme="minorHAnsi"/>
          <w:sz w:val="20"/>
        </w:rPr>
        <w:t>1</w:t>
      </w:r>
      <w:r w:rsidRPr="000C6515">
        <w:rPr>
          <w:rFonts w:asciiTheme="minorHAnsi" w:eastAsia="SimSun" w:hAnsiTheme="minorHAnsi" w:cstheme="minorHAnsi"/>
          <w:sz w:val="20"/>
        </w:rPr>
        <w:t>)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. </w:t>
      </w:r>
      <w:r>
        <w:rPr>
          <w:rFonts w:asciiTheme="minorHAnsi" w:eastAsia="SimSun" w:hAnsiTheme="minorHAnsi" w:cstheme="minorHAnsi"/>
          <w:sz w:val="20"/>
          <w:lang w:val="en-GB"/>
        </w:rPr>
        <w:t>Blue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</w:t>
      </w:r>
      <w:r>
        <w:rPr>
          <w:rFonts w:asciiTheme="minorHAnsi" w:eastAsia="SimSun" w:hAnsiTheme="minorHAnsi" w:cstheme="minorHAnsi"/>
          <w:sz w:val="20"/>
          <w:lang w:val="en-GB"/>
        </w:rPr>
        <w:t>dots</w:t>
      </w:r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indicate the mean </w:t>
      </w:r>
      <w:proofErr w:type="spellStart"/>
      <w:r w:rsidRPr="000C6515">
        <w:rPr>
          <w:rFonts w:asciiTheme="minorHAnsi" w:eastAsia="SimSun" w:hAnsiTheme="minorHAnsi" w:cstheme="minorHAnsi"/>
          <w:sz w:val="20"/>
          <w:lang w:val="en-GB"/>
        </w:rPr>
        <w:t>cvAUC</w:t>
      </w:r>
      <w:proofErr w:type="spellEnd"/>
      <w:r w:rsidRPr="000C6515">
        <w:rPr>
          <w:rFonts w:asciiTheme="minorHAnsi" w:eastAsia="SimSun" w:hAnsiTheme="minorHAnsi" w:cstheme="minorHAnsi"/>
          <w:sz w:val="20"/>
          <w:lang w:val="en-GB"/>
        </w:rPr>
        <w:t xml:space="preserve"> for each model. Error bars indicate 95% confidence intervals. </w:t>
      </w:r>
      <w:r>
        <w:rPr>
          <w:rFonts w:asciiTheme="minorHAnsi" w:eastAsia="SimSun" w:hAnsiTheme="minorHAnsi" w:cstheme="minorHAnsi"/>
          <w:sz w:val="20"/>
          <w:lang w:val="en-GB"/>
        </w:rPr>
        <w:t>(</w:t>
      </w:r>
      <w:r w:rsidRPr="000C6515">
        <w:rPr>
          <w:rFonts w:asciiTheme="minorHAnsi" w:eastAsia="SimSun" w:hAnsiTheme="minorHAnsi" w:cstheme="minorHAnsi"/>
          <w:b/>
          <w:sz w:val="20"/>
          <w:lang w:val="en-GB"/>
        </w:rPr>
        <w:t>B</w:t>
      </w:r>
      <w:r>
        <w:rPr>
          <w:rFonts w:asciiTheme="minorHAnsi" w:eastAsia="SimSun" w:hAnsiTheme="minorHAnsi" w:cstheme="minorHAnsi"/>
          <w:b/>
          <w:sz w:val="20"/>
          <w:lang w:val="en-GB"/>
        </w:rPr>
        <w:t>)</w:t>
      </w:r>
      <w:r w:rsidRPr="000C6515">
        <w:rPr>
          <w:rFonts w:asciiTheme="minorHAnsi" w:eastAsia="SimSun" w:hAnsiTheme="minorHAnsi" w:cstheme="minorHAnsi"/>
          <w:b/>
          <w:sz w:val="20"/>
          <w:lang w:val="en-GB"/>
        </w:rPr>
        <w:t>: </w:t>
      </w:r>
      <w:r w:rsidRPr="000C6515">
        <w:rPr>
          <w:rFonts w:asciiTheme="minorHAnsi" w:eastAsia="SimSun" w:hAnsiTheme="minorHAnsi" w:cstheme="minorHAnsi"/>
          <w:i/>
          <w:sz w:val="20"/>
        </w:rPr>
        <w:t>Model evaluation in the outer loop of nested cross validation.</w:t>
      </w:r>
      <w:r w:rsidRPr="000C6515">
        <w:rPr>
          <w:rFonts w:asciiTheme="minorHAnsi" w:eastAsia="SimSun" w:hAnsiTheme="minorHAnsi" w:cstheme="minorHAnsi"/>
          <w:b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sz w:val="20"/>
        </w:rPr>
        <w:t xml:space="preserve">Application of the </w:t>
      </w:r>
      <w:proofErr w:type="spellStart"/>
      <w:r w:rsidRPr="000C6515">
        <w:rPr>
          <w:rFonts w:asciiTheme="minorHAnsi" w:eastAsia="SimSun" w:hAnsiTheme="minorHAnsi" w:cstheme="minorHAnsi"/>
          <w:i/>
          <w:sz w:val="20"/>
        </w:rPr>
        <w:t>relaxedLasso</w:t>
      </w:r>
      <w:proofErr w:type="spellEnd"/>
      <w:r w:rsidRPr="000C6515">
        <w:rPr>
          <w:rFonts w:asciiTheme="minorHAnsi" w:eastAsia="SimSun" w:hAnsiTheme="minorHAnsi" w:cstheme="minorHAnsi"/>
          <w:i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sz w:val="20"/>
        </w:rPr>
        <w:t xml:space="preserve">model on the test set in the outer loop resulted in different performances in each iteration (grey lines). </w:t>
      </w:r>
      <w:r>
        <w:rPr>
          <w:rFonts w:asciiTheme="minorHAnsi" w:eastAsia="SimSun" w:hAnsiTheme="minorHAnsi" w:cstheme="minorHAnsi"/>
          <w:sz w:val="20"/>
        </w:rPr>
        <w:t xml:space="preserve">Red </w:t>
      </w:r>
      <w:proofErr w:type="spellStart"/>
      <w:r>
        <w:rPr>
          <w:rFonts w:asciiTheme="minorHAnsi" w:eastAsia="SimSun" w:hAnsiTheme="minorHAnsi" w:cstheme="minorHAnsi"/>
          <w:sz w:val="20"/>
        </w:rPr>
        <w:t>dottet</w:t>
      </w:r>
      <w:proofErr w:type="spellEnd"/>
      <w:r>
        <w:rPr>
          <w:rFonts w:asciiTheme="minorHAnsi" w:eastAsia="SimSun" w:hAnsiTheme="minorHAnsi" w:cstheme="minorHAnsi"/>
          <w:sz w:val="20"/>
        </w:rPr>
        <w:t xml:space="preserve"> line: random classifier. Blue line: combined ROC curve for the cross validation process.</w:t>
      </w:r>
      <w:r w:rsidRPr="000C6515">
        <w:rPr>
          <w:rFonts w:asciiTheme="minorHAnsi" w:eastAsia="SimSun" w:hAnsiTheme="minorHAnsi" w:cstheme="minorHAnsi"/>
          <w:sz w:val="20"/>
        </w:rPr>
        <w:t xml:space="preserve"> AUC: area under the curve. Values in parentheses indicate 95% confidence interval for the AUC. </w:t>
      </w:r>
      <w:r>
        <w:rPr>
          <w:rFonts w:asciiTheme="minorHAnsi" w:eastAsia="SimSun" w:hAnsiTheme="minorHAnsi" w:cstheme="minorHAnsi"/>
          <w:sz w:val="20"/>
        </w:rPr>
        <w:t>(</w:t>
      </w:r>
      <w:r w:rsidRPr="000C6515">
        <w:rPr>
          <w:rFonts w:asciiTheme="minorHAnsi" w:eastAsia="SimSun" w:hAnsiTheme="minorHAnsi" w:cstheme="minorHAnsi"/>
          <w:b/>
          <w:sz w:val="20"/>
          <w:lang w:val="en-GB"/>
        </w:rPr>
        <w:t>C</w:t>
      </w:r>
      <w:r>
        <w:rPr>
          <w:rFonts w:asciiTheme="minorHAnsi" w:eastAsia="SimSun" w:hAnsiTheme="minorHAnsi" w:cstheme="minorHAnsi"/>
          <w:b/>
          <w:sz w:val="20"/>
          <w:lang w:val="en-GB"/>
        </w:rPr>
        <w:t>)</w:t>
      </w:r>
      <w:r w:rsidRPr="000C6515">
        <w:rPr>
          <w:rFonts w:asciiTheme="minorHAnsi" w:eastAsia="SimSun" w:hAnsiTheme="minorHAnsi" w:cstheme="minorHAnsi"/>
          <w:b/>
          <w:sz w:val="20"/>
          <w:lang w:val="en-GB"/>
        </w:rPr>
        <w:t>:</w:t>
      </w:r>
      <w:r w:rsidRPr="000C6515">
        <w:rPr>
          <w:rFonts w:asciiTheme="minorHAnsi" w:eastAsia="SimSun" w:hAnsiTheme="minorHAnsi" w:cstheme="minorHAnsi"/>
          <w:b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i/>
          <w:sz w:val="20"/>
        </w:rPr>
        <w:t>Feature importance in the feature selection process.</w:t>
      </w:r>
      <w:r w:rsidRPr="000C6515">
        <w:rPr>
          <w:rFonts w:asciiTheme="minorHAnsi" w:eastAsia="SimSun" w:hAnsiTheme="minorHAnsi" w:cstheme="minorHAnsi"/>
          <w:b/>
          <w:sz w:val="20"/>
        </w:rPr>
        <w:t xml:space="preserve"> </w:t>
      </w:r>
      <w:r w:rsidRPr="000C6515">
        <w:rPr>
          <w:rFonts w:asciiTheme="minorHAnsi" w:eastAsia="SimSun" w:hAnsiTheme="minorHAnsi" w:cstheme="minorHAnsi"/>
          <w:sz w:val="20"/>
        </w:rPr>
        <w:t xml:space="preserve">Features used in more than 50% of the iterations in the first LASSO regression were considered important.  Grey: features below the 50% threshold. Blue: features above the 50% threshold. Red dotted line indicates 50%. Significantly changed features are depicted in red.   </w:t>
      </w:r>
    </w:p>
    <w:p w:rsidR="008D536F" w:rsidRDefault="008D536F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</w:p>
    <w:p w:rsidR="008D536F" w:rsidRDefault="008D536F" w:rsidP="00ED72D1">
      <w:pPr>
        <w:pStyle w:val="MDPI71References"/>
        <w:numPr>
          <w:ilvl w:val="0"/>
          <w:numId w:val="0"/>
        </w:numPr>
        <w:spacing w:line="360" w:lineRule="auto"/>
        <w:rPr>
          <w:rFonts w:asciiTheme="minorHAnsi" w:eastAsia="SimSun" w:hAnsiTheme="minorHAnsi" w:cstheme="minorHAnsi"/>
          <w:b/>
          <w:sz w:val="20"/>
          <w:lang w:val="en-GB"/>
        </w:rPr>
      </w:pPr>
      <w:bookmarkStart w:id="0" w:name="_GoBack"/>
      <w:bookmarkEnd w:id="0"/>
    </w:p>
    <w:p w:rsidR="00ED72D1" w:rsidRPr="00ED72D1" w:rsidRDefault="00ED72D1" w:rsidP="00FF18C9">
      <w:pPr>
        <w:rPr>
          <w:rFonts w:asciiTheme="minorHAnsi" w:hAnsiTheme="minorHAnsi" w:cstheme="minorHAnsi"/>
          <w:lang w:val="en-GB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Default="00ED72D1" w:rsidP="00FF18C9">
      <w:pPr>
        <w:rPr>
          <w:rFonts w:asciiTheme="minorHAnsi" w:hAnsiTheme="minorHAnsi" w:cstheme="minorHAnsi"/>
        </w:rPr>
      </w:pPr>
    </w:p>
    <w:p w:rsidR="00ED72D1" w:rsidRPr="005A47B3" w:rsidRDefault="00ED72D1" w:rsidP="00FF18C9">
      <w:pPr>
        <w:rPr>
          <w:rFonts w:asciiTheme="minorHAnsi" w:hAnsiTheme="minorHAnsi" w:cstheme="minorHAnsi"/>
        </w:rPr>
      </w:pPr>
    </w:p>
    <w:sectPr w:rsidR="00ED72D1" w:rsidRPr="005A4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245F"/>
    <w:multiLevelType w:val="hybridMultilevel"/>
    <w:tmpl w:val="66A43380"/>
    <w:lvl w:ilvl="0" w:tplc="1AF444CE">
      <w:start w:val="1"/>
      <w:numFmt w:val="decimal"/>
      <w:pStyle w:val="MDPI71References"/>
      <w:lvlText w:val="%1."/>
      <w:lvlJc w:val="left"/>
      <w:pPr>
        <w:ind w:left="6233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893" w:hanging="360"/>
      </w:pPr>
    </w:lvl>
    <w:lvl w:ilvl="2" w:tplc="0809001B" w:tentative="1">
      <w:start w:val="1"/>
      <w:numFmt w:val="lowerRoman"/>
      <w:lvlText w:val="%3."/>
      <w:lvlJc w:val="right"/>
      <w:pPr>
        <w:ind w:left="7613" w:hanging="180"/>
      </w:pPr>
    </w:lvl>
    <w:lvl w:ilvl="3" w:tplc="0809000F" w:tentative="1">
      <w:start w:val="1"/>
      <w:numFmt w:val="decimal"/>
      <w:lvlText w:val="%4."/>
      <w:lvlJc w:val="left"/>
      <w:pPr>
        <w:ind w:left="8333" w:hanging="360"/>
      </w:pPr>
    </w:lvl>
    <w:lvl w:ilvl="4" w:tplc="08090019" w:tentative="1">
      <w:start w:val="1"/>
      <w:numFmt w:val="lowerLetter"/>
      <w:lvlText w:val="%5."/>
      <w:lvlJc w:val="left"/>
      <w:pPr>
        <w:ind w:left="9053" w:hanging="360"/>
      </w:pPr>
    </w:lvl>
    <w:lvl w:ilvl="5" w:tplc="0809001B" w:tentative="1">
      <w:start w:val="1"/>
      <w:numFmt w:val="lowerRoman"/>
      <w:lvlText w:val="%6."/>
      <w:lvlJc w:val="right"/>
      <w:pPr>
        <w:ind w:left="9773" w:hanging="180"/>
      </w:pPr>
    </w:lvl>
    <w:lvl w:ilvl="6" w:tplc="0809000F" w:tentative="1">
      <w:start w:val="1"/>
      <w:numFmt w:val="decimal"/>
      <w:lvlText w:val="%7."/>
      <w:lvlJc w:val="left"/>
      <w:pPr>
        <w:ind w:left="10493" w:hanging="360"/>
      </w:pPr>
    </w:lvl>
    <w:lvl w:ilvl="7" w:tplc="08090019" w:tentative="1">
      <w:start w:val="1"/>
      <w:numFmt w:val="lowerLetter"/>
      <w:lvlText w:val="%8."/>
      <w:lvlJc w:val="left"/>
      <w:pPr>
        <w:ind w:left="11213" w:hanging="360"/>
      </w:pPr>
    </w:lvl>
    <w:lvl w:ilvl="8" w:tplc="0809001B" w:tentative="1">
      <w:start w:val="1"/>
      <w:numFmt w:val="lowerRoman"/>
      <w:lvlText w:val="%9."/>
      <w:lvlJc w:val="right"/>
      <w:pPr>
        <w:ind w:left="119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C9"/>
    <w:rsid w:val="002B0939"/>
    <w:rsid w:val="002F1102"/>
    <w:rsid w:val="004B12F5"/>
    <w:rsid w:val="005A47B3"/>
    <w:rsid w:val="005E3F9D"/>
    <w:rsid w:val="006451AA"/>
    <w:rsid w:val="007377C0"/>
    <w:rsid w:val="008D536F"/>
    <w:rsid w:val="008E5C0E"/>
    <w:rsid w:val="009956BE"/>
    <w:rsid w:val="009D5305"/>
    <w:rsid w:val="00D37D8A"/>
    <w:rsid w:val="00ED72D1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56F2"/>
  <w15:chartTrackingRefBased/>
  <w15:docId w15:val="{4185349B-A515-4296-A89F-20B6D96B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A47B3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DPI13authornames">
    <w:name w:val="MDPI_1.3_authornames"/>
    <w:basedOn w:val="Standard"/>
    <w:next w:val="Standard"/>
    <w:qFormat/>
    <w:rsid w:val="005A47B3"/>
    <w:pPr>
      <w:adjustRightInd w:val="0"/>
      <w:snapToGrid w:val="0"/>
      <w:spacing w:after="120" w:line="260" w:lineRule="atLeast"/>
      <w:jc w:val="left"/>
    </w:pPr>
    <w:rPr>
      <w:rFonts w:ascii="Palatino Linotype" w:hAnsi="Palatino Linotype"/>
      <w:b/>
      <w:sz w:val="20"/>
      <w:szCs w:val="22"/>
      <w:lang w:bidi="en-US"/>
    </w:rPr>
  </w:style>
  <w:style w:type="paragraph" w:customStyle="1" w:styleId="MDPI16affiliation">
    <w:name w:val="MDPI_1.6_affiliation"/>
    <w:basedOn w:val="Standard"/>
    <w:qFormat/>
    <w:rsid w:val="005A47B3"/>
    <w:pPr>
      <w:adjustRightInd w:val="0"/>
      <w:snapToGrid w:val="0"/>
      <w:spacing w:line="200" w:lineRule="atLeast"/>
      <w:ind w:left="311" w:hanging="198"/>
      <w:jc w:val="left"/>
    </w:pPr>
    <w:rPr>
      <w:rFonts w:ascii="Palatino Linotype" w:hAnsi="Palatino Linotype"/>
      <w:sz w:val="18"/>
      <w:szCs w:val="18"/>
      <w:lang w:bidi="en-US"/>
    </w:rPr>
  </w:style>
  <w:style w:type="paragraph" w:customStyle="1" w:styleId="MDPI63Notes">
    <w:name w:val="MDPI_6.3_Notes"/>
    <w:qFormat/>
    <w:rsid w:val="00D37D8A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sz w:val="18"/>
      <w:szCs w:val="20"/>
      <w:lang w:val="en-US" w:bidi="en-US"/>
    </w:rPr>
  </w:style>
  <w:style w:type="paragraph" w:customStyle="1" w:styleId="MDPI71References">
    <w:name w:val="MDPI_7.1_References"/>
    <w:basedOn w:val="Standard"/>
    <w:qFormat/>
    <w:rsid w:val="00ED72D1"/>
    <w:pPr>
      <w:numPr>
        <w:numId w:val="1"/>
      </w:numPr>
      <w:adjustRightInd w:val="0"/>
      <w:snapToGrid w:val="0"/>
      <w:spacing w:line="260" w:lineRule="atLeast"/>
    </w:pPr>
    <w:rPr>
      <w:rFonts w:ascii="Palatino Linotype" w:hAnsi="Palatino Linotype"/>
      <w:snapToGrid w:val="0"/>
      <w:sz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Zellbiologie</dc:creator>
  <cp:keywords/>
  <dc:description/>
  <cp:lastModifiedBy>Zellbiologie</cp:lastModifiedBy>
  <cp:revision>11</cp:revision>
  <dcterms:created xsi:type="dcterms:W3CDTF">2022-10-14T12:19:00Z</dcterms:created>
  <dcterms:modified xsi:type="dcterms:W3CDTF">2024-07-22T11:38:00Z</dcterms:modified>
</cp:coreProperties>
</file>