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B66" w:rsidRDefault="008106C4">
      <w:pPr>
        <w:jc w:val="center"/>
        <w:rPr>
          <w:b/>
          <w:sz w:val="36"/>
          <w:u w:val="single"/>
        </w:rPr>
      </w:pPr>
      <w:r>
        <w:rPr>
          <w:b/>
          <w:sz w:val="36"/>
          <w:u w:val="single"/>
        </w:rPr>
        <w:t>scRNAseq guideline</w:t>
      </w:r>
    </w:p>
    <w:p w:rsidR="007E1B66" w:rsidRDefault="007E1B66">
      <w:pPr>
        <w:jc w:val="both"/>
        <w:rPr>
          <w:b/>
          <w:sz w:val="24"/>
        </w:rPr>
      </w:pPr>
    </w:p>
    <w:p w:rsidR="007E1B66" w:rsidRDefault="008106C4">
      <w:pPr>
        <w:jc w:val="both"/>
        <w:rPr>
          <w:b/>
          <w:sz w:val="24"/>
        </w:rPr>
      </w:pPr>
      <w:r>
        <w:rPr>
          <w:b/>
          <w:sz w:val="24"/>
        </w:rPr>
        <w:t>Resources:</w:t>
      </w:r>
    </w:p>
    <w:p w:rsidR="007E1B66" w:rsidRDefault="00C23B3D">
      <w:pPr>
        <w:pStyle w:val="Listenabsatz"/>
        <w:numPr>
          <w:ilvl w:val="0"/>
          <w:numId w:val="1"/>
        </w:numPr>
        <w:jc w:val="both"/>
        <w:rPr>
          <w:sz w:val="24"/>
        </w:rPr>
      </w:pPr>
      <w:hyperlink r:id="rId5">
        <w:r w:rsidR="008106C4">
          <w:rPr>
            <w:rStyle w:val="Internetverknpfung"/>
            <w:sz w:val="24"/>
          </w:rPr>
          <w:t>https://www.sc-best-practices.org/mechanisms/gene_regulatory_networks.html</w:t>
        </w:r>
      </w:hyperlink>
      <w:r w:rsidR="008106C4">
        <w:rPr>
          <w:sz w:val="24"/>
        </w:rPr>
        <w:t xml:space="preserve"> (book)</w:t>
      </w:r>
    </w:p>
    <w:p w:rsidR="007E1B66" w:rsidRDefault="00C23B3D">
      <w:pPr>
        <w:pStyle w:val="Listenabsatz"/>
        <w:numPr>
          <w:ilvl w:val="0"/>
          <w:numId w:val="1"/>
        </w:numPr>
        <w:jc w:val="both"/>
        <w:rPr>
          <w:sz w:val="24"/>
        </w:rPr>
      </w:pPr>
      <w:hyperlink r:id="rId6">
        <w:r w:rsidR="008106C4">
          <w:rPr>
            <w:rStyle w:val="Internetverknpfung"/>
            <w:sz w:val="24"/>
          </w:rPr>
          <w:t>https://pubmed.ncbi.nlm.nih.gov/37002403/</w:t>
        </w:r>
      </w:hyperlink>
      <w:r w:rsidR="008106C4">
        <w:rPr>
          <w:sz w:val="24"/>
        </w:rPr>
        <w:t xml:space="preserve"> (Best practices across modalities 2023)</w:t>
      </w:r>
    </w:p>
    <w:p w:rsidR="007E1B66" w:rsidRDefault="00C23B3D">
      <w:pPr>
        <w:pStyle w:val="Listenabsatz"/>
        <w:numPr>
          <w:ilvl w:val="0"/>
          <w:numId w:val="1"/>
        </w:numPr>
        <w:jc w:val="both"/>
        <w:rPr>
          <w:sz w:val="24"/>
        </w:rPr>
      </w:pPr>
      <w:hyperlink r:id="rId7">
        <w:r w:rsidR="008106C4">
          <w:rPr>
            <w:rStyle w:val="Internetverknpfung"/>
            <w:sz w:val="24"/>
          </w:rPr>
          <w:t>https://pubmed.ncbi.nlm.nih.gov/31217225/</w:t>
        </w:r>
      </w:hyperlink>
      <w:r w:rsidR="008106C4">
        <w:rPr>
          <w:sz w:val="24"/>
        </w:rPr>
        <w:t xml:space="preserve"> (Current best practices 2019)</w:t>
      </w:r>
    </w:p>
    <w:p w:rsidR="007E1B66" w:rsidRDefault="007E1B66"/>
    <w:p w:rsidR="007E1B66" w:rsidRDefault="008106C4">
      <w:pPr>
        <w:rPr>
          <w:b/>
        </w:rPr>
      </w:pPr>
      <w:r>
        <w:rPr>
          <w:b/>
        </w:rPr>
        <w:t>Workflow:</w:t>
      </w:r>
    </w:p>
    <w:p w:rsidR="007E1B66" w:rsidRDefault="008106C4">
      <w:pPr>
        <w:pStyle w:val="Listenabsatz"/>
        <w:numPr>
          <w:ilvl w:val="0"/>
          <w:numId w:val="4"/>
        </w:numPr>
        <w:rPr>
          <w:b/>
          <w:color w:val="0070C0"/>
        </w:rPr>
      </w:pPr>
      <w:r>
        <w:rPr>
          <w:b/>
          <w:color w:val="0070C0"/>
        </w:rPr>
        <w:t>GENERAL</w:t>
      </w:r>
    </w:p>
    <w:p w:rsidR="007E1B66" w:rsidRDefault="008106C4">
      <w:pPr>
        <w:pStyle w:val="Listenabsatz"/>
        <w:numPr>
          <w:ilvl w:val="1"/>
          <w:numId w:val="4"/>
        </w:numPr>
        <w:rPr>
          <w:b/>
        </w:rPr>
      </w:pPr>
      <w:r>
        <w:t xml:space="preserve">Use </w:t>
      </w:r>
      <w:r>
        <w:rPr>
          <w:b/>
        </w:rPr>
        <w:t>permissive QC thresholds</w:t>
      </w:r>
      <w:r>
        <w:t xml:space="preserve"> and investigate the effects of these thresholds before going back to perform more stringent QC </w:t>
      </w:r>
    </w:p>
    <w:p w:rsidR="007E1B66" w:rsidRDefault="008106C4">
      <w:pPr>
        <w:pStyle w:val="Listenabsatz"/>
        <w:numPr>
          <w:ilvl w:val="2"/>
          <w:numId w:val="4"/>
        </w:numPr>
        <w:rPr>
          <w:b/>
        </w:rPr>
      </w:pPr>
      <w:r>
        <w:t xml:space="preserve">Especially relevant for datasets containing heterogenous cell populations where cell types may be misinterpreted as low-quality outlier cells </w:t>
      </w:r>
    </w:p>
    <w:p w:rsidR="007E1B66" w:rsidRDefault="008106C4">
      <w:pPr>
        <w:pStyle w:val="Listenabsatz"/>
        <w:numPr>
          <w:ilvl w:val="2"/>
          <w:numId w:val="4"/>
        </w:numPr>
        <w:rPr>
          <w:b/>
        </w:rPr>
      </w:pPr>
      <w:r>
        <w:t>In low quality experiments stringent QC may be appropriate</w:t>
      </w:r>
    </w:p>
    <w:p w:rsidR="007E1B66" w:rsidRDefault="008106C4">
      <w:pPr>
        <w:pStyle w:val="Listenabsatz"/>
        <w:numPr>
          <w:ilvl w:val="1"/>
          <w:numId w:val="4"/>
        </w:numPr>
        <w:rPr>
          <w:b/>
        </w:rPr>
      </w:pPr>
      <w:r>
        <w:rPr>
          <w:b/>
        </w:rPr>
        <w:t>QC should be performed on the sample level</w:t>
      </w:r>
    </w:p>
    <w:p w:rsidR="007E1B66" w:rsidRDefault="008106C4">
      <w:pPr>
        <w:pStyle w:val="Listenabsatz"/>
        <w:numPr>
          <w:ilvl w:val="1"/>
          <w:numId w:val="4"/>
        </w:numPr>
      </w:pPr>
      <w:r>
        <w:rPr>
          <w:b/>
        </w:rPr>
        <w:t>Regress out biological covariates (e.g. cell cycle) only for trajectory inference</w:t>
      </w:r>
      <w:r>
        <w:t xml:space="preserve"> and if other biological processes of interest are </w:t>
      </w:r>
      <w:r>
        <w:rPr>
          <w:b/>
        </w:rPr>
        <w:t>not masked</w:t>
      </w:r>
      <w:r>
        <w:t xml:space="preserve"> by the regressed out covariate</w:t>
      </w:r>
      <w:r w:rsidR="00E8212B">
        <w:t xml:space="preserve"> (if possible do not regress out at all, only with strong distortion of data</w:t>
      </w:r>
      <w:r w:rsidR="00E8212B">
        <w:rPr>
          <w:sz w:val="24"/>
        </w:rPr>
        <w:t>)</w:t>
      </w:r>
    </w:p>
    <w:p w:rsidR="007E1B66" w:rsidRDefault="008106C4">
      <w:pPr>
        <w:pStyle w:val="Listenabsatz"/>
        <w:numPr>
          <w:ilvl w:val="1"/>
          <w:numId w:val="4"/>
        </w:numPr>
      </w:pPr>
      <w:r>
        <w:rPr>
          <w:b/>
        </w:rPr>
        <w:t xml:space="preserve">Regress out technical and biological variation jointly </w:t>
      </w:r>
      <w:r>
        <w:t>(to account for correlation effects)</w:t>
      </w:r>
    </w:p>
    <w:p w:rsidR="007E1B66" w:rsidRDefault="007E1B66"/>
    <w:tbl>
      <w:tblPr>
        <w:tblStyle w:val="Tabellenraster"/>
        <w:tblW w:w="9062" w:type="dxa"/>
        <w:tblLayout w:type="fixed"/>
        <w:tblLook w:val="04A0" w:firstRow="1" w:lastRow="0" w:firstColumn="1" w:lastColumn="0" w:noHBand="0" w:noVBand="1"/>
      </w:tblPr>
      <w:tblGrid>
        <w:gridCol w:w="2126"/>
        <w:gridCol w:w="3261"/>
        <w:gridCol w:w="3675"/>
      </w:tblGrid>
      <w:tr w:rsidR="007E1B66">
        <w:trPr>
          <w:trHeight w:val="460"/>
        </w:trPr>
        <w:tc>
          <w:tcPr>
            <w:tcW w:w="2126" w:type="dxa"/>
            <w:tcBorders>
              <w:top w:val="nil"/>
              <w:left w:val="nil"/>
              <w:bottom w:val="single" w:sz="12" w:space="0" w:color="000000"/>
              <w:right w:val="single" w:sz="12" w:space="0" w:color="FFFFFF"/>
            </w:tcBorders>
            <w:shd w:val="clear" w:color="auto" w:fill="D9D9D9" w:themeFill="background1" w:themeFillShade="D9"/>
          </w:tcPr>
          <w:p w:rsidR="007E1B66" w:rsidRDefault="008106C4">
            <w:pPr>
              <w:spacing w:after="0" w:line="240" w:lineRule="auto"/>
              <w:rPr>
                <w:rFonts w:ascii="Calibri" w:eastAsia="Calibri" w:hAnsi="Calibri"/>
              </w:rPr>
            </w:pPr>
            <w:r>
              <w:rPr>
                <w:rFonts w:eastAsia="Calibri"/>
              </w:rPr>
              <w:t>Pre-processing layer</w:t>
            </w:r>
          </w:p>
        </w:tc>
        <w:tc>
          <w:tcPr>
            <w:tcW w:w="3261" w:type="dxa"/>
            <w:tcBorders>
              <w:top w:val="nil"/>
              <w:left w:val="single" w:sz="12" w:space="0" w:color="FFFFFF"/>
              <w:bottom w:val="single" w:sz="12" w:space="0" w:color="000000"/>
              <w:right w:val="single" w:sz="12" w:space="0" w:color="FFFFFF"/>
            </w:tcBorders>
            <w:shd w:val="clear" w:color="auto" w:fill="D9D9D9" w:themeFill="background1" w:themeFillShade="D9"/>
          </w:tcPr>
          <w:p w:rsidR="007E1B66" w:rsidRDefault="008106C4">
            <w:pPr>
              <w:spacing w:after="0" w:line="240" w:lineRule="auto"/>
              <w:rPr>
                <w:rFonts w:ascii="Calibri" w:eastAsia="Calibri" w:hAnsi="Calibri"/>
              </w:rPr>
            </w:pPr>
            <w:r>
              <w:rPr>
                <w:rFonts w:eastAsia="Calibri"/>
              </w:rPr>
              <w:t>Stage of data processing</w:t>
            </w:r>
          </w:p>
        </w:tc>
        <w:tc>
          <w:tcPr>
            <w:tcW w:w="3675" w:type="dxa"/>
            <w:tcBorders>
              <w:top w:val="nil"/>
              <w:left w:val="single" w:sz="12" w:space="0" w:color="FFFFFF"/>
              <w:bottom w:val="single" w:sz="12" w:space="0" w:color="000000"/>
              <w:right w:val="nil"/>
            </w:tcBorders>
            <w:shd w:val="clear" w:color="auto" w:fill="D9D9D9" w:themeFill="background1" w:themeFillShade="D9"/>
          </w:tcPr>
          <w:p w:rsidR="007E1B66" w:rsidRDefault="008106C4">
            <w:pPr>
              <w:spacing w:after="0" w:line="240" w:lineRule="auto"/>
              <w:rPr>
                <w:rFonts w:ascii="Calibri" w:eastAsia="Calibri" w:hAnsi="Calibri"/>
              </w:rPr>
            </w:pPr>
            <w:r>
              <w:rPr>
                <w:rFonts w:eastAsia="Calibri"/>
              </w:rPr>
              <w:t>Appropriate applications</w:t>
            </w:r>
          </w:p>
        </w:tc>
      </w:tr>
      <w:tr w:rsidR="007E1B66">
        <w:tc>
          <w:tcPr>
            <w:tcW w:w="2126" w:type="dxa"/>
            <w:vMerge w:val="restart"/>
            <w:tcBorders>
              <w:top w:val="single" w:sz="12" w:space="0" w:color="000000"/>
              <w:left w:val="nil"/>
              <w:bottom w:val="single" w:sz="12" w:space="0" w:color="000000"/>
              <w:right w:val="nil"/>
            </w:tcBorders>
            <w:shd w:val="clear" w:color="auto" w:fill="F2F2F2" w:themeFill="background1" w:themeFillShade="F2"/>
          </w:tcPr>
          <w:p w:rsidR="007E1B66" w:rsidRDefault="008106C4">
            <w:pPr>
              <w:spacing w:after="0" w:line="240" w:lineRule="auto"/>
              <w:rPr>
                <w:rFonts w:ascii="Calibri" w:eastAsia="Calibri" w:hAnsi="Calibri"/>
              </w:rPr>
            </w:pPr>
            <w:r>
              <w:rPr>
                <w:rFonts w:eastAsia="Calibri"/>
              </w:rPr>
              <w:t>Measured</w:t>
            </w:r>
          </w:p>
        </w:tc>
        <w:tc>
          <w:tcPr>
            <w:tcW w:w="3261" w:type="dxa"/>
            <w:tcBorders>
              <w:top w:val="single" w:sz="12" w:space="0" w:color="000000"/>
              <w:left w:val="nil"/>
              <w:right w:val="nil"/>
            </w:tcBorders>
          </w:tcPr>
          <w:p w:rsidR="007E1B66" w:rsidRDefault="008106C4">
            <w:pPr>
              <w:spacing w:after="0" w:line="240" w:lineRule="auto"/>
              <w:rPr>
                <w:rFonts w:ascii="Calibri" w:eastAsia="Calibri" w:hAnsi="Calibri"/>
              </w:rPr>
            </w:pPr>
            <w:r>
              <w:rPr>
                <w:rFonts w:eastAsia="Calibri"/>
              </w:rPr>
              <w:t>1) Raw</w:t>
            </w:r>
          </w:p>
        </w:tc>
        <w:tc>
          <w:tcPr>
            <w:tcW w:w="3675" w:type="dxa"/>
            <w:tcBorders>
              <w:top w:val="single" w:sz="12" w:space="0" w:color="000000"/>
              <w:left w:val="nil"/>
              <w:right w:val="nil"/>
            </w:tcBorders>
          </w:tcPr>
          <w:p w:rsidR="007E1B66" w:rsidRDefault="007E1B66">
            <w:pPr>
              <w:spacing w:after="0" w:line="240" w:lineRule="auto"/>
              <w:rPr>
                <w:rFonts w:ascii="Calibri" w:eastAsia="Calibri" w:hAnsi="Calibri"/>
              </w:rPr>
            </w:pPr>
          </w:p>
        </w:tc>
      </w:tr>
      <w:tr w:rsidR="007E1B66">
        <w:tc>
          <w:tcPr>
            <w:tcW w:w="2126" w:type="dxa"/>
            <w:vMerge/>
            <w:tcBorders>
              <w:left w:val="nil"/>
              <w:bottom w:val="single" w:sz="12" w:space="0" w:color="000000"/>
              <w:right w:val="nil"/>
            </w:tcBorders>
            <w:shd w:val="clear" w:color="auto" w:fill="F2F2F2" w:themeFill="background1" w:themeFillShade="F2"/>
          </w:tcPr>
          <w:p w:rsidR="007E1B66" w:rsidRDefault="007E1B66">
            <w:pPr>
              <w:spacing w:after="0" w:line="240" w:lineRule="auto"/>
              <w:rPr>
                <w:rFonts w:ascii="Calibri" w:eastAsia="Calibri" w:hAnsi="Calibri"/>
              </w:rPr>
            </w:pPr>
          </w:p>
        </w:tc>
        <w:tc>
          <w:tcPr>
            <w:tcW w:w="3261"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 xml:space="preserve">2) Normalized (+ log transformed) </w:t>
            </w:r>
          </w:p>
          <w:p w:rsidR="007E1B66" w:rsidRDefault="007E1B66">
            <w:pPr>
              <w:spacing w:after="0" w:line="240" w:lineRule="auto"/>
              <w:rPr>
                <w:rFonts w:ascii="Calibri" w:eastAsia="Calibri" w:hAnsi="Calibri"/>
              </w:rPr>
            </w:pPr>
          </w:p>
        </w:tc>
        <w:tc>
          <w:tcPr>
            <w:tcW w:w="3675"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 xml:space="preserve">Differential gene expression (account for technival variance within the model) </w:t>
            </w:r>
          </w:p>
          <w:p w:rsidR="007E1B66" w:rsidRDefault="008106C4">
            <w:pPr>
              <w:spacing w:after="0" w:line="240" w:lineRule="auto"/>
            </w:pPr>
            <w:r>
              <w:rPr>
                <w:rFonts w:ascii="Wingdings" w:eastAsia="Wingdings" w:hAnsi="Wingdings" w:cs="Wingdings"/>
              </w:rPr>
              <w:t></w:t>
            </w:r>
            <w:r>
              <w:rPr>
                <w:rFonts w:eastAsia="Calibri"/>
              </w:rPr>
              <w:t xml:space="preserve"> be careful not to use non-linear normalization as it blurs the line between normalization and correction</w:t>
            </w:r>
          </w:p>
        </w:tc>
      </w:tr>
      <w:tr w:rsidR="007E1B66">
        <w:tc>
          <w:tcPr>
            <w:tcW w:w="2126" w:type="dxa"/>
            <w:vMerge w:val="restart"/>
            <w:tcBorders>
              <w:top w:val="single" w:sz="12" w:space="0" w:color="000000"/>
              <w:left w:val="nil"/>
              <w:bottom w:val="single" w:sz="12" w:space="0" w:color="000000"/>
              <w:right w:val="nil"/>
            </w:tcBorders>
            <w:shd w:val="clear" w:color="auto" w:fill="F2F2F2" w:themeFill="background1" w:themeFillShade="F2"/>
          </w:tcPr>
          <w:p w:rsidR="007E1B66" w:rsidRDefault="008106C4">
            <w:pPr>
              <w:spacing w:after="0" w:line="240" w:lineRule="auto"/>
              <w:rPr>
                <w:rFonts w:ascii="Calibri" w:eastAsia="Calibri" w:hAnsi="Calibri"/>
              </w:rPr>
            </w:pPr>
            <w:r>
              <w:rPr>
                <w:rFonts w:eastAsia="Calibri"/>
              </w:rPr>
              <w:t>Corrected</w:t>
            </w:r>
          </w:p>
        </w:tc>
        <w:tc>
          <w:tcPr>
            <w:tcW w:w="3261" w:type="dxa"/>
            <w:tcBorders>
              <w:top w:val="single" w:sz="12" w:space="0" w:color="000000"/>
              <w:left w:val="nil"/>
              <w:right w:val="nil"/>
            </w:tcBorders>
          </w:tcPr>
          <w:p w:rsidR="007E1B66" w:rsidRDefault="008106C4">
            <w:pPr>
              <w:spacing w:after="0" w:line="240" w:lineRule="auto"/>
              <w:rPr>
                <w:rFonts w:ascii="Calibri" w:eastAsia="Calibri" w:hAnsi="Calibri"/>
              </w:rPr>
            </w:pPr>
            <w:r>
              <w:rPr>
                <w:rFonts w:eastAsia="Calibri"/>
              </w:rPr>
              <w:t>3.1) Corrected (technical)</w:t>
            </w:r>
          </w:p>
        </w:tc>
        <w:tc>
          <w:tcPr>
            <w:tcW w:w="3675" w:type="dxa"/>
            <w:tcBorders>
              <w:top w:val="single" w:sz="12" w:space="0" w:color="000000"/>
              <w:left w:val="nil"/>
              <w:right w:val="nil"/>
            </w:tcBorders>
          </w:tcPr>
          <w:p w:rsidR="007E1B66" w:rsidRDefault="008106C4">
            <w:pPr>
              <w:spacing w:after="0" w:line="240" w:lineRule="auto"/>
              <w:rPr>
                <w:rFonts w:ascii="Calibri" w:eastAsia="Calibri" w:hAnsi="Calibri"/>
              </w:rPr>
            </w:pPr>
            <w:r>
              <w:rPr>
                <w:rFonts w:eastAsia="Calibri"/>
              </w:rPr>
              <w:t xml:space="preserve">Visual comparison of data (plotting) </w:t>
            </w:r>
          </w:p>
        </w:tc>
      </w:tr>
      <w:tr w:rsidR="007E1B66">
        <w:tc>
          <w:tcPr>
            <w:tcW w:w="2126" w:type="dxa"/>
            <w:vMerge/>
            <w:tcBorders>
              <w:left w:val="nil"/>
              <w:bottom w:val="single" w:sz="12" w:space="0" w:color="000000"/>
              <w:right w:val="nil"/>
            </w:tcBorders>
            <w:shd w:val="clear" w:color="auto" w:fill="F2F2F2" w:themeFill="background1" w:themeFillShade="F2"/>
          </w:tcPr>
          <w:p w:rsidR="007E1B66" w:rsidRDefault="007E1B66">
            <w:pPr>
              <w:spacing w:after="0" w:line="240" w:lineRule="auto"/>
              <w:rPr>
                <w:rFonts w:ascii="Calibri" w:eastAsia="Calibri" w:hAnsi="Calibri"/>
              </w:rPr>
            </w:pPr>
          </w:p>
        </w:tc>
        <w:tc>
          <w:tcPr>
            <w:tcW w:w="3261"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 xml:space="preserve">3.2) Corrected (biological) </w:t>
            </w:r>
          </w:p>
        </w:tc>
        <w:tc>
          <w:tcPr>
            <w:tcW w:w="3675"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Pre-Processing for trajectory inference</w:t>
            </w:r>
          </w:p>
        </w:tc>
      </w:tr>
      <w:tr w:rsidR="007E1B66">
        <w:tc>
          <w:tcPr>
            <w:tcW w:w="2126" w:type="dxa"/>
            <w:vMerge w:val="restart"/>
            <w:tcBorders>
              <w:top w:val="single" w:sz="12" w:space="0" w:color="000000"/>
              <w:left w:val="nil"/>
              <w:bottom w:val="single" w:sz="12" w:space="0" w:color="000000"/>
              <w:right w:val="nil"/>
            </w:tcBorders>
            <w:shd w:val="clear" w:color="auto" w:fill="F2F2F2" w:themeFill="background1" w:themeFillShade="F2"/>
          </w:tcPr>
          <w:p w:rsidR="007E1B66" w:rsidRDefault="008106C4">
            <w:pPr>
              <w:spacing w:after="0" w:line="240" w:lineRule="auto"/>
              <w:rPr>
                <w:rFonts w:ascii="Calibri" w:eastAsia="Calibri" w:hAnsi="Calibri"/>
              </w:rPr>
            </w:pPr>
            <w:r>
              <w:rPr>
                <w:rFonts w:eastAsia="Calibri"/>
              </w:rPr>
              <w:t xml:space="preserve">Reduced </w:t>
            </w:r>
          </w:p>
        </w:tc>
        <w:tc>
          <w:tcPr>
            <w:tcW w:w="3261" w:type="dxa"/>
            <w:tcBorders>
              <w:top w:val="single" w:sz="12" w:space="0" w:color="000000"/>
              <w:left w:val="nil"/>
              <w:right w:val="nil"/>
            </w:tcBorders>
          </w:tcPr>
          <w:p w:rsidR="007E1B66" w:rsidRDefault="008106C4">
            <w:pPr>
              <w:spacing w:after="0" w:line="240" w:lineRule="auto"/>
              <w:rPr>
                <w:rFonts w:ascii="Calibri" w:eastAsia="Calibri" w:hAnsi="Calibri"/>
              </w:rPr>
            </w:pPr>
            <w:r>
              <w:rPr>
                <w:rFonts w:eastAsia="Calibri"/>
              </w:rPr>
              <w:t>4) Feature selected</w:t>
            </w:r>
          </w:p>
        </w:tc>
        <w:tc>
          <w:tcPr>
            <w:tcW w:w="3675" w:type="dxa"/>
            <w:tcBorders>
              <w:top w:val="single" w:sz="12" w:space="0" w:color="000000"/>
              <w:left w:val="nil"/>
              <w:right w:val="nil"/>
            </w:tcBorders>
          </w:tcPr>
          <w:p w:rsidR="007E1B66" w:rsidRDefault="008106C4">
            <w:pPr>
              <w:spacing w:after="0" w:line="240" w:lineRule="auto"/>
              <w:rPr>
                <w:rFonts w:ascii="Calibri" w:eastAsia="Calibri" w:hAnsi="Calibri"/>
              </w:rPr>
            </w:pPr>
            <w:r>
              <w:rPr>
                <w:rFonts w:eastAsia="Calibri"/>
              </w:rPr>
              <w:t>Visualization, trajectory inference</w:t>
            </w:r>
          </w:p>
        </w:tc>
      </w:tr>
      <w:tr w:rsidR="007E1B66">
        <w:tc>
          <w:tcPr>
            <w:tcW w:w="2126" w:type="dxa"/>
            <w:vMerge/>
            <w:tcBorders>
              <w:left w:val="nil"/>
              <w:bottom w:val="single" w:sz="12" w:space="0" w:color="000000"/>
              <w:right w:val="nil"/>
            </w:tcBorders>
            <w:shd w:val="clear" w:color="auto" w:fill="F2F2F2" w:themeFill="background1" w:themeFillShade="F2"/>
          </w:tcPr>
          <w:p w:rsidR="007E1B66" w:rsidRDefault="007E1B66">
            <w:pPr>
              <w:spacing w:after="0" w:line="240" w:lineRule="auto"/>
              <w:rPr>
                <w:rFonts w:ascii="Calibri" w:eastAsia="Calibri" w:hAnsi="Calibri"/>
              </w:rPr>
            </w:pPr>
          </w:p>
        </w:tc>
        <w:tc>
          <w:tcPr>
            <w:tcW w:w="3261"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5) Dimensionality reduced (summarized)</w:t>
            </w:r>
          </w:p>
        </w:tc>
        <w:tc>
          <w:tcPr>
            <w:tcW w:w="3675" w:type="dxa"/>
            <w:tcBorders>
              <w:left w:val="nil"/>
              <w:bottom w:val="single" w:sz="12" w:space="0" w:color="000000"/>
              <w:right w:val="nil"/>
            </w:tcBorders>
          </w:tcPr>
          <w:p w:rsidR="007E1B66" w:rsidRDefault="008106C4">
            <w:pPr>
              <w:spacing w:after="0" w:line="240" w:lineRule="auto"/>
              <w:rPr>
                <w:rFonts w:ascii="Calibri" w:eastAsia="Calibri" w:hAnsi="Calibri"/>
              </w:rPr>
            </w:pPr>
            <w:r>
              <w:rPr>
                <w:rFonts w:eastAsia="Calibri"/>
              </w:rPr>
              <w:t>Visualization, clustering, KNN graph inference, trajectory inference</w:t>
            </w:r>
          </w:p>
        </w:tc>
      </w:tr>
    </w:tbl>
    <w:p w:rsidR="007E1B66" w:rsidRDefault="008106C4">
      <w:pPr>
        <w:jc w:val="both"/>
      </w:pPr>
      <w:r>
        <w:t xml:space="preserve">Use measured (and normalized if no normalization is applied within the statistical pipeline) data for statistical testing, corrected data for visual comparison of data and reduced data for other downstream analysis based on finding the underlying biological data manifold. </w:t>
      </w:r>
      <w:r>
        <w:rPr>
          <w:b/>
        </w:rPr>
        <w:t>Manifold:</w:t>
      </w:r>
      <w:r>
        <w:t xml:space="preserve"> there exists a lower dimensional representation of the data which preserves proximity relationships between observations, and in which observations are potentially more accurately discriminated relative to the target variable.</w:t>
      </w:r>
    </w:p>
    <w:p w:rsidR="007E1B66" w:rsidRDefault="007E1B66"/>
    <w:p w:rsidR="007E1B66" w:rsidRDefault="007E1B66"/>
    <w:p w:rsidR="007E1B66" w:rsidRDefault="008106C4">
      <w:pPr>
        <w:pStyle w:val="Listenabsatz"/>
        <w:numPr>
          <w:ilvl w:val="0"/>
          <w:numId w:val="6"/>
        </w:numPr>
        <w:rPr>
          <w:b/>
          <w:sz w:val="32"/>
        </w:rPr>
      </w:pPr>
      <w:r>
        <w:rPr>
          <w:b/>
          <w:sz w:val="32"/>
        </w:rPr>
        <w:lastRenderedPageBreak/>
        <w:t>Raw</w:t>
      </w:r>
    </w:p>
    <w:p w:rsidR="007E1B66" w:rsidRDefault="008106C4">
      <w:pPr>
        <w:pStyle w:val="Listenabsatz"/>
        <w:numPr>
          <w:ilvl w:val="0"/>
          <w:numId w:val="4"/>
        </w:numPr>
        <w:rPr>
          <w:b/>
          <w:color w:val="0070C0"/>
        </w:rPr>
      </w:pPr>
      <w:r>
        <w:rPr>
          <w:color w:val="0070C0"/>
        </w:rPr>
        <w:t>Generate count matrix</w:t>
      </w:r>
    </w:p>
    <w:p w:rsidR="007E1B66" w:rsidRDefault="008106C4">
      <w:pPr>
        <w:pStyle w:val="Listenabsatz"/>
        <w:numPr>
          <w:ilvl w:val="1"/>
          <w:numId w:val="4"/>
        </w:numPr>
        <w:rPr>
          <w:b/>
        </w:rPr>
      </w:pPr>
      <w:r>
        <w:t>Either with custom workflow with STAR or other aligner and featureCounts or other quantification workflow</w:t>
      </w:r>
    </w:p>
    <w:p w:rsidR="007E1B66" w:rsidRDefault="008106C4">
      <w:pPr>
        <w:pStyle w:val="Listenabsatz"/>
        <w:numPr>
          <w:ilvl w:val="1"/>
          <w:numId w:val="4"/>
        </w:numPr>
        <w:rPr>
          <w:b/>
        </w:rPr>
      </w:pPr>
      <w:r>
        <w:t>OR: use proprietary workflow of the company we conduct the experiment with</w:t>
      </w:r>
    </w:p>
    <w:p w:rsidR="007E1B66" w:rsidRDefault="007E1B66">
      <w:pPr>
        <w:pStyle w:val="Listenabsatz"/>
        <w:ind w:left="1440"/>
        <w:rPr>
          <w:b/>
        </w:rPr>
      </w:pPr>
    </w:p>
    <w:p w:rsidR="007E1B66" w:rsidRDefault="008106C4">
      <w:pPr>
        <w:pStyle w:val="Listenabsatz"/>
        <w:numPr>
          <w:ilvl w:val="0"/>
          <w:numId w:val="4"/>
        </w:numPr>
        <w:rPr>
          <w:b/>
          <w:color w:val="0070C0"/>
        </w:rPr>
      </w:pPr>
      <w:r>
        <w:rPr>
          <w:color w:val="0070C0"/>
        </w:rPr>
        <w:t>Filtering of low quality cells and noise correction</w:t>
      </w:r>
    </w:p>
    <w:p w:rsidR="007E1B66" w:rsidRDefault="008106C4">
      <w:pPr>
        <w:pStyle w:val="Listenabsatz"/>
        <w:numPr>
          <w:ilvl w:val="1"/>
          <w:numId w:val="4"/>
        </w:numPr>
        <w:rPr>
          <w:b/>
        </w:rPr>
      </w:pPr>
      <w:r>
        <w:t>Low number of detected genes, low count depth and high fraction of mtRNA are indicators of broken membranes and low quality cells</w:t>
      </w:r>
    </w:p>
    <w:p w:rsidR="007E1B66" w:rsidRDefault="008106C4">
      <w:pPr>
        <w:pStyle w:val="Listenabsatz"/>
        <w:numPr>
          <w:ilvl w:val="2"/>
          <w:numId w:val="4"/>
        </w:numPr>
        <w:rPr>
          <w:b/>
        </w:rPr>
      </w:pPr>
      <w:r>
        <w:t xml:space="preserve">Manual thresholds or automatic filtering based on the number of median absolute deviations </w:t>
      </w:r>
    </w:p>
    <w:p w:rsidR="007E1B66" w:rsidRDefault="008106C4">
      <w:pPr>
        <w:pStyle w:val="Listenabsatz"/>
        <w:numPr>
          <w:ilvl w:val="1"/>
          <w:numId w:val="4"/>
        </w:numPr>
        <w:rPr>
          <w:b/>
        </w:rPr>
      </w:pPr>
      <w:r>
        <w:t>Removal of ambient RNA</w:t>
      </w:r>
    </w:p>
    <w:p w:rsidR="007E1B66" w:rsidRDefault="008106C4">
      <w:pPr>
        <w:pStyle w:val="Listenabsatz"/>
        <w:numPr>
          <w:ilvl w:val="2"/>
          <w:numId w:val="4"/>
        </w:numPr>
        <w:rPr>
          <w:b/>
        </w:rPr>
      </w:pPr>
      <w:r>
        <w:rPr>
          <w:b/>
        </w:rPr>
        <w:t>SoupX, CellBender</w:t>
      </w:r>
    </w:p>
    <w:p w:rsidR="007E1B66" w:rsidRDefault="008106C4">
      <w:pPr>
        <w:pStyle w:val="Listenabsatz"/>
        <w:numPr>
          <w:ilvl w:val="1"/>
          <w:numId w:val="4"/>
        </w:numPr>
        <w:rPr>
          <w:b/>
        </w:rPr>
      </w:pPr>
      <w:r>
        <w:t>Removal of doublets</w:t>
      </w:r>
    </w:p>
    <w:p w:rsidR="007E1B66" w:rsidRDefault="008106C4">
      <w:pPr>
        <w:pStyle w:val="Listenabsatz"/>
        <w:numPr>
          <w:ilvl w:val="2"/>
          <w:numId w:val="4"/>
        </w:numPr>
        <w:rPr>
          <w:b/>
        </w:rPr>
      </w:pPr>
      <w:r>
        <w:rPr>
          <w:b/>
        </w:rPr>
        <w:t>scDblFinder</w:t>
      </w:r>
    </w:p>
    <w:p w:rsidR="007E1B66" w:rsidRDefault="008106C4">
      <w:pPr>
        <w:pStyle w:val="Listenabsatz"/>
        <w:numPr>
          <w:ilvl w:val="2"/>
          <w:numId w:val="4"/>
        </w:numPr>
        <w:rPr>
          <w:b/>
        </w:rPr>
      </w:pPr>
      <w:r>
        <w:t>Initial analysis with permissive thresholds, then refine based on the results and any biases which are still present</w:t>
      </w:r>
    </w:p>
    <w:p w:rsidR="007E1B66" w:rsidRDefault="008106C4">
      <w:pPr>
        <w:pStyle w:val="Listenabsatz"/>
        <w:numPr>
          <w:ilvl w:val="2"/>
          <w:numId w:val="4"/>
        </w:numPr>
        <w:rPr>
          <w:b/>
        </w:rPr>
      </w:pPr>
      <w:r>
        <w:t>Plot UMAP distribution of doublet scores to increase certainty of doublet classification</w:t>
      </w:r>
    </w:p>
    <w:p w:rsidR="007E1B66" w:rsidRDefault="008106C4">
      <w:pPr>
        <w:pStyle w:val="Listenabsatz"/>
        <w:numPr>
          <w:ilvl w:val="2"/>
          <w:numId w:val="4"/>
        </w:numPr>
        <w:rPr>
          <w:b/>
        </w:rPr>
      </w:pPr>
      <w:r>
        <w:t>Set dbr with estimated frequency of droplets</w:t>
      </w:r>
    </w:p>
    <w:p w:rsidR="007E1B66" w:rsidRDefault="008106C4">
      <w:pPr>
        <w:pStyle w:val="Listenabsatz"/>
        <w:numPr>
          <w:ilvl w:val="2"/>
          <w:numId w:val="4"/>
        </w:numPr>
        <w:rPr>
          <w:b/>
        </w:rPr>
      </w:pPr>
      <w:r>
        <w:t xml:space="preserve">Reproducible results can be achieved by setting an internal seed </w:t>
      </w:r>
    </w:p>
    <w:p w:rsidR="007E1B66" w:rsidRDefault="008106C4">
      <w:pPr>
        <w:pStyle w:val="Listenabsatz"/>
        <w:numPr>
          <w:ilvl w:val="2"/>
          <w:numId w:val="4"/>
        </w:numPr>
        <w:rPr>
          <w:b/>
        </w:rPr>
      </w:pPr>
      <w:r>
        <w:t>Perform doublet removal after initial loading (only removal of empty droplets) on the sample level</w:t>
      </w:r>
    </w:p>
    <w:p w:rsidR="007E1B66" w:rsidRDefault="007E1B66">
      <w:pPr>
        <w:pStyle w:val="Listenabsatz"/>
        <w:ind w:left="2160"/>
        <w:rPr>
          <w:b/>
        </w:rPr>
      </w:pPr>
    </w:p>
    <w:p w:rsidR="007E1B66" w:rsidRDefault="008106C4">
      <w:pPr>
        <w:pStyle w:val="Listenabsatz"/>
        <w:numPr>
          <w:ilvl w:val="0"/>
          <w:numId w:val="6"/>
        </w:numPr>
        <w:rPr>
          <w:b/>
          <w:sz w:val="32"/>
        </w:rPr>
      </w:pPr>
      <w:r>
        <w:rPr>
          <w:b/>
          <w:sz w:val="32"/>
        </w:rPr>
        <w:t>Normalized</w:t>
      </w:r>
    </w:p>
    <w:p w:rsidR="007E1B66" w:rsidRDefault="008106C4">
      <w:pPr>
        <w:pStyle w:val="Listenabsatz"/>
        <w:numPr>
          <w:ilvl w:val="0"/>
          <w:numId w:val="4"/>
        </w:numPr>
        <w:rPr>
          <w:b/>
          <w:color w:val="0070C0"/>
        </w:rPr>
      </w:pPr>
      <w:r>
        <w:rPr>
          <w:color w:val="0070C0"/>
        </w:rPr>
        <w:t>Normalization and variance stabilization</w:t>
      </w:r>
    </w:p>
    <w:p w:rsidR="007E1B66" w:rsidRDefault="004450BC">
      <w:pPr>
        <w:pStyle w:val="Listenabsatz"/>
        <w:numPr>
          <w:ilvl w:val="1"/>
          <w:numId w:val="4"/>
        </w:numPr>
        <w:rPr>
          <w:b/>
        </w:rPr>
      </w:pPr>
      <w:r>
        <w:t>C</w:t>
      </w:r>
      <w:r w:rsidR="008106C4">
        <w:t>ell specific covariates (e.g. mitochondrial RNA content) should not be regressed out (Germain et. Al 2020) as it almost always leads to decreased clustering accuracy</w:t>
      </w:r>
    </w:p>
    <w:p w:rsidR="007E1B66" w:rsidRDefault="008106C4">
      <w:pPr>
        <w:pStyle w:val="Listenabsatz"/>
        <w:numPr>
          <w:ilvl w:val="1"/>
          <w:numId w:val="4"/>
        </w:numPr>
        <w:rPr>
          <w:b/>
        </w:rPr>
      </w:pPr>
      <w:r>
        <w:t xml:space="preserve">different normalization methods can be benchmaked with </w:t>
      </w:r>
      <w:r>
        <w:rPr>
          <w:b/>
        </w:rPr>
        <w:t>Scone</w:t>
      </w:r>
    </w:p>
    <w:p w:rsidR="007E1B66" w:rsidRPr="003E62F1" w:rsidRDefault="008106C4">
      <w:pPr>
        <w:pStyle w:val="Listenabsatz"/>
        <w:numPr>
          <w:ilvl w:val="1"/>
          <w:numId w:val="4"/>
        </w:numPr>
        <w:rPr>
          <w:b/>
        </w:rPr>
      </w:pPr>
      <w:r w:rsidRPr="003E62F1">
        <w:rPr>
          <w:b/>
        </w:rPr>
        <w:t>Shifted logarithm</w:t>
      </w:r>
    </w:p>
    <w:p w:rsidR="007E1B66" w:rsidRPr="004450BC" w:rsidRDefault="008106C4">
      <w:pPr>
        <w:pStyle w:val="Listenabsatz"/>
        <w:numPr>
          <w:ilvl w:val="2"/>
          <w:numId w:val="4"/>
        </w:numPr>
        <w:rPr>
          <w:b/>
        </w:rPr>
      </w:pPr>
      <w:r>
        <w:t>For subsequent dimensionality reduction or differential expression analysis</w:t>
      </w:r>
    </w:p>
    <w:p w:rsidR="004450BC" w:rsidRDefault="004450BC" w:rsidP="00AB5F69">
      <w:pPr>
        <w:pStyle w:val="Listenabsatz"/>
        <w:numPr>
          <w:ilvl w:val="2"/>
          <w:numId w:val="4"/>
        </w:numPr>
        <w:rPr>
          <w:b/>
        </w:rPr>
      </w:pPr>
      <w:r>
        <w:t xml:space="preserve">Recently described as superior to complex normalization methods </w:t>
      </w:r>
      <w:r w:rsidR="00AB5F69">
        <w:t>(</w:t>
      </w:r>
      <w:hyperlink r:id="rId8" w:history="1">
        <w:r w:rsidR="00AB5F69" w:rsidRPr="00C45600">
          <w:rPr>
            <w:rStyle w:val="Hyperlink"/>
          </w:rPr>
          <w:t>https://www.nature.com/articles/s41592-023-01814-1</w:t>
        </w:r>
      </w:hyperlink>
      <w:r w:rsidR="00AB5F69">
        <w:t xml:space="preserve">) </w:t>
      </w:r>
    </w:p>
    <w:p w:rsidR="007E1B66" w:rsidRDefault="008106C4">
      <w:pPr>
        <w:pStyle w:val="Listenabsatz"/>
        <w:numPr>
          <w:ilvl w:val="1"/>
          <w:numId w:val="4"/>
        </w:numPr>
      </w:pPr>
      <w:r>
        <w:t>Scran</w:t>
      </w:r>
    </w:p>
    <w:p w:rsidR="007E1B66" w:rsidRDefault="008106C4">
      <w:pPr>
        <w:pStyle w:val="Listenabsatz"/>
        <w:numPr>
          <w:ilvl w:val="2"/>
          <w:numId w:val="4"/>
        </w:numPr>
        <w:rPr>
          <w:b/>
        </w:rPr>
      </w:pPr>
      <w:r>
        <w:t>Batch correction tasks</w:t>
      </w:r>
    </w:p>
    <w:p w:rsidR="007E1B66" w:rsidRDefault="008106C4">
      <w:pPr>
        <w:pStyle w:val="Listenabsatz"/>
        <w:numPr>
          <w:ilvl w:val="1"/>
          <w:numId w:val="4"/>
        </w:numPr>
        <w:rPr>
          <w:b/>
        </w:rPr>
      </w:pPr>
      <w:r>
        <w:t>Analytical pearson residuals</w:t>
      </w:r>
    </w:p>
    <w:p w:rsidR="007E1B66" w:rsidRDefault="008106C4">
      <w:pPr>
        <w:pStyle w:val="Listenabsatz"/>
        <w:numPr>
          <w:ilvl w:val="2"/>
          <w:numId w:val="4"/>
        </w:numPr>
        <w:rPr>
          <w:b/>
        </w:rPr>
      </w:pPr>
      <w:r>
        <w:t xml:space="preserve">Selection of biologically variable genes and identification of rare cell identities </w:t>
      </w:r>
    </w:p>
    <w:p w:rsidR="007E1B66" w:rsidRDefault="008106C4">
      <w:pPr>
        <w:pStyle w:val="Listenabsatz"/>
        <w:numPr>
          <w:ilvl w:val="2"/>
          <w:numId w:val="4"/>
        </w:numPr>
        <w:rPr>
          <w:b/>
        </w:rPr>
      </w:pPr>
      <w:r>
        <w:t xml:space="preserve">E.g. </w:t>
      </w:r>
      <w:r>
        <w:rPr>
          <w:b/>
        </w:rPr>
        <w:t>scTransform</w:t>
      </w:r>
    </w:p>
    <w:p w:rsidR="007E1B66" w:rsidRDefault="008106C4">
      <w:pPr>
        <w:pStyle w:val="Listenabsatz"/>
        <w:numPr>
          <w:ilvl w:val="3"/>
          <w:numId w:val="4"/>
        </w:numPr>
        <w:rPr>
          <w:b/>
        </w:rPr>
      </w:pPr>
      <w:r>
        <w:t>Pearson residuals of a regularized negative binomial model</w:t>
      </w:r>
    </w:p>
    <w:p w:rsidR="007E1B66" w:rsidRDefault="008106C4">
      <w:pPr>
        <w:pStyle w:val="Listenabsatz"/>
        <w:numPr>
          <w:ilvl w:val="3"/>
          <w:numId w:val="4"/>
        </w:numPr>
        <w:rPr>
          <w:b/>
        </w:rPr>
      </w:pPr>
      <w:r>
        <w:t>Positive residuals correspond to a higher UMI count than expected, negative residuals to a lower UMI count</w:t>
      </w:r>
    </w:p>
    <w:p w:rsidR="007E1B66" w:rsidRDefault="008106C4">
      <w:pPr>
        <w:pStyle w:val="Listenabsatz"/>
        <w:numPr>
          <w:ilvl w:val="3"/>
          <w:numId w:val="4"/>
        </w:numPr>
        <w:rPr>
          <w:b/>
        </w:rPr>
      </w:pPr>
      <w:r>
        <w:t>In the scTransfrom variance stabilizing transformation (VST) high and low expression genes are transformed onto a common scale</w:t>
      </w:r>
    </w:p>
    <w:p w:rsidR="007E1B66" w:rsidRDefault="008106C4">
      <w:pPr>
        <w:pStyle w:val="Listenabsatz"/>
        <w:numPr>
          <w:ilvl w:val="3"/>
          <w:numId w:val="4"/>
        </w:numPr>
        <w:rPr>
          <w:b/>
        </w:rPr>
      </w:pPr>
      <w:r>
        <w:t>Install glmGamPoi for faster normalization</w:t>
      </w:r>
    </w:p>
    <w:p w:rsidR="007E1B66" w:rsidRDefault="008106C4">
      <w:pPr>
        <w:pStyle w:val="Listenabsatz"/>
        <w:numPr>
          <w:ilvl w:val="3"/>
          <w:numId w:val="4"/>
        </w:numPr>
        <w:rPr>
          <w:b/>
        </w:rPr>
      </w:pPr>
      <w:r>
        <w:t>Seurat object:</w:t>
      </w:r>
    </w:p>
    <w:p w:rsidR="007E1B66" w:rsidRDefault="008106C4">
      <w:pPr>
        <w:pStyle w:val="Listenabsatz"/>
        <w:numPr>
          <w:ilvl w:val="4"/>
          <w:numId w:val="4"/>
        </w:numPr>
        <w:rPr>
          <w:b/>
        </w:rPr>
      </w:pPr>
      <w:r>
        <w:t>Assay SCT contains normalized (inferred from residuals) counts in the “counts” layer”, “data” contains log transformed counts which should be used for differential expression testing</w:t>
      </w:r>
    </w:p>
    <w:p w:rsidR="007E1B66" w:rsidRDefault="008106C4">
      <w:pPr>
        <w:pStyle w:val="Listenabsatz"/>
        <w:numPr>
          <w:ilvl w:val="4"/>
          <w:numId w:val="4"/>
        </w:numPr>
        <w:rPr>
          <w:b/>
        </w:rPr>
      </w:pPr>
      <w:r>
        <w:lastRenderedPageBreak/>
        <w:t>Integration should be performed with the reduced model</w:t>
      </w:r>
    </w:p>
    <w:p w:rsidR="007E1B66" w:rsidRDefault="008106C4">
      <w:pPr>
        <w:pStyle w:val="Listenabsatz"/>
        <w:numPr>
          <w:ilvl w:val="3"/>
          <w:numId w:val="4"/>
        </w:numPr>
        <w:rPr>
          <w:b/>
        </w:rPr>
      </w:pPr>
      <w:r>
        <w:t xml:space="preserve">Performs well to identify rare cell identities, otherwise does not outperform simple log-normalization </w:t>
      </w:r>
      <w:hyperlink r:id="rId9">
        <w:r>
          <w:rPr>
            <w:rStyle w:val="Internetverknpfung"/>
          </w:rPr>
          <w:t>https://www.nature.com/articles/s41592-023-01814-1</w:t>
        </w:r>
      </w:hyperlink>
      <w:r>
        <w:t xml:space="preserve"> </w:t>
      </w:r>
    </w:p>
    <w:p w:rsidR="007E1B66" w:rsidRDefault="008106C4">
      <w:pPr>
        <w:pStyle w:val="Listenabsatz"/>
        <w:numPr>
          <w:ilvl w:val="0"/>
          <w:numId w:val="6"/>
        </w:numPr>
        <w:rPr>
          <w:b/>
          <w:sz w:val="32"/>
        </w:rPr>
      </w:pPr>
      <w:r>
        <w:rPr>
          <w:b/>
          <w:sz w:val="32"/>
        </w:rPr>
        <w:t>Corrected</w:t>
      </w:r>
    </w:p>
    <w:p w:rsidR="007E1B66" w:rsidRDefault="008106C4">
      <w:pPr>
        <w:jc w:val="both"/>
        <w:rPr>
          <w:b/>
          <w:sz w:val="32"/>
        </w:rPr>
      </w:pPr>
      <w:r>
        <w:t xml:space="preserve">The removal of batch effects in scRNA-seq data has previously been divided into two subtasks: </w:t>
      </w:r>
      <w:r>
        <w:rPr>
          <w:b/>
        </w:rPr>
        <w:t>batch correction</w:t>
      </w:r>
      <w:r>
        <w:t xml:space="preserve"> and </w:t>
      </w:r>
      <w:r>
        <w:rPr>
          <w:b/>
        </w:rPr>
        <w:t>data integration</w:t>
      </w:r>
      <w:r>
        <w:t xml:space="preserve"> [</w:t>
      </w:r>
      <w:hyperlink r:id="rId10" w:anchor="_blank" w:history="1">
        <w:r>
          <w:rPr>
            <w:rStyle w:val="Internetverknpfung"/>
          </w:rPr>
          <w:t>Luecken and Theis, 2019</w:t>
        </w:r>
      </w:hyperlink>
      <w:r>
        <w:t xml:space="preserve">]. These subtasks differ in the complexity of the batch effect that must be removed. </w:t>
      </w:r>
      <w:r>
        <w:rPr>
          <w:b/>
        </w:rPr>
        <w:t>Batch correction</w:t>
      </w:r>
      <w:r>
        <w:t xml:space="preserve"> methods deal with</w:t>
      </w:r>
      <w:r>
        <w:rPr>
          <w:b/>
        </w:rPr>
        <w:t xml:space="preserve"> batch effects between samples</w:t>
      </w:r>
      <w:r>
        <w:t xml:space="preserve"> in the same experiment where cell identity </w:t>
      </w:r>
      <w:r>
        <w:rPr>
          <w:b/>
        </w:rPr>
        <w:t>compositions are consistent</w:t>
      </w:r>
      <w:r>
        <w:t xml:space="preserve">, and the effect is often quasi-linear. In contrast, </w:t>
      </w:r>
      <w:r>
        <w:rPr>
          <w:b/>
        </w:rPr>
        <w:t>data integration</w:t>
      </w:r>
      <w:r>
        <w:t xml:space="preserve"> methods deal with </w:t>
      </w:r>
      <w:r>
        <w:rPr>
          <w:b/>
        </w:rPr>
        <w:t>complex, often nested, batch effects</w:t>
      </w:r>
      <w:r>
        <w:t xml:space="preserve"> </w:t>
      </w:r>
      <w:r>
        <w:rPr>
          <w:b/>
        </w:rPr>
        <w:t>between</w:t>
      </w:r>
      <w:r>
        <w:t xml:space="preserve"> </w:t>
      </w:r>
      <w:r>
        <w:rPr>
          <w:b/>
        </w:rPr>
        <w:t>datasets</w:t>
      </w:r>
      <w:r>
        <w:t xml:space="preserve"> that may be generated with different protocols and where cell identities may not be shared across batches. While we use this distinction here we should note that these terms are often used interchangeably in general use. Given the differences in complexity, it is not surprising that different methods have been benchmarked as being optimal for these two subtasks.</w:t>
      </w:r>
    </w:p>
    <w:p w:rsidR="007E1B66" w:rsidRDefault="008106C4">
      <w:pPr>
        <w:pStyle w:val="Listenabsatz"/>
        <w:numPr>
          <w:ilvl w:val="0"/>
          <w:numId w:val="4"/>
        </w:numPr>
        <w:rPr>
          <w:b/>
          <w:color w:val="0070C0"/>
        </w:rPr>
      </w:pPr>
      <w:r>
        <w:rPr>
          <w:color w:val="0070C0"/>
        </w:rPr>
        <w:t>Removal of confounding sources of variation</w:t>
      </w:r>
    </w:p>
    <w:p w:rsidR="007E1B66" w:rsidRDefault="008106C4">
      <w:pPr>
        <w:pStyle w:val="Listenabsatz"/>
        <w:numPr>
          <w:ilvl w:val="1"/>
          <w:numId w:val="4"/>
        </w:numPr>
        <w:rPr>
          <w:b/>
        </w:rPr>
      </w:pPr>
      <w:r>
        <w:t>Have a look at raw data first to identify possible batch effect confounding</w:t>
      </w:r>
    </w:p>
    <w:p w:rsidR="007E1B66" w:rsidRDefault="008106C4">
      <w:pPr>
        <w:pStyle w:val="Listenabsatz"/>
        <w:numPr>
          <w:ilvl w:val="2"/>
          <w:numId w:val="4"/>
        </w:numPr>
        <w:jc w:val="both"/>
        <w:rPr>
          <w:b/>
        </w:rPr>
      </w:pPr>
      <w:r>
        <w:t>While UMAPs can often display batch effects, as always when considering these 2D representations it is important not to overinterpret them. For a real analysis, you should confirm the integration in other ways such as by inspecting the distribution of marker genes.</w:t>
      </w:r>
    </w:p>
    <w:p w:rsidR="007E1B66" w:rsidRDefault="008106C4">
      <w:pPr>
        <w:pStyle w:val="Listenabsatz"/>
        <w:numPr>
          <w:ilvl w:val="1"/>
          <w:numId w:val="4"/>
        </w:numPr>
        <w:rPr>
          <w:b/>
        </w:rPr>
      </w:pPr>
      <w:r>
        <w:t>Batch effects</w:t>
      </w:r>
    </w:p>
    <w:p w:rsidR="007E1B66" w:rsidRDefault="008106C4">
      <w:pPr>
        <w:pStyle w:val="Listenabsatz"/>
        <w:numPr>
          <w:ilvl w:val="2"/>
          <w:numId w:val="4"/>
        </w:numPr>
        <w:rPr>
          <w:b/>
        </w:rPr>
      </w:pPr>
      <w:r>
        <w:t>There are numerous packages with different advantages</w:t>
      </w:r>
    </w:p>
    <w:p w:rsidR="007E1B66" w:rsidRDefault="008106C4">
      <w:pPr>
        <w:pStyle w:val="Listenabsatz"/>
        <w:numPr>
          <w:ilvl w:val="2"/>
          <w:numId w:val="4"/>
        </w:numPr>
        <w:rPr>
          <w:b/>
        </w:rPr>
      </w:pPr>
      <w:r>
        <w:rPr>
          <w:b/>
        </w:rPr>
        <w:t>sclB</w:t>
      </w:r>
      <w:r>
        <w:t xml:space="preserve"> can be used to benchmark them against each other </w:t>
      </w:r>
    </w:p>
    <w:p w:rsidR="007E1B66" w:rsidRDefault="008106C4">
      <w:pPr>
        <w:pStyle w:val="Listenabsatz"/>
        <w:numPr>
          <w:ilvl w:val="2"/>
          <w:numId w:val="4"/>
        </w:numPr>
        <w:rPr>
          <w:b/>
        </w:rPr>
      </w:pPr>
      <w:r>
        <w:t xml:space="preserve">Simple batch correction tasks might be performed by </w:t>
      </w:r>
    </w:p>
    <w:p w:rsidR="007E1B66" w:rsidRDefault="008106C4">
      <w:pPr>
        <w:pStyle w:val="Listenabsatz"/>
        <w:numPr>
          <w:ilvl w:val="3"/>
          <w:numId w:val="4"/>
        </w:numPr>
        <w:rPr>
          <w:b/>
        </w:rPr>
      </w:pPr>
      <w:r>
        <w:t xml:space="preserve">Canonical correlation analysis (for example </w:t>
      </w:r>
      <w:r>
        <w:rPr>
          <w:b/>
        </w:rPr>
        <w:t>ComBat</w:t>
      </w:r>
      <w:r>
        <w:t>)</w:t>
      </w:r>
    </w:p>
    <w:p w:rsidR="007E1B66" w:rsidRDefault="008106C4">
      <w:pPr>
        <w:pStyle w:val="Listenabsatz"/>
        <w:numPr>
          <w:ilvl w:val="3"/>
          <w:numId w:val="4"/>
        </w:numPr>
        <w:rPr>
          <w:b/>
        </w:rPr>
      </w:pPr>
      <w:r>
        <w:rPr>
          <w:b/>
        </w:rPr>
        <w:t xml:space="preserve">Seurat </w:t>
      </w:r>
      <w:r>
        <w:t xml:space="preserve">or </w:t>
      </w:r>
      <w:r>
        <w:rPr>
          <w:b/>
        </w:rPr>
        <w:t>Harmony</w:t>
      </w:r>
      <w:r>
        <w:t xml:space="preserve"> (preferred for simple integration)</w:t>
      </w:r>
    </w:p>
    <w:p w:rsidR="007E1B66" w:rsidRDefault="008106C4">
      <w:pPr>
        <w:pStyle w:val="Listenabsatz"/>
        <w:numPr>
          <w:ilvl w:val="2"/>
          <w:numId w:val="4"/>
        </w:numPr>
        <w:rPr>
          <w:b/>
        </w:rPr>
      </w:pPr>
      <w:r>
        <w:t>Complex integration is best performed with deep learning models</w:t>
      </w:r>
    </w:p>
    <w:p w:rsidR="007E1B66" w:rsidRDefault="008106C4">
      <w:pPr>
        <w:pStyle w:val="Listenabsatz"/>
        <w:numPr>
          <w:ilvl w:val="3"/>
          <w:numId w:val="4"/>
        </w:numPr>
        <w:rPr>
          <w:b/>
        </w:rPr>
      </w:pPr>
      <w:r>
        <w:t xml:space="preserve">e.g. </w:t>
      </w:r>
      <w:r>
        <w:rPr>
          <w:b/>
        </w:rPr>
        <w:t xml:space="preserve">scVI, </w:t>
      </w:r>
      <w:r>
        <w:t>available in R with the IntegrateLayers function from Seurat package</w:t>
      </w:r>
    </w:p>
    <w:p w:rsidR="007E1B66" w:rsidRDefault="008106C4">
      <w:pPr>
        <w:pStyle w:val="Listenabsatz"/>
        <w:numPr>
          <w:ilvl w:val="1"/>
          <w:numId w:val="4"/>
        </w:numPr>
        <w:rPr>
          <w:b/>
        </w:rPr>
      </w:pPr>
      <w:r>
        <w:t xml:space="preserve">Cell cycle effects (biological variation) </w:t>
      </w:r>
    </w:p>
    <w:p w:rsidR="007E1B66" w:rsidRDefault="008106C4">
      <w:pPr>
        <w:pStyle w:val="Listenabsatz"/>
        <w:numPr>
          <w:ilvl w:val="2"/>
          <w:numId w:val="4"/>
        </w:numPr>
        <w:rPr>
          <w:b/>
        </w:rPr>
      </w:pPr>
      <w:r>
        <w:t xml:space="preserve">Use built-in functions from </w:t>
      </w:r>
      <w:r>
        <w:rPr>
          <w:b/>
        </w:rPr>
        <w:t>Seurat</w:t>
      </w:r>
      <w:r>
        <w:t xml:space="preserve"> or </w:t>
      </w:r>
      <w:r>
        <w:rPr>
          <w:b/>
        </w:rPr>
        <w:t xml:space="preserve">Scanpy </w:t>
      </w:r>
    </w:p>
    <w:p w:rsidR="007E1B66" w:rsidRDefault="008106C4">
      <w:pPr>
        <w:pStyle w:val="Listenabsatz"/>
        <w:numPr>
          <w:ilvl w:val="2"/>
          <w:numId w:val="4"/>
        </w:numPr>
        <w:rPr>
          <w:b/>
        </w:rPr>
      </w:pPr>
      <w:r>
        <w:t xml:space="preserve">when to adjust? </w:t>
      </w:r>
    </w:p>
    <w:p w:rsidR="007E1B66" w:rsidRDefault="008106C4">
      <w:pPr>
        <w:pStyle w:val="Listenabsatz"/>
        <w:numPr>
          <w:ilvl w:val="3"/>
          <w:numId w:val="4"/>
        </w:numPr>
        <w:rPr>
          <w:b/>
        </w:rPr>
      </w:pPr>
      <w:r>
        <w:t>Show data before and after adjustment and make an informed decision whether cell cycle genes should be regressed out</w:t>
      </w:r>
    </w:p>
    <w:p w:rsidR="007E1B66" w:rsidRDefault="008106C4">
      <w:pPr>
        <w:pStyle w:val="Listenabsatz"/>
        <w:numPr>
          <w:ilvl w:val="4"/>
          <w:numId w:val="4"/>
        </w:numPr>
        <w:rPr>
          <w:b/>
        </w:rPr>
      </w:pPr>
      <w:r>
        <w:t>Maybe only for trajectory inference and otherwise not</w:t>
      </w:r>
    </w:p>
    <w:p w:rsidR="007E1B66" w:rsidRPr="007B29ED" w:rsidRDefault="008106C4">
      <w:pPr>
        <w:pStyle w:val="Listenabsatz"/>
        <w:numPr>
          <w:ilvl w:val="2"/>
          <w:numId w:val="4"/>
        </w:numPr>
        <w:rPr>
          <w:b/>
        </w:rPr>
      </w:pPr>
      <w:r>
        <w:t>If effect should be removed: perform normal pipeline and calculate cell cycle score. Add those scores to the raw data and perform pipeline again with inclusion of cell cycle score as covariate</w:t>
      </w:r>
      <w:r w:rsidR="005F5ADF">
        <w:t xml:space="preserve"> (or integrate over cell cycle</w:t>
      </w:r>
      <w:r w:rsidR="007B29ED">
        <w:t>)</w:t>
      </w:r>
    </w:p>
    <w:p w:rsidR="007B29ED" w:rsidRPr="007B29ED" w:rsidRDefault="007B29ED" w:rsidP="007B29ED">
      <w:pPr>
        <w:pStyle w:val="Listenabsatz"/>
        <w:numPr>
          <w:ilvl w:val="2"/>
          <w:numId w:val="4"/>
        </w:numPr>
        <w:rPr>
          <w:b/>
        </w:rPr>
      </w:pPr>
      <w:r>
        <w:t>Alternative approach (</w:t>
      </w:r>
      <w:hyperlink r:id="rId11" w:history="1">
        <w:r w:rsidRPr="00DB5E22">
          <w:rPr>
            <w:rStyle w:val="Hyperlink"/>
          </w:rPr>
          <w:t>https://satijalab.org/seurat/articles/cell_cycle_vignette.html</w:t>
        </w:r>
      </w:hyperlink>
      <w:r>
        <w:t xml:space="preserve">) </w:t>
      </w:r>
    </w:p>
    <w:p w:rsidR="007B29ED" w:rsidRPr="007B29ED" w:rsidRDefault="007B29ED" w:rsidP="007B29ED">
      <w:pPr>
        <w:pStyle w:val="Listenabsatz"/>
        <w:numPr>
          <w:ilvl w:val="3"/>
          <w:numId w:val="4"/>
        </w:numPr>
      </w:pPr>
      <w:r w:rsidRPr="007B29ED">
        <w:t>The procedure above removes all signal associated with cell cycle. In some cases, we’ve found that this can negatively impact downstream analysis, particularly in differentiating processes (like murine hematopoiesis), where stem cells are quiescent and differentiated cells are proliferating (or vice versa). In this case, regressing out all cell cycle effects can blur the distinction between stem and progenitor cells as well.</w:t>
      </w:r>
    </w:p>
    <w:p w:rsidR="007B29ED" w:rsidRPr="007B29ED" w:rsidRDefault="007B29ED" w:rsidP="007B29ED">
      <w:pPr>
        <w:pStyle w:val="Listenabsatz"/>
        <w:numPr>
          <w:ilvl w:val="3"/>
          <w:numId w:val="4"/>
        </w:numPr>
        <w:rPr>
          <w:b/>
        </w:rPr>
      </w:pPr>
    </w:p>
    <w:p w:rsidR="007B29ED" w:rsidRPr="007B29ED" w:rsidRDefault="007B29ED" w:rsidP="007B29ED">
      <w:pPr>
        <w:pStyle w:val="Listenabsatz"/>
        <w:numPr>
          <w:ilvl w:val="3"/>
          <w:numId w:val="4"/>
        </w:numPr>
      </w:pPr>
      <w:r w:rsidRPr="007B29ED">
        <w:t>As an alternative, we suggest regressing out the difference between the G2M and S phase scores. This means that signals separating non-cycling cells and cycling cells will be maintained, but differences in cell cycle phase among proliferating cells (which are often uninteresting), will be regressed out of the data</w:t>
      </w:r>
    </w:p>
    <w:p w:rsidR="007E1B66" w:rsidRDefault="008106C4">
      <w:pPr>
        <w:pStyle w:val="Listenabsatz"/>
        <w:numPr>
          <w:ilvl w:val="1"/>
          <w:numId w:val="4"/>
        </w:numPr>
        <w:rPr>
          <w:b/>
        </w:rPr>
      </w:pPr>
      <w:r>
        <w:rPr>
          <w:b/>
        </w:rPr>
        <w:t xml:space="preserve">Regress out both types of variation jointly for downstream analyses </w:t>
      </w:r>
    </w:p>
    <w:p w:rsidR="007E1B66" w:rsidRDefault="008106C4">
      <w:pPr>
        <w:pStyle w:val="Listenabsatz"/>
        <w:numPr>
          <w:ilvl w:val="1"/>
          <w:numId w:val="4"/>
        </w:numPr>
        <w:rPr>
          <w:b/>
        </w:rPr>
      </w:pPr>
      <w:r>
        <w:t>For the UV-DHDS project: use two approaches</w:t>
      </w:r>
    </w:p>
    <w:p w:rsidR="007E1B66" w:rsidRDefault="008106C4" w:rsidP="003E62F1">
      <w:pPr>
        <w:pStyle w:val="Listenabsatz"/>
        <w:numPr>
          <w:ilvl w:val="2"/>
          <w:numId w:val="4"/>
        </w:numPr>
        <w:rPr>
          <w:b/>
        </w:rPr>
      </w:pPr>
      <w:r>
        <w:t>Correct for donor specific differences to identify the general differentiation trajectory (for trajectory inference include cell cycle</w:t>
      </w:r>
      <w:r w:rsidR="000A79A5">
        <w:t xml:space="preserve"> (the amended version from the alternative approach suggested in the Seurat vignette</w:t>
      </w:r>
      <w:r w:rsidR="003E62F1">
        <w:t xml:space="preserve">; </w:t>
      </w:r>
      <w:hyperlink r:id="rId12" w:history="1">
        <w:r w:rsidR="003E62F1" w:rsidRPr="00C45600">
          <w:rPr>
            <w:rStyle w:val="Hyperlink"/>
          </w:rPr>
          <w:t>https://satijalab.org/seurat/articles/cell_cycle_vignette.html</w:t>
        </w:r>
      </w:hyperlink>
      <w:r w:rsidR="000A79A5">
        <w:t>)</w:t>
      </w:r>
      <w:r>
        <w:t xml:space="preserve"> in the batch model to remove cell cycle effects) and associated processes</w:t>
      </w:r>
    </w:p>
    <w:p w:rsidR="007E1B66" w:rsidRPr="00376B88" w:rsidRDefault="008106C4">
      <w:pPr>
        <w:pStyle w:val="Listenabsatz"/>
        <w:numPr>
          <w:ilvl w:val="2"/>
          <w:numId w:val="4"/>
        </w:numPr>
        <w:rPr>
          <w:b/>
        </w:rPr>
      </w:pPr>
      <w:r>
        <w:t xml:space="preserve">Use a (donor) uncorrected analysis to scrutinize differences in differentiation between donors (still adjust for cell cycle effects in trajectory inference) </w:t>
      </w:r>
    </w:p>
    <w:p w:rsidR="007E1B66" w:rsidRDefault="008106C4">
      <w:pPr>
        <w:pStyle w:val="Listenabsatz"/>
        <w:numPr>
          <w:ilvl w:val="0"/>
          <w:numId w:val="4"/>
        </w:numPr>
        <w:rPr>
          <w:b/>
          <w:color w:val="0070C0"/>
        </w:rPr>
      </w:pPr>
      <w:r>
        <w:rPr>
          <w:color w:val="0070C0"/>
        </w:rPr>
        <w:t>Data integration</w:t>
      </w:r>
    </w:p>
    <w:p w:rsidR="007E1B66" w:rsidRDefault="008106C4">
      <w:pPr>
        <w:pStyle w:val="Listenabsatz"/>
        <w:numPr>
          <w:ilvl w:val="1"/>
          <w:numId w:val="4"/>
        </w:numPr>
        <w:rPr>
          <w:b/>
          <w:color w:val="000000" w:themeColor="text1"/>
        </w:rPr>
      </w:pPr>
      <w:r>
        <w:rPr>
          <w:color w:val="000000" w:themeColor="text1"/>
        </w:rPr>
        <w:t>not always necessary, think carefully if it makes sense in the applied setting</w:t>
      </w:r>
    </w:p>
    <w:p w:rsidR="007E1B66" w:rsidRDefault="008106C4">
      <w:pPr>
        <w:pStyle w:val="Listenabsatz"/>
        <w:numPr>
          <w:ilvl w:val="1"/>
          <w:numId w:val="4"/>
        </w:numPr>
        <w:rPr>
          <w:b/>
          <w:color w:val="000000" w:themeColor="text1"/>
        </w:rPr>
      </w:pPr>
      <w:r>
        <w:rPr>
          <w:color w:val="000000" w:themeColor="text1"/>
        </w:rPr>
        <w:t>integrate first, then stratify to show the distribution of cell clusters between conditions (e.g. Different days in differentiation)</w:t>
      </w:r>
    </w:p>
    <w:p w:rsidR="007E1B66" w:rsidRPr="00376B88" w:rsidRDefault="008106C4">
      <w:pPr>
        <w:pStyle w:val="Listenabsatz"/>
        <w:numPr>
          <w:ilvl w:val="1"/>
          <w:numId w:val="4"/>
        </w:numPr>
        <w:rPr>
          <w:b/>
          <w:color w:val="000000" w:themeColor="text1"/>
        </w:rPr>
      </w:pPr>
      <w:r>
        <w:rPr>
          <w:color w:val="000000" w:themeColor="text1"/>
        </w:rPr>
        <w:t>should be “batch-aware”: in Seurat layers have to be split to perform normalization and scaling individually (e.g. split data, perform scTransform</w:t>
      </w:r>
      <w:r w:rsidR="003E62F1">
        <w:rPr>
          <w:color w:val="000000" w:themeColor="text1"/>
        </w:rPr>
        <w:t xml:space="preserve"> or normalization followed by scaling</w:t>
      </w:r>
      <w:r>
        <w:rPr>
          <w:color w:val="000000" w:themeColor="text1"/>
        </w:rPr>
        <w:t xml:space="preserve">, IntegrateLayers with Harmony </w:t>
      </w:r>
      <w:r w:rsidR="000F767A">
        <w:rPr>
          <w:color w:val="000000" w:themeColor="text1"/>
        </w:rPr>
        <w:t xml:space="preserve">or scVI </w:t>
      </w:r>
      <w:r>
        <w:rPr>
          <w:color w:val="000000" w:themeColor="text1"/>
        </w:rPr>
        <w:t xml:space="preserve">and JoinLayers) </w:t>
      </w:r>
    </w:p>
    <w:p w:rsidR="00376B88" w:rsidRPr="00376B88" w:rsidRDefault="00376B88">
      <w:pPr>
        <w:pStyle w:val="Listenabsatz"/>
        <w:numPr>
          <w:ilvl w:val="1"/>
          <w:numId w:val="4"/>
        </w:numPr>
        <w:rPr>
          <w:b/>
          <w:color w:val="000000" w:themeColor="text1"/>
        </w:rPr>
      </w:pPr>
      <w:r>
        <w:rPr>
          <w:color w:val="000000" w:themeColor="text1"/>
        </w:rPr>
        <w:t>Best practice</w:t>
      </w:r>
    </w:p>
    <w:p w:rsidR="00376B88" w:rsidRPr="00376B88" w:rsidRDefault="00376B88" w:rsidP="00376B88">
      <w:pPr>
        <w:pStyle w:val="Listenabsatz"/>
        <w:numPr>
          <w:ilvl w:val="2"/>
          <w:numId w:val="4"/>
        </w:numPr>
        <w:rPr>
          <w:b/>
          <w:color w:val="000000" w:themeColor="text1"/>
        </w:rPr>
      </w:pPr>
      <w:r>
        <w:rPr>
          <w:color w:val="000000" w:themeColor="text1"/>
        </w:rPr>
        <w:t xml:space="preserve">Run UMAP before integration </w:t>
      </w:r>
    </w:p>
    <w:p w:rsidR="00376B88" w:rsidRPr="00376B88" w:rsidRDefault="00376B88" w:rsidP="00376B88">
      <w:pPr>
        <w:pStyle w:val="Listenabsatz"/>
        <w:numPr>
          <w:ilvl w:val="2"/>
          <w:numId w:val="4"/>
        </w:numPr>
        <w:rPr>
          <w:b/>
          <w:color w:val="000000" w:themeColor="text1"/>
        </w:rPr>
      </w:pPr>
      <w:r>
        <w:rPr>
          <w:color w:val="000000" w:themeColor="text1"/>
        </w:rPr>
        <w:t>DimPlot by sample, batch and other covariates to see whether batch effects are present</w:t>
      </w:r>
    </w:p>
    <w:p w:rsidR="00376B88" w:rsidRPr="00376B88" w:rsidRDefault="00376B88" w:rsidP="00376B88">
      <w:pPr>
        <w:pStyle w:val="Listenabsatz"/>
        <w:numPr>
          <w:ilvl w:val="2"/>
          <w:numId w:val="4"/>
        </w:numPr>
        <w:rPr>
          <w:b/>
          <w:color w:val="000000" w:themeColor="text1"/>
        </w:rPr>
      </w:pPr>
      <w:r>
        <w:rPr>
          <w:color w:val="000000" w:themeColor="text1"/>
        </w:rPr>
        <w:t>If substantial batches are apparen</w:t>
      </w:r>
      <w:r w:rsidR="00144FC2">
        <w:rPr>
          <w:color w:val="000000" w:themeColor="text1"/>
        </w:rPr>
        <w:t>t integrate for those covariates</w:t>
      </w:r>
    </w:p>
    <w:p w:rsidR="00376B88" w:rsidRDefault="00376B88" w:rsidP="00376B88">
      <w:pPr>
        <w:pStyle w:val="Listenabsatz"/>
        <w:ind w:left="1440"/>
        <w:rPr>
          <w:b/>
          <w:color w:val="000000" w:themeColor="text1"/>
        </w:rPr>
      </w:pPr>
    </w:p>
    <w:p w:rsidR="007E1B66" w:rsidRDefault="008106C4">
      <w:pPr>
        <w:pStyle w:val="Listenabsatz"/>
        <w:numPr>
          <w:ilvl w:val="0"/>
          <w:numId w:val="6"/>
        </w:numPr>
        <w:rPr>
          <w:b/>
          <w:sz w:val="32"/>
        </w:rPr>
      </w:pPr>
      <w:r>
        <w:rPr>
          <w:b/>
          <w:sz w:val="32"/>
        </w:rPr>
        <w:t>Feature selected and dimensionality reduced</w:t>
      </w:r>
    </w:p>
    <w:p w:rsidR="007E1B66" w:rsidRDefault="008106C4">
      <w:pPr>
        <w:pStyle w:val="Listenabsatz"/>
        <w:numPr>
          <w:ilvl w:val="0"/>
          <w:numId w:val="4"/>
        </w:numPr>
        <w:rPr>
          <w:b/>
          <w:color w:val="0070C0"/>
        </w:rPr>
      </w:pPr>
      <w:r>
        <w:rPr>
          <w:color w:val="0070C0"/>
        </w:rPr>
        <w:t xml:space="preserve">Feature selection and dimensionality reduction </w:t>
      </w:r>
    </w:p>
    <w:p w:rsidR="007E1B66" w:rsidRDefault="008106C4">
      <w:pPr>
        <w:pStyle w:val="Listenabsatz"/>
        <w:numPr>
          <w:ilvl w:val="1"/>
          <w:numId w:val="4"/>
        </w:numPr>
      </w:pPr>
      <w:r>
        <w:t xml:space="preserve">Optimally this step should be performed after removal of technical variation (to reduce selecting genes which are only highly variable due to batch effects) </w:t>
      </w:r>
    </w:p>
    <w:p w:rsidR="007E1B66" w:rsidRDefault="008106C4">
      <w:pPr>
        <w:pStyle w:val="Listenabsatz"/>
        <w:numPr>
          <w:ilvl w:val="1"/>
          <w:numId w:val="4"/>
        </w:numPr>
      </w:pPr>
      <w:r>
        <w:t xml:space="preserve">Perform batch-aware feature selection (available in scanpy and seurat) </w:t>
      </w:r>
    </w:p>
    <w:p w:rsidR="007E1B66" w:rsidRDefault="008106C4">
      <w:pPr>
        <w:pStyle w:val="Listenabsatz"/>
        <w:numPr>
          <w:ilvl w:val="2"/>
          <w:numId w:val="4"/>
        </w:numPr>
      </w:pPr>
      <w:r>
        <w:t>For other methods, we would have to run them on each batch individually and then manually combine the results</w:t>
      </w:r>
    </w:p>
    <w:p w:rsidR="007E1B66" w:rsidRDefault="008106C4">
      <w:pPr>
        <w:pStyle w:val="Listenabsatz"/>
        <w:numPr>
          <w:ilvl w:val="1"/>
          <w:numId w:val="4"/>
        </w:numPr>
        <w:rPr>
          <w:b/>
        </w:rPr>
      </w:pPr>
      <w:r>
        <w:t>Select genes that explain biological variation and vary between subpopulations rather than within one subpopulation</w:t>
      </w:r>
    </w:p>
    <w:p w:rsidR="007E1B66" w:rsidRDefault="008106C4">
      <w:pPr>
        <w:pStyle w:val="Listenabsatz"/>
        <w:numPr>
          <w:ilvl w:val="1"/>
          <w:numId w:val="4"/>
        </w:numPr>
        <w:rPr>
          <w:b/>
        </w:rPr>
      </w:pPr>
      <w:r>
        <w:t>Marke</w:t>
      </w:r>
      <w:r w:rsidR="000A79A5">
        <w:t>r</w:t>
      </w:r>
      <w:r>
        <w:t xml:space="preserve"> genes can be cross reference</w:t>
      </w:r>
      <w:r w:rsidR="000F767A">
        <w:t>d</w:t>
      </w:r>
      <w:r>
        <w:t xml:space="preserve"> with </w:t>
      </w:r>
      <w:r>
        <w:rPr>
          <w:b/>
        </w:rPr>
        <w:t>PanglaoDB</w:t>
      </w:r>
      <w:r>
        <w:t xml:space="preserve"> for known markers</w:t>
      </w:r>
    </w:p>
    <w:p w:rsidR="007E1B66" w:rsidRDefault="008106C4">
      <w:pPr>
        <w:pStyle w:val="Listenabsatz"/>
        <w:numPr>
          <w:ilvl w:val="1"/>
          <w:numId w:val="4"/>
        </w:numPr>
        <w:rPr>
          <w:b/>
        </w:rPr>
      </w:pPr>
      <w:r>
        <w:t>Visualization</w:t>
      </w:r>
    </w:p>
    <w:p w:rsidR="007E1B66" w:rsidRDefault="008106C4">
      <w:pPr>
        <w:pStyle w:val="Listenabsatz"/>
        <w:numPr>
          <w:ilvl w:val="2"/>
          <w:numId w:val="4"/>
        </w:numPr>
        <w:rPr>
          <w:b/>
        </w:rPr>
      </w:pPr>
      <w:r>
        <w:t xml:space="preserve">Data summary: </w:t>
      </w:r>
      <w:r>
        <w:rPr>
          <w:b/>
        </w:rPr>
        <w:t>PCA</w:t>
      </w:r>
    </w:p>
    <w:p w:rsidR="007E1B66" w:rsidRDefault="008106C4">
      <w:pPr>
        <w:pStyle w:val="Listenabsatz"/>
        <w:numPr>
          <w:ilvl w:val="2"/>
          <w:numId w:val="4"/>
        </w:numPr>
        <w:rPr>
          <w:b/>
        </w:rPr>
      </w:pPr>
      <w:r>
        <w:t xml:space="preserve">More flexible: </w:t>
      </w:r>
      <w:r>
        <w:rPr>
          <w:b/>
        </w:rPr>
        <w:t>tSNE</w:t>
      </w:r>
      <w:r>
        <w:t xml:space="preserve">, </w:t>
      </w:r>
      <w:r>
        <w:rPr>
          <w:b/>
        </w:rPr>
        <w:t>UMAP</w:t>
      </w:r>
      <w:r>
        <w:t xml:space="preserve">, </w:t>
      </w:r>
      <w:r>
        <w:rPr>
          <w:b/>
        </w:rPr>
        <w:t>PHATE</w:t>
      </w:r>
      <w:r>
        <w:t xml:space="preserve"> </w:t>
      </w:r>
    </w:p>
    <w:p w:rsidR="007E1B66" w:rsidRDefault="008106C4">
      <w:pPr>
        <w:pStyle w:val="Listenabsatz"/>
        <w:numPr>
          <w:ilvl w:val="2"/>
          <w:numId w:val="4"/>
        </w:numPr>
        <w:rPr>
          <w:b/>
        </w:rPr>
      </w:pPr>
      <w:r>
        <w:t xml:space="preserve">NOTE: relying only on 2D embeddings likely leads to misinterpretation </w:t>
      </w:r>
    </w:p>
    <w:p w:rsidR="007E1B66" w:rsidRDefault="008106C4">
      <w:pPr>
        <w:pStyle w:val="Listenabsatz"/>
        <w:numPr>
          <w:ilvl w:val="3"/>
          <w:numId w:val="4"/>
        </w:numPr>
        <w:rPr>
          <w:b/>
        </w:rPr>
      </w:pPr>
      <w:r>
        <w:t xml:space="preserve">Results should not only be formulated based on visual inspection but also quantitative assessments  </w:t>
      </w:r>
    </w:p>
    <w:p w:rsidR="007E1B66" w:rsidRDefault="007E1B66">
      <w:pPr>
        <w:rPr>
          <w:b/>
        </w:rPr>
      </w:pPr>
    </w:p>
    <w:p w:rsidR="000A79A5" w:rsidRDefault="000A79A5">
      <w:pPr>
        <w:rPr>
          <w:b/>
        </w:rPr>
      </w:pPr>
    </w:p>
    <w:p w:rsidR="000A79A5" w:rsidRDefault="000A79A5">
      <w:pPr>
        <w:rPr>
          <w:b/>
        </w:rPr>
      </w:pPr>
    </w:p>
    <w:p w:rsidR="007E1B66" w:rsidRDefault="008106C4">
      <w:pPr>
        <w:rPr>
          <w:b/>
          <w:sz w:val="32"/>
        </w:rPr>
      </w:pPr>
      <w:r>
        <w:rPr>
          <w:b/>
          <w:sz w:val="32"/>
        </w:rPr>
        <w:lastRenderedPageBreak/>
        <w:t>Downstream analysis</w:t>
      </w:r>
    </w:p>
    <w:p w:rsidR="007E1B66" w:rsidRDefault="008106C4">
      <w:pPr>
        <w:pStyle w:val="Listenabsatz"/>
        <w:numPr>
          <w:ilvl w:val="0"/>
          <w:numId w:val="4"/>
        </w:numPr>
        <w:rPr>
          <w:b/>
          <w:color w:val="0070C0"/>
        </w:rPr>
      </w:pPr>
      <w:r>
        <w:rPr>
          <w:color w:val="0070C0"/>
        </w:rPr>
        <w:t>From Clusters to cell identities</w:t>
      </w:r>
    </w:p>
    <w:p w:rsidR="007E1B66" w:rsidRDefault="008106C4">
      <w:pPr>
        <w:pStyle w:val="Listenabsatz"/>
        <w:numPr>
          <w:ilvl w:val="1"/>
          <w:numId w:val="4"/>
        </w:numPr>
        <w:rPr>
          <w:b/>
        </w:rPr>
      </w:pPr>
      <w:r>
        <w:t xml:space="preserve">Clustering should be performed using </w:t>
      </w:r>
      <w:r>
        <w:rPr>
          <w:b/>
        </w:rPr>
        <w:t>leiden</w:t>
      </w:r>
      <w:r>
        <w:t xml:space="preserve"> algorithm at different resolutions to obtain an ideal clustering for annotating cells</w:t>
      </w:r>
    </w:p>
    <w:p w:rsidR="007E1B66" w:rsidRDefault="008106C4">
      <w:pPr>
        <w:pStyle w:val="Listenabsatz"/>
        <w:numPr>
          <w:ilvl w:val="1"/>
          <w:numId w:val="4"/>
        </w:numPr>
        <w:rPr>
          <w:b/>
        </w:rPr>
      </w:pPr>
      <w:r>
        <w:t>Mapping cell clusters to cell identities</w:t>
      </w:r>
    </w:p>
    <w:p w:rsidR="007E1B66" w:rsidRDefault="008106C4">
      <w:pPr>
        <w:pStyle w:val="Listenabsatz"/>
        <w:numPr>
          <w:ilvl w:val="2"/>
          <w:numId w:val="4"/>
        </w:numPr>
        <w:rPr>
          <w:b/>
        </w:rPr>
      </w:pPr>
      <w:r>
        <w:t>Three step approach</w:t>
      </w:r>
    </w:p>
    <w:p w:rsidR="007E1B66" w:rsidRDefault="008106C4">
      <w:pPr>
        <w:pStyle w:val="Listenabsatz"/>
        <w:numPr>
          <w:ilvl w:val="3"/>
          <w:numId w:val="4"/>
        </w:numPr>
        <w:rPr>
          <w:b/>
        </w:rPr>
      </w:pPr>
      <w:r>
        <w:t>1. Automated annotation</w:t>
      </w:r>
    </w:p>
    <w:p w:rsidR="007E1B66" w:rsidRDefault="008106C4">
      <w:pPr>
        <w:pStyle w:val="Listenabsatz"/>
        <w:numPr>
          <w:ilvl w:val="4"/>
          <w:numId w:val="4"/>
        </w:numPr>
        <w:rPr>
          <w:b/>
        </w:rPr>
      </w:pPr>
      <w:r>
        <w:t>Use pre-trained classifiers but beware pitfalls (type of training data and type of classifier, might be biased)</w:t>
      </w:r>
    </w:p>
    <w:p w:rsidR="007E1B66" w:rsidRDefault="008106C4">
      <w:pPr>
        <w:pStyle w:val="Listenabsatz"/>
        <w:numPr>
          <w:ilvl w:val="5"/>
          <w:numId w:val="4"/>
        </w:numPr>
        <w:rPr>
          <w:b/>
        </w:rPr>
      </w:pPr>
      <w:r>
        <w:rPr>
          <w:b/>
        </w:rPr>
        <w:t>CellTypist</w:t>
      </w:r>
    </w:p>
    <w:p w:rsidR="007E1B66" w:rsidRDefault="008106C4">
      <w:pPr>
        <w:pStyle w:val="Listenabsatz"/>
        <w:numPr>
          <w:ilvl w:val="5"/>
          <w:numId w:val="4"/>
        </w:numPr>
        <w:rPr>
          <w:b/>
        </w:rPr>
      </w:pPr>
      <w:r>
        <w:rPr>
          <w:b/>
        </w:rPr>
        <w:t>Clustifyr</w:t>
      </w:r>
    </w:p>
    <w:p w:rsidR="007E1B66" w:rsidRDefault="008106C4">
      <w:pPr>
        <w:pStyle w:val="Listenabsatz"/>
        <w:numPr>
          <w:ilvl w:val="5"/>
          <w:numId w:val="4"/>
        </w:numPr>
        <w:rPr>
          <w:b/>
        </w:rPr>
      </w:pPr>
      <w:r>
        <w:rPr>
          <w:b/>
        </w:rPr>
        <w:t>scClassify</w:t>
      </w:r>
    </w:p>
    <w:p w:rsidR="007E1B66" w:rsidRDefault="008106C4">
      <w:pPr>
        <w:pStyle w:val="Listenabsatz"/>
        <w:numPr>
          <w:ilvl w:val="5"/>
          <w:numId w:val="4"/>
        </w:numPr>
        <w:rPr>
          <w:b/>
        </w:rPr>
      </w:pPr>
      <w:r>
        <w:rPr>
          <w:b/>
        </w:rPr>
        <w:t>Numpat</w:t>
      </w:r>
      <w:r>
        <w:t xml:space="preserve"> (for tumor cell classification through CNV detection) </w:t>
      </w:r>
    </w:p>
    <w:p w:rsidR="007E1B66" w:rsidRDefault="008106C4">
      <w:pPr>
        <w:pStyle w:val="Listenabsatz"/>
        <w:numPr>
          <w:ilvl w:val="3"/>
          <w:numId w:val="4"/>
        </w:numPr>
        <w:rPr>
          <w:b/>
        </w:rPr>
      </w:pPr>
      <w:r>
        <w:t>2. Manual annotation</w:t>
      </w:r>
    </w:p>
    <w:p w:rsidR="007E1B66" w:rsidRDefault="008106C4">
      <w:pPr>
        <w:pStyle w:val="Listenabsatz"/>
        <w:numPr>
          <w:ilvl w:val="4"/>
          <w:numId w:val="4"/>
        </w:numPr>
        <w:rPr>
          <w:b/>
        </w:rPr>
      </w:pPr>
      <w:r>
        <w:t xml:space="preserve">Identify differing genes between clusters with Wilcoxon test (but don’t rely on inflated p-values) </w:t>
      </w:r>
    </w:p>
    <w:p w:rsidR="007E1B66" w:rsidRDefault="008106C4">
      <w:pPr>
        <w:pStyle w:val="Listenabsatz"/>
        <w:numPr>
          <w:ilvl w:val="4"/>
          <w:numId w:val="4"/>
        </w:numPr>
        <w:rPr>
          <w:b/>
        </w:rPr>
      </w:pPr>
      <w:r>
        <w:t>Compare identified markers with database</w:t>
      </w:r>
    </w:p>
    <w:p w:rsidR="007E1B66" w:rsidRDefault="008106C4">
      <w:pPr>
        <w:pStyle w:val="Listenabsatz"/>
        <w:numPr>
          <w:ilvl w:val="3"/>
          <w:numId w:val="4"/>
        </w:numPr>
        <w:rPr>
          <w:b/>
        </w:rPr>
      </w:pPr>
      <w:r>
        <w:t>3. Expert validation</w:t>
      </w:r>
    </w:p>
    <w:p w:rsidR="007E1B66" w:rsidRPr="004850C4" w:rsidRDefault="008106C4">
      <w:pPr>
        <w:pStyle w:val="Listenabsatz"/>
        <w:numPr>
          <w:ilvl w:val="4"/>
          <w:numId w:val="4"/>
        </w:numPr>
        <w:rPr>
          <w:b/>
        </w:rPr>
      </w:pPr>
      <w:r>
        <w:t>Validation of markers identified in step 1 and step 2 through expert knowledge and literature research</w:t>
      </w:r>
    </w:p>
    <w:p w:rsidR="004850C4" w:rsidRPr="004850C4" w:rsidRDefault="004850C4" w:rsidP="004850C4">
      <w:pPr>
        <w:pStyle w:val="Listenabsatz"/>
        <w:numPr>
          <w:ilvl w:val="1"/>
          <w:numId w:val="4"/>
        </w:numPr>
        <w:rPr>
          <w:b/>
        </w:rPr>
      </w:pPr>
      <w:r>
        <w:t>Our workflow:</w:t>
      </w:r>
    </w:p>
    <w:p w:rsidR="004850C4" w:rsidRPr="004850C4" w:rsidRDefault="004850C4" w:rsidP="004850C4">
      <w:pPr>
        <w:pStyle w:val="Listenabsatz"/>
        <w:numPr>
          <w:ilvl w:val="2"/>
          <w:numId w:val="4"/>
        </w:numPr>
        <w:rPr>
          <w:b/>
        </w:rPr>
      </w:pPr>
      <w:r>
        <w:t>Manual annotation first (unbiased)</w:t>
      </w:r>
    </w:p>
    <w:p w:rsidR="004850C4" w:rsidRPr="004850C4" w:rsidRDefault="004850C4" w:rsidP="004850C4">
      <w:pPr>
        <w:pStyle w:val="Listenabsatz"/>
        <w:numPr>
          <w:ilvl w:val="3"/>
          <w:numId w:val="4"/>
        </w:numPr>
        <w:rPr>
          <w:b/>
        </w:rPr>
      </w:pPr>
      <w:r>
        <w:t xml:space="preserve">Search for markers of known cell populations within sample with </w:t>
      </w:r>
      <w:r w:rsidRPr="00586991">
        <w:rPr>
          <w:b/>
        </w:rPr>
        <w:t>PanglaoDB</w:t>
      </w:r>
    </w:p>
    <w:p w:rsidR="004850C4" w:rsidRPr="004850C4" w:rsidRDefault="004850C4" w:rsidP="004850C4">
      <w:pPr>
        <w:pStyle w:val="Listenabsatz"/>
        <w:numPr>
          <w:ilvl w:val="3"/>
          <w:numId w:val="4"/>
        </w:numPr>
        <w:rPr>
          <w:b/>
        </w:rPr>
      </w:pPr>
      <w:r>
        <w:t>For unidentified populations: check top differentially expressed genes and do a reverse search in PanglaoDB to find which cell types might be present</w:t>
      </w:r>
    </w:p>
    <w:p w:rsidR="004850C4" w:rsidRPr="004850C4" w:rsidRDefault="004850C4" w:rsidP="004850C4">
      <w:pPr>
        <w:pStyle w:val="Listenabsatz"/>
        <w:numPr>
          <w:ilvl w:val="3"/>
          <w:numId w:val="4"/>
        </w:numPr>
        <w:rPr>
          <w:b/>
        </w:rPr>
      </w:pPr>
      <w:r>
        <w:t>Supply list with top 1000 genes to DAVID and check whether enriched pathways make sense for suggested population (</w:t>
      </w:r>
      <w:hyperlink r:id="rId13" w:history="1">
        <w:r w:rsidRPr="00C45600">
          <w:rPr>
            <w:rStyle w:val="Hyperlink"/>
          </w:rPr>
          <w:t>https://davidbioinformatics.nih.gov/tools.jsp</w:t>
        </w:r>
      </w:hyperlink>
      <w:r>
        <w:t xml:space="preserve">) </w:t>
      </w:r>
    </w:p>
    <w:p w:rsidR="004850C4" w:rsidRPr="00E453DB" w:rsidRDefault="004850C4" w:rsidP="00C227EA">
      <w:pPr>
        <w:pStyle w:val="Listenabsatz"/>
        <w:numPr>
          <w:ilvl w:val="2"/>
          <w:numId w:val="4"/>
        </w:numPr>
        <w:rPr>
          <w:b/>
        </w:rPr>
      </w:pPr>
      <w:r>
        <w:t xml:space="preserve">Automated annotation with </w:t>
      </w:r>
      <w:r w:rsidRPr="00E453DB">
        <w:rPr>
          <w:b/>
        </w:rPr>
        <w:t>singleR</w:t>
      </w:r>
      <w:r w:rsidR="007C51AC">
        <w:t xml:space="preserve"> (or other tool</w:t>
      </w:r>
      <w:r w:rsidR="00C227EA">
        <w:t xml:space="preserve">; </w:t>
      </w:r>
      <w:hyperlink r:id="rId14" w:history="1">
        <w:r w:rsidR="00C227EA" w:rsidRPr="00C45600">
          <w:rPr>
            <w:rStyle w:val="Hyperlink"/>
          </w:rPr>
          <w:t>https://pubmed.ncbi.nlm.nih.gov/34031612/</w:t>
        </w:r>
      </w:hyperlink>
      <w:r w:rsidR="007C51AC">
        <w:t>)</w:t>
      </w:r>
      <w:r>
        <w:t xml:space="preserve"> </w:t>
      </w:r>
      <w:r w:rsidR="00DA7BA5">
        <w:t>and checking of manually assigned clus</w:t>
      </w:r>
      <w:r w:rsidR="007C51AC">
        <w:t>t</w:t>
      </w:r>
      <w:r w:rsidR="00DA7BA5">
        <w:t>ers</w:t>
      </w:r>
    </w:p>
    <w:p w:rsidR="00E453DB" w:rsidRPr="00B73909" w:rsidRDefault="00E453DB" w:rsidP="00E453DB">
      <w:pPr>
        <w:pStyle w:val="Listenabsatz"/>
        <w:numPr>
          <w:ilvl w:val="3"/>
          <w:numId w:val="4"/>
        </w:numPr>
        <w:rPr>
          <w:b/>
        </w:rPr>
      </w:pPr>
      <w:r>
        <w:t xml:space="preserve">Use </w:t>
      </w:r>
      <w:r w:rsidRPr="00E453DB">
        <w:rPr>
          <w:b/>
        </w:rPr>
        <w:t>celldex</w:t>
      </w:r>
      <w:r>
        <w:rPr>
          <w:b/>
        </w:rPr>
        <w:t xml:space="preserve"> </w:t>
      </w:r>
      <w:r>
        <w:t>for database of known marker genes from other RNAseq datasets</w:t>
      </w:r>
      <w:r w:rsidR="00100646">
        <w:t xml:space="preserve"> (or built reference based on other GSE dataset</w:t>
      </w:r>
      <w:r w:rsidR="00C23B3D">
        <w:t>)</w:t>
      </w:r>
      <w:bookmarkStart w:id="0" w:name="_GoBack"/>
      <w:bookmarkEnd w:id="0"/>
    </w:p>
    <w:p w:rsidR="00B73909" w:rsidRPr="00DA7BA5" w:rsidRDefault="00B73909" w:rsidP="00B73909">
      <w:pPr>
        <w:pStyle w:val="Listenabsatz"/>
        <w:numPr>
          <w:ilvl w:val="3"/>
          <w:numId w:val="4"/>
        </w:numPr>
        <w:rPr>
          <w:b/>
        </w:rPr>
      </w:pPr>
      <w:r>
        <w:t xml:space="preserve">Benchmark study showing </w:t>
      </w:r>
      <w:r>
        <w:rPr>
          <w:b/>
        </w:rPr>
        <w:t xml:space="preserve">singleR </w:t>
      </w:r>
      <w:r>
        <w:t xml:space="preserve">performs well: </w:t>
      </w:r>
      <w:hyperlink r:id="rId15" w:history="1">
        <w:r w:rsidRPr="00C45600">
          <w:rPr>
            <w:rStyle w:val="Hyperlink"/>
          </w:rPr>
          <w:t>https://pubmed.ncbi.nlm.nih.gov/33359678/</w:t>
        </w:r>
      </w:hyperlink>
      <w:r>
        <w:t xml:space="preserve"> </w:t>
      </w:r>
    </w:p>
    <w:p w:rsidR="004850C4" w:rsidRDefault="004850C4" w:rsidP="004850C4">
      <w:pPr>
        <w:pStyle w:val="Listenabsatz"/>
        <w:numPr>
          <w:ilvl w:val="2"/>
          <w:numId w:val="4"/>
        </w:numPr>
        <w:rPr>
          <w:b/>
        </w:rPr>
      </w:pPr>
      <w:r>
        <w:t xml:space="preserve">Validation of assigned cell clusters by new differential expression and cross-referencing of differentially expressed markers with known markers for each respective cell population (summary of results with dotplot showing the top 3-5 markers per population) </w:t>
      </w:r>
    </w:p>
    <w:p w:rsidR="007E1B66" w:rsidRDefault="008106C4">
      <w:pPr>
        <w:pStyle w:val="Listenabsatz"/>
        <w:numPr>
          <w:ilvl w:val="0"/>
          <w:numId w:val="4"/>
        </w:numPr>
        <w:rPr>
          <w:b/>
          <w:color w:val="0070C0"/>
        </w:rPr>
      </w:pPr>
      <w:r>
        <w:rPr>
          <w:color w:val="0070C0"/>
        </w:rPr>
        <w:t>Trajectory inference/pseudotime analysis</w:t>
      </w:r>
    </w:p>
    <w:p w:rsidR="007E1B66" w:rsidRDefault="008106C4">
      <w:pPr>
        <w:pStyle w:val="Listenabsatz"/>
        <w:numPr>
          <w:ilvl w:val="1"/>
          <w:numId w:val="4"/>
        </w:numPr>
        <w:rPr>
          <w:b/>
          <w:color w:val="000000" w:themeColor="text1"/>
        </w:rPr>
      </w:pPr>
      <w:r>
        <w:rPr>
          <w:color w:val="000000" w:themeColor="text1"/>
        </w:rPr>
        <w:t>Trajectory can be cyclic, linear a tree or more generally a graph</w:t>
      </w:r>
    </w:p>
    <w:p w:rsidR="007E1B66" w:rsidRDefault="008106C4">
      <w:pPr>
        <w:pStyle w:val="Listenabsatz"/>
        <w:numPr>
          <w:ilvl w:val="1"/>
          <w:numId w:val="4"/>
        </w:numPr>
        <w:rPr>
          <w:b/>
          <w:color w:val="000000" w:themeColor="text1"/>
        </w:rPr>
      </w:pPr>
      <w:r>
        <w:rPr>
          <w:color w:val="000000" w:themeColor="text1"/>
        </w:rPr>
        <w:t>Simple trajectory</w:t>
      </w:r>
    </w:p>
    <w:p w:rsidR="007E1B66" w:rsidRDefault="008106C4">
      <w:pPr>
        <w:pStyle w:val="Listenabsatz"/>
        <w:numPr>
          <w:ilvl w:val="2"/>
          <w:numId w:val="4"/>
        </w:numPr>
        <w:rPr>
          <w:b/>
          <w:color w:val="000000" w:themeColor="text1"/>
        </w:rPr>
      </w:pPr>
      <w:r>
        <w:rPr>
          <w:b/>
          <w:color w:val="000000" w:themeColor="text1"/>
        </w:rPr>
        <w:t>Slingshot</w:t>
      </w:r>
    </w:p>
    <w:p w:rsidR="007E1B66" w:rsidRDefault="008106C4">
      <w:pPr>
        <w:pStyle w:val="Listenabsatz"/>
        <w:numPr>
          <w:ilvl w:val="1"/>
          <w:numId w:val="4"/>
        </w:numPr>
        <w:rPr>
          <w:b/>
          <w:color w:val="000000" w:themeColor="text1"/>
        </w:rPr>
      </w:pPr>
      <w:r>
        <w:rPr>
          <w:color w:val="000000" w:themeColor="text1"/>
        </w:rPr>
        <w:t>Complex trajectories</w:t>
      </w:r>
    </w:p>
    <w:p w:rsidR="007E1B66" w:rsidRDefault="008106C4">
      <w:pPr>
        <w:pStyle w:val="Listenabsatz"/>
        <w:numPr>
          <w:ilvl w:val="2"/>
          <w:numId w:val="4"/>
        </w:numPr>
        <w:rPr>
          <w:b/>
          <w:color w:val="000000" w:themeColor="text1"/>
        </w:rPr>
      </w:pPr>
      <w:r>
        <w:rPr>
          <w:b/>
          <w:color w:val="000000" w:themeColor="text1"/>
        </w:rPr>
        <w:t>PAGA</w:t>
      </w:r>
    </w:p>
    <w:p w:rsidR="007E1B66" w:rsidRDefault="008106C4">
      <w:pPr>
        <w:pStyle w:val="Listenabsatz"/>
        <w:numPr>
          <w:ilvl w:val="2"/>
          <w:numId w:val="4"/>
        </w:numPr>
        <w:rPr>
          <w:b/>
          <w:color w:val="000000" w:themeColor="text1"/>
        </w:rPr>
      </w:pPr>
      <w:r>
        <w:rPr>
          <w:b/>
          <w:color w:val="000000" w:themeColor="text1"/>
        </w:rPr>
        <w:t>RaceID</w:t>
      </w:r>
      <w:r>
        <w:rPr>
          <w:color w:val="000000" w:themeColor="text1"/>
        </w:rPr>
        <w:t>/</w:t>
      </w:r>
      <w:r>
        <w:rPr>
          <w:b/>
          <w:color w:val="000000" w:themeColor="text1"/>
        </w:rPr>
        <w:t>StemID</w:t>
      </w:r>
    </w:p>
    <w:p w:rsidR="007E1B66" w:rsidRDefault="008106C4">
      <w:pPr>
        <w:pStyle w:val="Listenabsatz"/>
        <w:numPr>
          <w:ilvl w:val="1"/>
          <w:numId w:val="4"/>
        </w:numPr>
        <w:rPr>
          <w:b/>
          <w:color w:val="000000" w:themeColor="text1"/>
        </w:rPr>
      </w:pPr>
      <w:r>
        <w:rPr>
          <w:b/>
          <w:color w:val="000000" w:themeColor="text1"/>
        </w:rPr>
        <w:t>Dynguidelines</w:t>
      </w:r>
      <w:r>
        <w:rPr>
          <w:color w:val="000000" w:themeColor="text1"/>
        </w:rPr>
        <w:t xml:space="preserve"> (R shiny app) to infer best methods based on input dataset</w:t>
      </w:r>
    </w:p>
    <w:p w:rsidR="007E1B66" w:rsidRDefault="008106C4">
      <w:pPr>
        <w:pStyle w:val="Listenabsatz"/>
        <w:numPr>
          <w:ilvl w:val="1"/>
          <w:numId w:val="4"/>
        </w:numPr>
        <w:rPr>
          <w:b/>
          <w:color w:val="000000" w:themeColor="text1"/>
        </w:rPr>
      </w:pPr>
      <w:r>
        <w:rPr>
          <w:color w:val="000000" w:themeColor="text1"/>
        </w:rPr>
        <w:t>Confirm results by multiple algorithms with different underlying assumptions</w:t>
      </w:r>
    </w:p>
    <w:p w:rsidR="007E1B66" w:rsidRDefault="008106C4">
      <w:pPr>
        <w:pStyle w:val="Listenabsatz"/>
        <w:numPr>
          <w:ilvl w:val="1"/>
          <w:numId w:val="4"/>
        </w:numPr>
        <w:rPr>
          <w:b/>
          <w:color w:val="000000" w:themeColor="text1"/>
        </w:rPr>
      </w:pPr>
      <w:r>
        <w:rPr>
          <w:color w:val="000000" w:themeColor="text1"/>
        </w:rPr>
        <w:t>Supplement results with more complex methods like RNA velocity (only works if intronic data is available)</w:t>
      </w:r>
    </w:p>
    <w:p w:rsidR="007E1B66" w:rsidRDefault="008106C4">
      <w:pPr>
        <w:pStyle w:val="Listenabsatz"/>
        <w:numPr>
          <w:ilvl w:val="2"/>
          <w:numId w:val="4"/>
        </w:numPr>
        <w:rPr>
          <w:b/>
          <w:color w:val="000000" w:themeColor="text1"/>
        </w:rPr>
      </w:pPr>
      <w:r>
        <w:rPr>
          <w:color w:val="000000" w:themeColor="text1"/>
        </w:rPr>
        <w:t>RNA velocity describes the process of constant rates of transcription, splicing and degradataion</w:t>
      </w:r>
    </w:p>
    <w:p w:rsidR="007E1B66" w:rsidRDefault="008106C4">
      <w:pPr>
        <w:pStyle w:val="Listenabsatz"/>
        <w:numPr>
          <w:ilvl w:val="2"/>
          <w:numId w:val="4"/>
        </w:numPr>
        <w:rPr>
          <w:b/>
          <w:color w:val="000000" w:themeColor="text1"/>
        </w:rPr>
      </w:pPr>
      <w:r>
        <w:rPr>
          <w:b/>
          <w:color w:val="000000" w:themeColor="text1"/>
        </w:rPr>
        <w:t>Velocyto</w:t>
      </w:r>
      <w:r>
        <w:rPr>
          <w:color w:val="000000" w:themeColor="text1"/>
        </w:rPr>
        <w:t xml:space="preserve"> and </w:t>
      </w:r>
      <w:r>
        <w:rPr>
          <w:b/>
          <w:color w:val="000000" w:themeColor="text1"/>
        </w:rPr>
        <w:t>scVelo</w:t>
      </w:r>
      <w:r>
        <w:rPr>
          <w:color w:val="000000" w:themeColor="text1"/>
        </w:rPr>
        <w:tab/>
      </w:r>
    </w:p>
    <w:p w:rsidR="007E1B66" w:rsidRDefault="008106C4">
      <w:pPr>
        <w:pStyle w:val="Listenabsatz"/>
        <w:numPr>
          <w:ilvl w:val="3"/>
          <w:numId w:val="4"/>
        </w:numPr>
        <w:rPr>
          <w:b/>
          <w:color w:val="000000" w:themeColor="text1"/>
        </w:rPr>
      </w:pPr>
      <w:r>
        <w:rPr>
          <w:color w:val="000000" w:themeColor="text1"/>
        </w:rPr>
        <w:t xml:space="preserve">Results as input for </w:t>
      </w:r>
      <w:r>
        <w:rPr>
          <w:b/>
          <w:color w:val="000000" w:themeColor="text1"/>
        </w:rPr>
        <w:t>CellRank</w:t>
      </w:r>
      <w:r>
        <w:rPr>
          <w:color w:val="000000" w:themeColor="text1"/>
        </w:rPr>
        <w:t xml:space="preserve"> </w:t>
      </w:r>
    </w:p>
    <w:p w:rsidR="007E1B66" w:rsidRDefault="008106C4">
      <w:pPr>
        <w:pStyle w:val="Listenabsatz"/>
        <w:numPr>
          <w:ilvl w:val="2"/>
          <w:numId w:val="4"/>
        </w:numPr>
        <w:rPr>
          <w:b/>
          <w:color w:val="000000" w:themeColor="text1"/>
        </w:rPr>
      </w:pPr>
      <w:r>
        <w:rPr>
          <w:color w:val="000000" w:themeColor="text1"/>
        </w:rPr>
        <w:t>NOTE: inferences might be wrong in presence of transcriptional bursts or with steady-state cellular populations</w:t>
      </w:r>
    </w:p>
    <w:p w:rsidR="007E1B66" w:rsidRDefault="008106C4">
      <w:pPr>
        <w:pStyle w:val="Listenabsatz"/>
        <w:numPr>
          <w:ilvl w:val="1"/>
          <w:numId w:val="4"/>
        </w:numPr>
        <w:rPr>
          <w:b/>
          <w:color w:val="000000" w:themeColor="text1"/>
        </w:rPr>
      </w:pPr>
      <w:r>
        <w:rPr>
          <w:b/>
          <w:color w:val="000000" w:themeColor="text1"/>
        </w:rPr>
        <w:t>Alternative: Lineage tracing methods</w:t>
      </w:r>
    </w:p>
    <w:p w:rsidR="007E1B66" w:rsidRDefault="008106C4">
      <w:pPr>
        <w:pStyle w:val="Listenabsatz"/>
        <w:numPr>
          <w:ilvl w:val="2"/>
          <w:numId w:val="4"/>
        </w:numPr>
        <w:rPr>
          <w:b/>
          <w:color w:val="000000" w:themeColor="text1"/>
        </w:rPr>
      </w:pPr>
      <w:r>
        <w:rPr>
          <w:color w:val="000000" w:themeColor="text1"/>
        </w:rPr>
        <w:t>E.g. Wang 2024 (statistical approach for systematic identification of transition cells from scRNAseq)</w:t>
      </w:r>
    </w:p>
    <w:p w:rsidR="007E1B66" w:rsidRDefault="008106C4">
      <w:pPr>
        <w:pStyle w:val="Listenabsatz"/>
        <w:numPr>
          <w:ilvl w:val="2"/>
          <w:numId w:val="4"/>
        </w:numPr>
        <w:rPr>
          <w:b/>
          <w:color w:val="000000" w:themeColor="text1"/>
        </w:rPr>
      </w:pPr>
      <w:r>
        <w:rPr>
          <w:color w:val="000000" w:themeColor="text1"/>
        </w:rPr>
        <w:t>Calculate transition states based on a trajectory (e.g. identified with Slingshot) utilizing pairwise gene pearson correlation between nearest neighbours</w:t>
      </w:r>
    </w:p>
    <w:p w:rsidR="007E1B66" w:rsidRDefault="008106C4">
      <w:pPr>
        <w:pStyle w:val="Listenabsatz"/>
        <w:numPr>
          <w:ilvl w:val="2"/>
          <w:numId w:val="4"/>
        </w:numPr>
        <w:rPr>
          <w:b/>
          <w:color w:val="000000" w:themeColor="text1"/>
        </w:rPr>
      </w:pPr>
      <w:r>
        <w:rPr>
          <w:color w:val="000000" w:themeColor="text1"/>
        </w:rPr>
        <w:t xml:space="preserve">In stable states correlation is near to 0 and in transitory states it is close to -1 or 1 due to similarity in transistory driving regulators </w:t>
      </w:r>
    </w:p>
    <w:p w:rsidR="007E1B66" w:rsidRDefault="008106C4">
      <w:pPr>
        <w:pStyle w:val="Listenabsatz"/>
        <w:numPr>
          <w:ilvl w:val="2"/>
          <w:numId w:val="4"/>
        </w:numPr>
        <w:rPr>
          <w:b/>
          <w:color w:val="000000" w:themeColor="text1"/>
        </w:rPr>
      </w:pPr>
      <w:r>
        <w:rPr>
          <w:b/>
          <w:color w:val="000000" w:themeColor="text1"/>
        </w:rPr>
        <w:t xml:space="preserve">On the github page of the CellTran package is a guide to use simulated data for learning purposes </w:t>
      </w:r>
    </w:p>
    <w:p w:rsidR="007E1B66" w:rsidRDefault="008106C4">
      <w:pPr>
        <w:pStyle w:val="Listenabsatz"/>
        <w:numPr>
          <w:ilvl w:val="0"/>
          <w:numId w:val="4"/>
        </w:numPr>
        <w:rPr>
          <w:b/>
          <w:color w:val="0070C0"/>
        </w:rPr>
      </w:pPr>
      <w:r>
        <w:rPr>
          <w:color w:val="0070C0"/>
        </w:rPr>
        <w:lastRenderedPageBreak/>
        <w:t>Differential expression analysis</w:t>
      </w:r>
    </w:p>
    <w:p w:rsidR="007E1B66" w:rsidRDefault="008106C4">
      <w:pPr>
        <w:pStyle w:val="Listenabsatz"/>
        <w:numPr>
          <w:ilvl w:val="1"/>
          <w:numId w:val="4"/>
        </w:numPr>
        <w:rPr>
          <w:b/>
          <w:color w:val="000000" w:themeColor="text1"/>
        </w:rPr>
      </w:pPr>
      <w:r>
        <w:rPr>
          <w:color w:val="000000" w:themeColor="text1"/>
        </w:rPr>
        <w:t xml:space="preserve">Create pseudobulks (aggregate cells of samples based on cell identity) and compare with standard bulk expression methods </w:t>
      </w:r>
    </w:p>
    <w:p w:rsidR="007E1B66" w:rsidRDefault="008106C4">
      <w:pPr>
        <w:pStyle w:val="Listenabsatz"/>
        <w:numPr>
          <w:ilvl w:val="2"/>
          <w:numId w:val="4"/>
        </w:numPr>
        <w:rPr>
          <w:b/>
          <w:color w:val="000000" w:themeColor="text1"/>
        </w:rPr>
      </w:pPr>
      <w:r>
        <w:rPr>
          <w:color w:val="000000" w:themeColor="text1"/>
        </w:rPr>
        <w:t xml:space="preserve">E.g. </w:t>
      </w:r>
      <w:r>
        <w:rPr>
          <w:b/>
          <w:color w:val="000000" w:themeColor="text1"/>
        </w:rPr>
        <w:t>DESeq</w:t>
      </w:r>
    </w:p>
    <w:p w:rsidR="007E1B66" w:rsidRDefault="008106C4">
      <w:pPr>
        <w:pStyle w:val="Listenabsatz"/>
        <w:numPr>
          <w:ilvl w:val="2"/>
          <w:numId w:val="4"/>
        </w:numPr>
        <w:rPr>
          <w:b/>
          <w:color w:val="000000" w:themeColor="text1"/>
        </w:rPr>
      </w:pPr>
      <w:r>
        <w:rPr>
          <w:color w:val="000000" w:themeColor="text1"/>
        </w:rPr>
        <w:t xml:space="preserve">Perform better than scRNAseq specific  tools which underestimate the variance of gene expression systematically </w:t>
      </w:r>
    </w:p>
    <w:p w:rsidR="007E1B66" w:rsidRDefault="008106C4">
      <w:pPr>
        <w:pStyle w:val="Listenabsatz"/>
        <w:numPr>
          <w:ilvl w:val="1"/>
          <w:numId w:val="4"/>
        </w:numPr>
        <w:rPr>
          <w:b/>
          <w:color w:val="000000" w:themeColor="text1"/>
        </w:rPr>
      </w:pPr>
      <w:r>
        <w:rPr>
          <w:color w:val="000000" w:themeColor="text1"/>
        </w:rPr>
        <w:t xml:space="preserve">Explore pseudobulks with PCA to detect sources of variation </w:t>
      </w:r>
    </w:p>
    <w:p w:rsidR="007E1B66" w:rsidRDefault="007E1B66">
      <w:pPr>
        <w:pStyle w:val="Listenabsatz"/>
        <w:ind w:left="1440"/>
        <w:rPr>
          <w:b/>
          <w:color w:val="000000" w:themeColor="text1"/>
        </w:rPr>
      </w:pPr>
    </w:p>
    <w:p w:rsidR="007E1B66" w:rsidRDefault="008106C4">
      <w:pPr>
        <w:pStyle w:val="Listenabsatz"/>
        <w:numPr>
          <w:ilvl w:val="0"/>
          <w:numId w:val="4"/>
        </w:numPr>
        <w:rPr>
          <w:b/>
          <w:color w:val="0070C0"/>
        </w:rPr>
      </w:pPr>
      <w:r>
        <w:rPr>
          <w:color w:val="0070C0"/>
        </w:rPr>
        <w:t>GSEA</w:t>
      </w:r>
    </w:p>
    <w:p w:rsidR="007E1B66" w:rsidRDefault="008106C4">
      <w:pPr>
        <w:pStyle w:val="Listenabsatz"/>
        <w:numPr>
          <w:ilvl w:val="1"/>
          <w:numId w:val="4"/>
        </w:numPr>
        <w:rPr>
          <w:b/>
          <w:color w:val="000000" w:themeColor="text1"/>
        </w:rPr>
      </w:pPr>
      <w:r>
        <w:rPr>
          <w:color w:val="000000" w:themeColor="text1"/>
        </w:rPr>
        <w:t>Use methods similar to bulk RNAseq</w:t>
      </w:r>
    </w:p>
    <w:p w:rsidR="007E1B66" w:rsidRDefault="008106C4">
      <w:pPr>
        <w:pStyle w:val="Listenabsatz"/>
        <w:numPr>
          <w:ilvl w:val="0"/>
          <w:numId w:val="4"/>
        </w:numPr>
        <w:rPr>
          <w:b/>
          <w:color w:val="0070C0"/>
        </w:rPr>
      </w:pPr>
      <w:r>
        <w:rPr>
          <w:color w:val="0070C0"/>
        </w:rPr>
        <w:t>Cell composition</w:t>
      </w:r>
    </w:p>
    <w:p w:rsidR="007E1B66" w:rsidRDefault="008106C4">
      <w:pPr>
        <w:pStyle w:val="Listenabsatz"/>
        <w:numPr>
          <w:ilvl w:val="1"/>
          <w:numId w:val="4"/>
        </w:numPr>
        <w:rPr>
          <w:b/>
          <w:color w:val="000000" w:themeColor="text1"/>
        </w:rPr>
      </w:pPr>
      <w:r>
        <w:rPr>
          <w:color w:val="000000" w:themeColor="text1"/>
        </w:rPr>
        <w:t>Change in cell composition relatively common in development and disease</w:t>
      </w:r>
    </w:p>
    <w:p w:rsidR="007E1B66" w:rsidRDefault="008106C4">
      <w:pPr>
        <w:pStyle w:val="Listenabsatz"/>
        <w:numPr>
          <w:ilvl w:val="1"/>
          <w:numId w:val="4"/>
        </w:numPr>
        <w:rPr>
          <w:b/>
          <w:color w:val="000000" w:themeColor="text1"/>
        </w:rPr>
      </w:pPr>
      <w:r>
        <w:rPr>
          <w:color w:val="000000" w:themeColor="text1"/>
        </w:rPr>
        <w:t>Canonical statistical tests might be affected if content of cell composition is tested due to an artefact caused by compositionality of the data, leading to an elevated FDR</w:t>
      </w:r>
    </w:p>
    <w:p w:rsidR="007E1B66" w:rsidRDefault="008106C4">
      <w:pPr>
        <w:pStyle w:val="Listenabsatz"/>
        <w:numPr>
          <w:ilvl w:val="1"/>
          <w:numId w:val="4"/>
        </w:numPr>
        <w:rPr>
          <w:b/>
          <w:color w:val="000000" w:themeColor="text1"/>
        </w:rPr>
      </w:pPr>
      <w:r>
        <w:rPr>
          <w:color w:val="000000" w:themeColor="text1"/>
        </w:rPr>
        <w:t xml:space="preserve">Tools like </w:t>
      </w:r>
      <w:r>
        <w:rPr>
          <w:b/>
          <w:color w:val="000000" w:themeColor="text1"/>
        </w:rPr>
        <w:t>scDC</w:t>
      </w:r>
      <w:r>
        <w:rPr>
          <w:color w:val="000000" w:themeColor="text1"/>
        </w:rPr>
        <w:t xml:space="preserve">, </w:t>
      </w:r>
      <w:r>
        <w:rPr>
          <w:b/>
          <w:color w:val="000000" w:themeColor="text1"/>
        </w:rPr>
        <w:t>scCODA</w:t>
      </w:r>
      <w:r>
        <w:rPr>
          <w:color w:val="000000" w:themeColor="text1"/>
        </w:rPr>
        <w:t xml:space="preserve"> and </w:t>
      </w:r>
      <w:r>
        <w:rPr>
          <w:b/>
          <w:color w:val="000000" w:themeColor="text1"/>
        </w:rPr>
        <w:t>tascCODA</w:t>
      </w:r>
      <w:r>
        <w:rPr>
          <w:color w:val="000000" w:themeColor="text1"/>
        </w:rPr>
        <w:t xml:space="preserve"> can use cell-type counts and incorporate hierarchical cell-type information</w:t>
      </w:r>
    </w:p>
    <w:p w:rsidR="007E1B66" w:rsidRPr="00514F53" w:rsidRDefault="008106C4">
      <w:pPr>
        <w:pStyle w:val="Listenabsatz"/>
        <w:numPr>
          <w:ilvl w:val="1"/>
          <w:numId w:val="4"/>
        </w:numPr>
        <w:rPr>
          <w:b/>
          <w:color w:val="000000" w:themeColor="text1"/>
        </w:rPr>
      </w:pPr>
      <w:r>
        <w:rPr>
          <w:color w:val="000000" w:themeColor="text1"/>
        </w:rPr>
        <w:t xml:space="preserve">For developmental data: tools like </w:t>
      </w:r>
      <w:r>
        <w:rPr>
          <w:b/>
          <w:color w:val="000000" w:themeColor="text1"/>
        </w:rPr>
        <w:t>DA-seq</w:t>
      </w:r>
      <w:r>
        <w:rPr>
          <w:color w:val="000000" w:themeColor="text1"/>
        </w:rPr>
        <w:t xml:space="preserve"> and </w:t>
      </w:r>
      <w:r>
        <w:rPr>
          <w:b/>
          <w:color w:val="000000" w:themeColor="text1"/>
        </w:rPr>
        <w:t>MILO</w:t>
      </w:r>
      <w:r>
        <w:rPr>
          <w:color w:val="000000" w:themeColor="text1"/>
        </w:rPr>
        <w:t xml:space="preserve"> using knn might be best suited</w:t>
      </w:r>
    </w:p>
    <w:p w:rsidR="00514F53" w:rsidRDefault="00514F53" w:rsidP="00514F53">
      <w:pPr>
        <w:pStyle w:val="Listenabsatz"/>
        <w:numPr>
          <w:ilvl w:val="2"/>
          <w:numId w:val="4"/>
        </w:numPr>
        <w:rPr>
          <w:color w:val="000000" w:themeColor="text1"/>
        </w:rPr>
      </w:pPr>
      <w:hyperlink r:id="rId16" w:history="1">
        <w:r w:rsidRPr="00C45600">
          <w:rPr>
            <w:rStyle w:val="Hyperlink"/>
          </w:rPr>
          <w:t>https://www.bioconductor.org/packages/release/bioc/vignettes/miloR/inst/doc/milo_demo.html</w:t>
        </w:r>
      </w:hyperlink>
    </w:p>
    <w:p w:rsidR="00514F53" w:rsidRPr="00514F53" w:rsidRDefault="00111DB1" w:rsidP="00514F53">
      <w:pPr>
        <w:pStyle w:val="Listenabsatz"/>
        <w:numPr>
          <w:ilvl w:val="2"/>
          <w:numId w:val="4"/>
        </w:numPr>
        <w:rPr>
          <w:color w:val="000000" w:themeColor="text1"/>
        </w:rPr>
      </w:pPr>
      <w:hyperlink r:id="rId17" w:history="1">
        <w:r w:rsidRPr="00C45600">
          <w:rPr>
            <w:rStyle w:val="Hyperlink"/>
          </w:rPr>
          <w:t>https://www.nature.com/articles/s41587-021-01033-z</w:t>
        </w:r>
      </w:hyperlink>
      <w:r>
        <w:rPr>
          <w:color w:val="000000" w:themeColor="text1"/>
        </w:rPr>
        <w:t xml:space="preserve"> </w:t>
      </w:r>
    </w:p>
    <w:p w:rsidR="007E1B66" w:rsidRDefault="008106C4">
      <w:pPr>
        <w:pStyle w:val="Listenabsatz"/>
        <w:numPr>
          <w:ilvl w:val="0"/>
          <w:numId w:val="4"/>
        </w:numPr>
        <w:rPr>
          <w:b/>
          <w:color w:val="0070C0"/>
        </w:rPr>
      </w:pPr>
      <w:r>
        <w:rPr>
          <w:color w:val="0070C0"/>
        </w:rPr>
        <w:t>Cell communication</w:t>
      </w:r>
      <w:r w:rsidR="00111DB1">
        <w:rPr>
          <w:color w:val="0070C0"/>
        </w:rPr>
        <w:t xml:space="preserve"> </w:t>
      </w:r>
    </w:p>
    <w:p w:rsidR="007E1B66" w:rsidRDefault="008106C4">
      <w:pPr>
        <w:pStyle w:val="Listenabsatz"/>
        <w:numPr>
          <w:ilvl w:val="1"/>
          <w:numId w:val="4"/>
        </w:numPr>
        <w:rPr>
          <w:b/>
          <w:color w:val="000000" w:themeColor="text1"/>
        </w:rPr>
      </w:pPr>
      <w:r>
        <w:rPr>
          <w:color w:val="000000" w:themeColor="text1"/>
        </w:rPr>
        <w:t>Inference methods can be highly biased by choice of database</w:t>
      </w:r>
    </w:p>
    <w:p w:rsidR="007E1B66" w:rsidRDefault="008106C4">
      <w:pPr>
        <w:pStyle w:val="Listenabsatz"/>
        <w:numPr>
          <w:ilvl w:val="1"/>
          <w:numId w:val="4"/>
        </w:numPr>
        <w:rPr>
          <w:b/>
          <w:color w:val="000000" w:themeColor="text1"/>
        </w:rPr>
      </w:pPr>
      <w:r>
        <w:rPr>
          <w:b/>
          <w:color w:val="000000" w:themeColor="text1"/>
        </w:rPr>
        <w:t>CellChat</w:t>
      </w:r>
      <w:r>
        <w:rPr>
          <w:color w:val="000000" w:themeColor="text1"/>
        </w:rPr>
        <w:t xml:space="preserve"> and </w:t>
      </w:r>
      <w:r>
        <w:rPr>
          <w:b/>
          <w:color w:val="000000" w:themeColor="text1"/>
        </w:rPr>
        <w:t>CellPhoneDB</w:t>
      </w:r>
      <w:r>
        <w:rPr>
          <w:color w:val="000000" w:themeColor="text1"/>
        </w:rPr>
        <w:t xml:space="preserve"> and </w:t>
      </w:r>
      <w:r>
        <w:rPr>
          <w:b/>
          <w:color w:val="000000" w:themeColor="text1"/>
        </w:rPr>
        <w:t>SingleCellSignalR</w:t>
      </w:r>
      <w:r>
        <w:rPr>
          <w:color w:val="000000" w:themeColor="text1"/>
        </w:rPr>
        <w:t xml:space="preserve"> are robust to data and resource noise</w:t>
      </w:r>
    </w:p>
    <w:p w:rsidR="007E1B66" w:rsidRDefault="008106C4">
      <w:pPr>
        <w:pStyle w:val="Listenabsatz"/>
        <w:numPr>
          <w:ilvl w:val="1"/>
          <w:numId w:val="4"/>
        </w:numPr>
        <w:rPr>
          <w:b/>
          <w:color w:val="000000" w:themeColor="text1"/>
        </w:rPr>
      </w:pPr>
      <w:r>
        <w:rPr>
          <w:color w:val="000000" w:themeColor="text1"/>
        </w:rPr>
        <w:t xml:space="preserve">Authors recommend </w:t>
      </w:r>
      <w:r>
        <w:rPr>
          <w:b/>
          <w:color w:val="000000" w:themeColor="text1"/>
        </w:rPr>
        <w:t>LIANA</w:t>
      </w:r>
      <w:r>
        <w:rPr>
          <w:color w:val="000000" w:themeColor="text1"/>
        </w:rPr>
        <w:t>: provides overall ranking for several combinations of method and database</w:t>
      </w:r>
    </w:p>
    <w:p w:rsidR="007E1B66" w:rsidRDefault="008106C4">
      <w:pPr>
        <w:pStyle w:val="Listenabsatz"/>
        <w:numPr>
          <w:ilvl w:val="1"/>
          <w:numId w:val="4"/>
        </w:numPr>
        <w:rPr>
          <w:b/>
          <w:color w:val="000000" w:themeColor="text1"/>
        </w:rPr>
      </w:pPr>
      <w:r>
        <w:rPr>
          <w:color w:val="000000" w:themeColor="text1"/>
        </w:rPr>
        <w:t xml:space="preserve">Complementary analysis of induced gene expression changes or spatial information for validation: </w:t>
      </w:r>
      <w:r>
        <w:rPr>
          <w:b/>
          <w:color w:val="000000" w:themeColor="text1"/>
        </w:rPr>
        <w:t>Nichenet</w:t>
      </w:r>
      <w:r>
        <w:rPr>
          <w:color w:val="000000" w:themeColor="text1"/>
        </w:rPr>
        <w:t xml:space="preserve"> and </w:t>
      </w:r>
      <w:r>
        <w:rPr>
          <w:b/>
          <w:color w:val="000000" w:themeColor="text1"/>
        </w:rPr>
        <w:t>Cytotalk</w:t>
      </w:r>
      <w:r>
        <w:rPr>
          <w:color w:val="000000" w:themeColor="text1"/>
        </w:rPr>
        <w:t xml:space="preserve"> </w:t>
      </w:r>
    </w:p>
    <w:p w:rsidR="007E1B66" w:rsidRDefault="007E1B66">
      <w:pPr>
        <w:rPr>
          <w:b/>
          <w:color w:val="0070C0"/>
        </w:rPr>
      </w:pPr>
    </w:p>
    <w:p w:rsidR="007E1B66" w:rsidRDefault="008106C4">
      <w:pPr>
        <w:rPr>
          <w:b/>
          <w:color w:val="0070C0"/>
        </w:rPr>
      </w:pPr>
      <w:r>
        <w:rPr>
          <w:b/>
          <w:color w:val="0070C0"/>
        </w:rPr>
        <w:t>Further reading:</w:t>
      </w:r>
    </w:p>
    <w:p w:rsidR="007E1B66" w:rsidRDefault="008106C4">
      <w:r>
        <w:t xml:space="preserve">Integration of other methods and biological endpoints like chromatin accessibility, surface protein expression and other modalities are also reviewed in the resource paper but are not included in this guideline yet. Spatial transcriptomics might also work with the method proposed by Schott et al. (2024) at the AEK meeting. </w:t>
      </w:r>
    </w:p>
    <w:p w:rsidR="007E1B66" w:rsidRDefault="007E1B66"/>
    <w:p w:rsidR="007E1B66" w:rsidRDefault="007E1B66"/>
    <w:p w:rsidR="007E1B66" w:rsidRDefault="008106C4">
      <w:pPr>
        <w:rPr>
          <w:b/>
          <w:color w:val="0070C0"/>
        </w:rPr>
      </w:pPr>
      <w:r>
        <w:rPr>
          <w:b/>
          <w:color w:val="0070C0"/>
        </w:rPr>
        <w:t>Differentiation:</w:t>
      </w:r>
    </w:p>
    <w:p w:rsidR="007E1B66" w:rsidRDefault="008106C4">
      <w:pPr>
        <w:pStyle w:val="Listenabsatz"/>
        <w:numPr>
          <w:ilvl w:val="0"/>
          <w:numId w:val="2"/>
        </w:numPr>
        <w:jc w:val="both"/>
        <w:rPr>
          <w:sz w:val="24"/>
        </w:rPr>
      </w:pPr>
      <w:r>
        <w:rPr>
          <w:sz w:val="24"/>
        </w:rPr>
        <w:t xml:space="preserve">Tsoi 2018: Multi-stage Differentiation Defines Melanoma Subtypes with Differential Vulnerability to Drug-Induced Iron-Dependent Oxidative Stress </w:t>
      </w:r>
    </w:p>
    <w:p w:rsidR="007E1B66" w:rsidRDefault="008106C4">
      <w:pPr>
        <w:pStyle w:val="Listenabsatz"/>
        <w:numPr>
          <w:ilvl w:val="1"/>
          <w:numId w:val="2"/>
        </w:numPr>
        <w:jc w:val="both"/>
        <w:rPr>
          <w:sz w:val="24"/>
        </w:rPr>
      </w:pPr>
      <w:r>
        <w:rPr>
          <w:sz w:val="24"/>
        </w:rPr>
        <w:t>Klassifizierung von Melanomsubtypen</w:t>
      </w:r>
    </w:p>
    <w:p w:rsidR="007E1B66" w:rsidRDefault="008106C4">
      <w:pPr>
        <w:pStyle w:val="Listenabsatz"/>
        <w:numPr>
          <w:ilvl w:val="1"/>
          <w:numId w:val="2"/>
        </w:numPr>
        <w:jc w:val="both"/>
        <w:rPr>
          <w:sz w:val="24"/>
          <w:lang w:val="de-DE"/>
        </w:rPr>
      </w:pPr>
      <w:r>
        <w:rPr>
          <w:sz w:val="24"/>
          <w:lang w:val="de-DE"/>
        </w:rPr>
        <w:t xml:space="preserve">Genliste unter Github </w:t>
      </w:r>
      <w:r>
        <w:rPr>
          <w:rFonts w:ascii="Wingdings" w:eastAsia="Wingdings" w:hAnsi="Wingdings" w:cs="Wingdings"/>
          <w:sz w:val="24"/>
        </w:rPr>
        <w:t></w:t>
      </w:r>
      <w:r>
        <w:rPr>
          <w:sz w:val="24"/>
          <w:lang w:val="de-DE"/>
        </w:rPr>
        <w:t xml:space="preserve"> EKB </w:t>
      </w:r>
      <w:r>
        <w:rPr>
          <w:rFonts w:ascii="Wingdings" w:eastAsia="Wingdings" w:hAnsi="Wingdings" w:cs="Wingdings"/>
          <w:sz w:val="24"/>
        </w:rPr>
        <w:t></w:t>
      </w:r>
      <w:r>
        <w:rPr>
          <w:sz w:val="24"/>
          <w:lang w:val="de-DE"/>
        </w:rPr>
        <w:t xml:space="preserve"> UV-DHDS gespeichert </w:t>
      </w:r>
    </w:p>
    <w:p w:rsidR="007E1B66" w:rsidRDefault="008106C4">
      <w:pPr>
        <w:pStyle w:val="Listenabsatz"/>
        <w:numPr>
          <w:ilvl w:val="0"/>
          <w:numId w:val="2"/>
        </w:numPr>
        <w:jc w:val="both"/>
        <w:rPr>
          <w:sz w:val="24"/>
          <w:lang w:val="de-DE"/>
        </w:rPr>
      </w:pPr>
      <w:r>
        <w:rPr>
          <w:sz w:val="24"/>
          <w:lang w:val="de-DE"/>
        </w:rPr>
        <w:t>Trajectory inference for differentiation</w:t>
      </w:r>
    </w:p>
    <w:p w:rsidR="007E1B66" w:rsidRDefault="00C23B3D">
      <w:pPr>
        <w:pStyle w:val="Listenabsatz"/>
        <w:numPr>
          <w:ilvl w:val="1"/>
          <w:numId w:val="2"/>
        </w:numPr>
        <w:jc w:val="both"/>
        <w:rPr>
          <w:sz w:val="24"/>
          <w:lang w:val="de-DE"/>
        </w:rPr>
      </w:pPr>
      <w:hyperlink r:id="rId18">
        <w:r w:rsidR="008106C4">
          <w:rPr>
            <w:rStyle w:val="Internetverknpfung"/>
            <w:sz w:val="24"/>
            <w:lang w:val="de-DE"/>
          </w:rPr>
          <w:t>https://www.nature.com/articles/s41467-020-14766-3</w:t>
        </w:r>
      </w:hyperlink>
      <w:r w:rsidR="008106C4">
        <w:rPr>
          <w:sz w:val="24"/>
          <w:lang w:val="de-DE"/>
        </w:rPr>
        <w:t xml:space="preserve"> </w:t>
      </w:r>
    </w:p>
    <w:p w:rsidR="007E1B66" w:rsidRDefault="00C23B3D">
      <w:pPr>
        <w:pStyle w:val="Listenabsatz"/>
        <w:numPr>
          <w:ilvl w:val="1"/>
          <w:numId w:val="2"/>
        </w:numPr>
        <w:jc w:val="both"/>
        <w:rPr>
          <w:sz w:val="24"/>
          <w:lang w:val="de-DE"/>
        </w:rPr>
      </w:pPr>
      <w:hyperlink r:id="rId19">
        <w:r w:rsidR="008106C4">
          <w:rPr>
            <w:rStyle w:val="Internetverknpfung"/>
            <w:sz w:val="24"/>
            <w:lang w:val="de-DE"/>
          </w:rPr>
          <w:t>https://www.nature.com/articles/s41587-019-0071-9</w:t>
        </w:r>
      </w:hyperlink>
      <w:r w:rsidR="008106C4">
        <w:rPr>
          <w:sz w:val="24"/>
          <w:lang w:val="de-DE"/>
        </w:rPr>
        <w:t xml:space="preserve"> </w:t>
      </w:r>
    </w:p>
    <w:p w:rsidR="007E1B66" w:rsidRDefault="008106C4">
      <w:pPr>
        <w:pStyle w:val="Listenabsatz"/>
        <w:numPr>
          <w:ilvl w:val="0"/>
          <w:numId w:val="2"/>
        </w:numPr>
        <w:jc w:val="both"/>
        <w:rPr>
          <w:sz w:val="24"/>
          <w:lang w:val="de-DE"/>
        </w:rPr>
      </w:pPr>
      <w:r>
        <w:rPr>
          <w:sz w:val="24"/>
          <w:lang w:val="de-DE"/>
        </w:rPr>
        <w:t>Transiton states</w:t>
      </w:r>
    </w:p>
    <w:p w:rsidR="007E1B66" w:rsidRDefault="008106C4">
      <w:pPr>
        <w:pStyle w:val="Listenabsatz"/>
        <w:numPr>
          <w:ilvl w:val="1"/>
          <w:numId w:val="2"/>
        </w:numPr>
        <w:jc w:val="both"/>
        <w:rPr>
          <w:sz w:val="24"/>
          <w:lang w:val="de-DE"/>
        </w:rPr>
      </w:pPr>
      <w:r>
        <w:rPr>
          <w:sz w:val="24"/>
          <w:lang w:val="de-DE"/>
        </w:rPr>
        <w:t xml:space="preserve">Wang 2024 scRNAseq transitional states (ausgedruckt) </w:t>
      </w:r>
    </w:p>
    <w:p w:rsidR="007E1B66" w:rsidRDefault="007E1B66">
      <w:pPr>
        <w:jc w:val="both"/>
        <w:rPr>
          <w:sz w:val="24"/>
          <w:lang w:val="de-DE"/>
        </w:rPr>
      </w:pPr>
    </w:p>
    <w:p w:rsidR="007E1B66" w:rsidRDefault="008106C4">
      <w:pPr>
        <w:rPr>
          <w:b/>
          <w:color w:val="0070C0"/>
        </w:rPr>
      </w:pPr>
      <w:r>
        <w:rPr>
          <w:b/>
          <w:color w:val="0070C0"/>
        </w:rPr>
        <w:t>Identify markers for scRNAseq</w:t>
      </w:r>
    </w:p>
    <w:p w:rsidR="007E1B66" w:rsidRDefault="00C23B3D">
      <w:pPr>
        <w:pStyle w:val="Listenabsatz"/>
        <w:numPr>
          <w:ilvl w:val="0"/>
          <w:numId w:val="3"/>
        </w:numPr>
        <w:jc w:val="both"/>
        <w:rPr>
          <w:rStyle w:val="Internetverknpfung"/>
          <w:color w:val="auto"/>
          <w:sz w:val="24"/>
          <w:u w:val="none"/>
        </w:rPr>
      </w:pPr>
      <w:hyperlink r:id="rId20">
        <w:r w:rsidR="008106C4">
          <w:rPr>
            <w:rStyle w:val="Internetverknpfung"/>
            <w:sz w:val="24"/>
          </w:rPr>
          <w:t>https://genomebiology.biomedcentral.com/articles/10.1186/s13059-024-03183-0</w:t>
        </w:r>
      </w:hyperlink>
    </w:p>
    <w:p w:rsidR="007E1B66" w:rsidRDefault="008106C4">
      <w:pPr>
        <w:pStyle w:val="Listenabsatz"/>
        <w:numPr>
          <w:ilvl w:val="0"/>
          <w:numId w:val="3"/>
        </w:numPr>
        <w:jc w:val="both"/>
        <w:rPr>
          <w:rStyle w:val="Internetverknpfung"/>
          <w:color w:val="auto"/>
          <w:sz w:val="24"/>
          <w:u w:val="none"/>
        </w:rPr>
      </w:pPr>
      <w:r>
        <w:rPr>
          <w:rStyle w:val="Internetverknpfung"/>
          <w:color w:val="000000" w:themeColor="text1"/>
          <w:sz w:val="24"/>
          <w:u w:val="none"/>
        </w:rPr>
        <w:t xml:space="preserve">Use simple methods like wilcoxon rank sum test from seurat package for marker identification (note differences between scanpy wilcoxon method) </w:t>
      </w:r>
    </w:p>
    <w:p w:rsidR="007E1B66" w:rsidRDefault="008106C4">
      <w:pPr>
        <w:pStyle w:val="Listenabsatz"/>
        <w:numPr>
          <w:ilvl w:val="0"/>
          <w:numId w:val="3"/>
        </w:numPr>
        <w:jc w:val="both"/>
        <w:rPr>
          <w:sz w:val="24"/>
        </w:rPr>
      </w:pPr>
      <w:r>
        <w:rPr>
          <w:rStyle w:val="Internetverknpfung"/>
          <w:color w:val="000000" w:themeColor="text1"/>
          <w:sz w:val="24"/>
          <w:u w:val="none"/>
        </w:rPr>
        <w:t xml:space="preserve">Choose the top 10 or 20 markers (instead of ranking by pvalue) as all pvalues will be too small due to large sample sizes in scRNA experiments </w:t>
      </w:r>
    </w:p>
    <w:p w:rsidR="007E1B66" w:rsidRDefault="007E1B66">
      <w:pPr>
        <w:jc w:val="both"/>
        <w:rPr>
          <w:sz w:val="24"/>
        </w:rPr>
      </w:pPr>
    </w:p>
    <w:p w:rsidR="007E1B66" w:rsidRDefault="008106C4">
      <w:pPr>
        <w:rPr>
          <w:b/>
          <w:color w:val="0070C0"/>
        </w:rPr>
      </w:pPr>
      <w:r>
        <w:rPr>
          <w:b/>
          <w:color w:val="0070C0"/>
        </w:rPr>
        <w:t>Metabolism in cancer (AEK meeting 2025):</w:t>
      </w:r>
    </w:p>
    <w:p w:rsidR="007E1B66" w:rsidRDefault="008106C4">
      <w:pPr>
        <w:pStyle w:val="Listenabsatz"/>
        <w:numPr>
          <w:ilvl w:val="0"/>
          <w:numId w:val="5"/>
        </w:numPr>
      </w:pPr>
      <w:r>
        <w:t>Metabolism changes are gaining importance in cancer biology</w:t>
      </w:r>
    </w:p>
    <w:p w:rsidR="007E1B66" w:rsidRDefault="008106C4">
      <w:pPr>
        <w:pStyle w:val="Listenabsatz"/>
        <w:numPr>
          <w:ilvl w:val="0"/>
          <w:numId w:val="5"/>
        </w:numPr>
      </w:pPr>
      <w:r>
        <w:t>OxPhos is required for tumor amd metastasis metabolism</w:t>
      </w:r>
    </w:p>
    <w:p w:rsidR="007E1B66" w:rsidRDefault="008106C4">
      <w:pPr>
        <w:pStyle w:val="Listenabsatz"/>
        <w:numPr>
          <w:ilvl w:val="0"/>
          <w:numId w:val="5"/>
        </w:numPr>
      </w:pPr>
      <w:r>
        <w:t>CXCL chemokines are important immune recruiting factors</w:t>
      </w:r>
    </w:p>
    <w:p w:rsidR="008106C4" w:rsidRDefault="008106C4" w:rsidP="008106C4"/>
    <w:p w:rsidR="008106C4" w:rsidRDefault="008106C4" w:rsidP="008106C4"/>
    <w:p w:rsidR="008106C4" w:rsidRDefault="008106C4" w:rsidP="008106C4">
      <w:r>
        <w:t>Please rewrite in a more structured and readable way while still keeping the format and semantics of the text intact. The Length of the document should be similar and all relevant data needs to be included. Please do not summarize any relevant information. Research thoroughly within the document to keep its initial meaning. Here is the text (a guideline for single cell rna sequencing): scRNAseq guideline</w:t>
      </w:r>
    </w:p>
    <w:sectPr w:rsidR="008106C4">
      <w:pgSz w:w="11906" w:h="16838"/>
      <w:pgMar w:top="1417" w:right="1417" w:bottom="1134" w:left="1417"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A98"/>
    <w:multiLevelType w:val="multilevel"/>
    <w:tmpl w:val="D35AB6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2E2025"/>
    <w:multiLevelType w:val="multilevel"/>
    <w:tmpl w:val="D494A9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C717F96"/>
    <w:multiLevelType w:val="multilevel"/>
    <w:tmpl w:val="D69A7BCC"/>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45D96558"/>
    <w:multiLevelType w:val="multilevel"/>
    <w:tmpl w:val="4BB0FA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D8009BE"/>
    <w:multiLevelType w:val="multilevel"/>
    <w:tmpl w:val="C25CE9B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6DDE222F"/>
    <w:multiLevelType w:val="multilevel"/>
    <w:tmpl w:val="1B981D1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716B5901"/>
    <w:multiLevelType w:val="multilevel"/>
    <w:tmpl w:val="88CA55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5"/>
  </w:num>
  <w:num w:numId="3">
    <w:abstractNumId w:val="6"/>
  </w:num>
  <w:num w:numId="4">
    <w:abstractNumId w:val="3"/>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B66"/>
    <w:rsid w:val="000A79A5"/>
    <w:rsid w:val="000F767A"/>
    <w:rsid w:val="00100646"/>
    <w:rsid w:val="00111DB1"/>
    <w:rsid w:val="00144FC2"/>
    <w:rsid w:val="00351AC1"/>
    <w:rsid w:val="00376B88"/>
    <w:rsid w:val="003E62F1"/>
    <w:rsid w:val="004450BC"/>
    <w:rsid w:val="004850C4"/>
    <w:rsid w:val="004F2858"/>
    <w:rsid w:val="00514F53"/>
    <w:rsid w:val="00586991"/>
    <w:rsid w:val="005F5ADF"/>
    <w:rsid w:val="007B29ED"/>
    <w:rsid w:val="007C51AC"/>
    <w:rsid w:val="007E1B66"/>
    <w:rsid w:val="008106C4"/>
    <w:rsid w:val="00AB5F69"/>
    <w:rsid w:val="00B73909"/>
    <w:rsid w:val="00C227EA"/>
    <w:rsid w:val="00C23B3D"/>
    <w:rsid w:val="00DA7BA5"/>
    <w:rsid w:val="00E453DB"/>
    <w:rsid w:val="00E8212B"/>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BA5CD"/>
  <w15:docId w15:val="{E8286565-3B5A-4612-86E0-C7624E73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pacing w:after="160" w:line="25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Internetverknpfung">
    <w:name w:val="Internetverknüpfung"/>
    <w:basedOn w:val="Absatz-Standardschriftart"/>
    <w:uiPriority w:val="99"/>
    <w:unhideWhenUsed/>
    <w:rsid w:val="009E0647"/>
    <w:rPr>
      <w:color w:val="0563C1" w:themeColor="hyperlink"/>
      <w:u w:val="single"/>
    </w:rPr>
  </w:style>
  <w:style w:type="character" w:customStyle="1" w:styleId="SprechblasentextZchn">
    <w:name w:val="Sprechblasentext Zchn"/>
    <w:basedOn w:val="Absatz-Standardschriftart"/>
    <w:link w:val="Sprechblasentext"/>
    <w:uiPriority w:val="99"/>
    <w:semiHidden/>
    <w:qFormat/>
    <w:rsid w:val="00095D95"/>
    <w:rPr>
      <w:rFonts w:ascii="Segoe UI" w:hAnsi="Segoe UI" w:cs="Segoe UI"/>
      <w:sz w:val="18"/>
      <w:szCs w:val="18"/>
    </w:rPr>
  </w:style>
  <w:style w:type="character" w:customStyle="1" w:styleId="BesuchteInternetverknpfung">
    <w:name w:val="Besuchte Internetverknüpfung"/>
    <w:basedOn w:val="Absatz-Standardschriftart"/>
    <w:uiPriority w:val="99"/>
    <w:semiHidden/>
    <w:unhideWhenUsed/>
    <w:rsid w:val="00184494"/>
    <w:rPr>
      <w:color w:val="954F72" w:themeColor="followedHyperlink"/>
      <w:u w:val="single"/>
    </w:rPr>
  </w:style>
  <w:style w:type="paragraph" w:customStyle="1" w:styleId="berschrift">
    <w:name w:val="Überschrift"/>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Verzeichnis">
    <w:name w:val="Verzeichnis"/>
    <w:basedOn w:val="Standard"/>
    <w:qFormat/>
    <w:pPr>
      <w:suppressLineNumbers/>
    </w:pPr>
    <w:rPr>
      <w:rFonts w:cs="Lohit Devanagari"/>
    </w:rPr>
  </w:style>
  <w:style w:type="paragraph" w:styleId="Listenabsatz">
    <w:name w:val="List Paragraph"/>
    <w:basedOn w:val="Standard"/>
    <w:uiPriority w:val="34"/>
    <w:qFormat/>
    <w:rsid w:val="009E0647"/>
    <w:pPr>
      <w:ind w:left="720"/>
      <w:contextualSpacing/>
    </w:pPr>
  </w:style>
  <w:style w:type="paragraph" w:styleId="Sprechblasentext">
    <w:name w:val="Balloon Text"/>
    <w:basedOn w:val="Standard"/>
    <w:link w:val="SprechblasentextZchn"/>
    <w:uiPriority w:val="99"/>
    <w:semiHidden/>
    <w:unhideWhenUsed/>
    <w:qFormat/>
    <w:rsid w:val="00095D95"/>
    <w:pPr>
      <w:spacing w:after="0" w:line="240" w:lineRule="auto"/>
    </w:pPr>
    <w:rPr>
      <w:rFonts w:ascii="Segoe UI" w:hAnsi="Segoe UI" w:cs="Segoe UI"/>
      <w:sz w:val="18"/>
      <w:szCs w:val="18"/>
    </w:rPr>
  </w:style>
  <w:style w:type="table" w:styleId="Tabellenraster">
    <w:name w:val="Table Grid"/>
    <w:basedOn w:val="NormaleTabelle"/>
    <w:uiPriority w:val="39"/>
    <w:rsid w:val="006015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7B29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9975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2-023-01814-1" TargetMode="External"/><Relationship Id="rId13" Type="http://schemas.openxmlformats.org/officeDocument/2006/relationships/hyperlink" Target="https://davidbioinformatics.nih.gov/tools.jsp" TargetMode="External"/><Relationship Id="rId18" Type="http://schemas.openxmlformats.org/officeDocument/2006/relationships/hyperlink" Target="https://www.nature.com/articles/s41467-020-14766-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ubmed.ncbi.nlm.nih.gov/31217225/" TargetMode="External"/><Relationship Id="rId12" Type="http://schemas.openxmlformats.org/officeDocument/2006/relationships/hyperlink" Target="https://satijalab.org/seurat/articles/cell_cycle_vignette.html" TargetMode="External"/><Relationship Id="rId17" Type="http://schemas.openxmlformats.org/officeDocument/2006/relationships/hyperlink" Target="https://www.nature.com/articles/s41587-021-01033-z" TargetMode="External"/><Relationship Id="rId2" Type="http://schemas.openxmlformats.org/officeDocument/2006/relationships/styles" Target="styles.xml"/><Relationship Id="rId16" Type="http://schemas.openxmlformats.org/officeDocument/2006/relationships/hyperlink" Target="https://www.bioconductor.org/packages/release/bioc/vignettes/miloR/inst/doc/milo_demo.html" TargetMode="External"/><Relationship Id="rId20" Type="http://schemas.openxmlformats.org/officeDocument/2006/relationships/hyperlink" Target="https://genomebiology.biomedcentral.com/articles/10.1186/s13059-024-03183-0" TargetMode="External"/><Relationship Id="rId1" Type="http://schemas.openxmlformats.org/officeDocument/2006/relationships/numbering" Target="numbering.xml"/><Relationship Id="rId6" Type="http://schemas.openxmlformats.org/officeDocument/2006/relationships/hyperlink" Target="https://pubmed.ncbi.nlm.nih.gov/37002403/" TargetMode="External"/><Relationship Id="rId11" Type="http://schemas.openxmlformats.org/officeDocument/2006/relationships/hyperlink" Target="https://satijalab.org/seurat/articles/cell_cycle_vignette.html" TargetMode="External"/><Relationship Id="rId5" Type="http://schemas.openxmlformats.org/officeDocument/2006/relationships/hyperlink" Target="https://www.sc-best-practices.org/mechanisms/gene_regulatory_networks.html" TargetMode="External"/><Relationship Id="rId15" Type="http://schemas.openxmlformats.org/officeDocument/2006/relationships/hyperlink" Target="https://pubmed.ncbi.nlm.nih.gov/33359678/" TargetMode="External"/><Relationship Id="rId10" Type="http://schemas.openxmlformats.org/officeDocument/2006/relationships/hyperlink" Target="https://www.sc-best-practices.org/cellular_structure/integration.html" TargetMode="External"/><Relationship Id="rId19" Type="http://schemas.openxmlformats.org/officeDocument/2006/relationships/hyperlink" Target="https://www.nature.com/articles/s41587-019-0071-9" TargetMode="External"/><Relationship Id="rId4" Type="http://schemas.openxmlformats.org/officeDocument/2006/relationships/webSettings" Target="webSettings.xml"/><Relationship Id="rId9" Type="http://schemas.openxmlformats.org/officeDocument/2006/relationships/hyperlink" Target="https://www.nature.com/articles/s41592-023-01814-1" TargetMode="External"/><Relationship Id="rId14" Type="http://schemas.openxmlformats.org/officeDocument/2006/relationships/hyperlink" Target="https://pubmed.ncbi.nlm.nih.gov/34031612/"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2581</Words>
  <Characters>14717</Characters>
  <Application>Microsoft Office Word</Application>
  <DocSecurity>0</DocSecurity>
  <Lines>122</Lines>
  <Paragraphs>34</Paragraphs>
  <ScaleCrop>false</ScaleCrop>
  <Company>Elbe Kliniken</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Zellbiologie</dc:creator>
  <dc:description/>
  <cp:lastModifiedBy>Zellbiologie</cp:lastModifiedBy>
  <cp:revision>29</cp:revision>
  <cp:lastPrinted>2025-02-05T09:34:00Z</cp:lastPrinted>
  <dcterms:created xsi:type="dcterms:W3CDTF">2025-03-21T08:15:00Z</dcterms:created>
  <dcterms:modified xsi:type="dcterms:W3CDTF">2025-03-31T11:57:00Z</dcterms:modified>
  <dc:language>de-DE</dc:language>
</cp:coreProperties>
</file>