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5700" w14:textId="082CF39E" w:rsidR="005B12F2" w:rsidRPr="005F5F36" w:rsidRDefault="00E77B4D" w:rsidP="00E77B4D">
      <w:pPr>
        <w:jc w:val="center"/>
        <w:rPr>
          <w:b/>
          <w:bCs/>
          <w:u w:val="single"/>
          <w:lang w:val="en-GB"/>
        </w:rPr>
      </w:pPr>
      <w:r w:rsidRPr="005F5F36">
        <w:rPr>
          <w:b/>
          <w:bCs/>
          <w:u w:val="single"/>
          <w:lang w:val="en-GB"/>
        </w:rPr>
        <w:t>Statistical Methods</w:t>
      </w:r>
    </w:p>
    <w:p w14:paraId="278CAA5B" w14:textId="77777777" w:rsidR="00E77B4D" w:rsidRPr="005F5F36" w:rsidRDefault="00E77B4D" w:rsidP="00E77B4D">
      <w:pPr>
        <w:jc w:val="center"/>
        <w:rPr>
          <w:b/>
          <w:bCs/>
          <w:u w:val="single"/>
          <w:lang w:val="en-GB"/>
        </w:rPr>
      </w:pPr>
    </w:p>
    <w:p w14:paraId="29B6DB63" w14:textId="4BFA788E" w:rsidR="005D2042" w:rsidRPr="006A7B7D" w:rsidRDefault="00111623" w:rsidP="00E77B4D">
      <w:pPr>
        <w:jc w:val="both"/>
        <w:rPr>
          <w:rFonts w:ascii="Palatino Linotype" w:hAnsi="Palatino Linotype"/>
          <w:lang w:val="en-GB"/>
        </w:rPr>
      </w:pPr>
      <w:r w:rsidRPr="006A7B7D">
        <w:rPr>
          <w:rFonts w:ascii="Palatino Linotype" w:hAnsi="Palatino Linotype"/>
          <w:lang w:val="en-GB"/>
        </w:rPr>
        <w:t xml:space="preserve">Sequencing was conducted on a NextSeq 1000 Sequencer (Illumina). </w:t>
      </w:r>
      <w:r w:rsidR="00E77B4D" w:rsidRPr="006A7B7D">
        <w:rPr>
          <w:rFonts w:ascii="Palatino Linotype" w:hAnsi="Palatino Linotype"/>
          <w:lang w:val="en-GB"/>
        </w:rPr>
        <w:t xml:space="preserve">Generation of FASTQ files, trimming of reads, alignment to a reference genome (generation of .bam files) and quantification of reads was automatically </w:t>
      </w:r>
      <w:r w:rsidR="003200BE" w:rsidRPr="006A7B7D">
        <w:rPr>
          <w:rFonts w:ascii="Palatino Linotype" w:hAnsi="Palatino Linotype"/>
          <w:lang w:val="en-GB"/>
        </w:rPr>
        <w:t>performed</w:t>
      </w:r>
      <w:r w:rsidR="00E77B4D" w:rsidRPr="006A7B7D">
        <w:rPr>
          <w:rFonts w:ascii="Palatino Linotype" w:hAnsi="Palatino Linotype"/>
          <w:lang w:val="en-GB"/>
        </w:rPr>
        <w:t xml:space="preserve"> with</w:t>
      </w:r>
      <w:r w:rsidR="003200BE" w:rsidRPr="006A7B7D">
        <w:rPr>
          <w:rFonts w:ascii="Palatino Linotype" w:hAnsi="Palatino Linotype"/>
          <w:lang w:val="en-GB"/>
        </w:rPr>
        <w:t>in</w:t>
      </w:r>
      <w:r w:rsidR="00E77B4D" w:rsidRPr="006A7B7D">
        <w:rPr>
          <w:rFonts w:ascii="Palatino Linotype" w:hAnsi="Palatino Linotype"/>
          <w:lang w:val="en-GB"/>
        </w:rPr>
        <w:t xml:space="preserve"> the DRAGEN analysis software (v. xxx, Illumina). The generated count matrix served as input for the analysis in R (v. 4.3.2 or higher) following the DESeq2 pipeline (</w:t>
      </w:r>
      <w:hyperlink r:id="rId4" w:history="1">
        <w:r w:rsidR="00B141F7" w:rsidRPr="00360344">
          <w:rPr>
            <w:rStyle w:val="Hyperlink"/>
            <w:rFonts w:ascii="Palatino Linotype" w:hAnsi="Palatino Linotype"/>
            <w:lang w:val="en-GB"/>
          </w:rPr>
          <w:t>https://genomebiology.biomedcentral.com/articles/10.1186/s13059-014-0550-8</w:t>
        </w:r>
      </w:hyperlink>
      <w:r w:rsidR="00E77B4D" w:rsidRPr="006A7B7D">
        <w:rPr>
          <w:rFonts w:ascii="Palatino Linotype" w:hAnsi="Palatino Linotype"/>
          <w:lang w:val="en-GB"/>
        </w:rPr>
        <w:t xml:space="preserve">). </w:t>
      </w:r>
      <w:r w:rsidR="00B141F7">
        <w:rPr>
          <w:rFonts w:ascii="Palatino Linotype" w:hAnsi="Palatino Linotype"/>
          <w:lang w:val="en-GB"/>
        </w:rPr>
        <w:t xml:space="preserve"> </w:t>
      </w:r>
    </w:p>
    <w:p w14:paraId="1E48F765" w14:textId="5449B577" w:rsidR="005D2042" w:rsidRPr="006A7B7D" w:rsidRDefault="00E77B4D" w:rsidP="00E77B4D">
      <w:pPr>
        <w:jc w:val="both"/>
        <w:rPr>
          <w:rFonts w:ascii="Palatino Linotype" w:hAnsi="Palatino Linotype"/>
          <w:lang w:val="en-GB"/>
        </w:rPr>
      </w:pPr>
      <w:r w:rsidRPr="006A7B7D">
        <w:rPr>
          <w:rFonts w:ascii="Palatino Linotype" w:hAnsi="Palatino Linotype"/>
          <w:lang w:val="en-GB"/>
        </w:rPr>
        <w:t xml:space="preserve">Data quality and </w:t>
      </w:r>
      <w:r w:rsidR="00482AF9" w:rsidRPr="006A7B7D">
        <w:rPr>
          <w:rFonts w:ascii="Palatino Linotype" w:hAnsi="Palatino Linotype"/>
          <w:lang w:val="en-GB"/>
        </w:rPr>
        <w:t xml:space="preserve">potential </w:t>
      </w:r>
      <w:r w:rsidRPr="006A7B7D">
        <w:rPr>
          <w:rFonts w:ascii="Palatino Linotype" w:hAnsi="Palatino Linotype"/>
          <w:lang w:val="en-GB"/>
        </w:rPr>
        <w:t xml:space="preserve">presence of batch effects were assessed via exploratory data analysis including principal component analysis (PCA), scatterplot matrices (R package </w:t>
      </w:r>
      <w:r w:rsidRPr="006A7B7D">
        <w:rPr>
          <w:rFonts w:ascii="Palatino Linotype" w:hAnsi="Palatino Linotype"/>
          <w:i/>
          <w:lang w:val="en-GB"/>
        </w:rPr>
        <w:t>GGally</w:t>
      </w:r>
      <w:r w:rsidR="0039113B" w:rsidRPr="006A7B7D">
        <w:rPr>
          <w:rFonts w:ascii="Palatino Linotype" w:hAnsi="Palatino Linotype"/>
          <w:i/>
          <w:lang w:val="en-GB"/>
        </w:rPr>
        <w:t xml:space="preserve">, </w:t>
      </w:r>
      <w:r w:rsidR="00251AD1" w:rsidRPr="006A7B7D">
        <w:rPr>
          <w:rFonts w:ascii="Palatino Linotype" w:hAnsi="Palatino Linotype"/>
          <w:lang w:val="en-GB"/>
        </w:rPr>
        <w:t>https://ggobi.github.io/ggally/authors.html</w:t>
      </w:r>
      <w:r w:rsidRPr="006A7B7D">
        <w:rPr>
          <w:rFonts w:ascii="Palatino Linotype" w:hAnsi="Palatino Linotype"/>
          <w:lang w:val="en-GB"/>
        </w:rPr>
        <w:t xml:space="preserve">) and dispersion plots. </w:t>
      </w:r>
      <w:r w:rsidR="00DC7DA7" w:rsidRPr="006A7B7D">
        <w:rPr>
          <w:rFonts w:ascii="Palatino Linotype" w:hAnsi="Palatino Linotype"/>
          <w:lang w:val="en-GB"/>
        </w:rPr>
        <w:t xml:space="preserve">Genes with a dispersion parameter &gt;1 were investigated more closely to assess whether dispersion is attributable to technical or biological variability. </w:t>
      </w:r>
      <w:r w:rsidR="005D2042" w:rsidRPr="006A7B7D">
        <w:rPr>
          <w:rFonts w:ascii="Palatino Linotype" w:hAnsi="Palatino Linotype"/>
          <w:lang w:val="en-GB"/>
        </w:rPr>
        <w:t xml:space="preserve">Cooks distance was used to check for outliers. </w:t>
      </w:r>
    </w:p>
    <w:p w14:paraId="0AA18836" w14:textId="23AD64FE" w:rsidR="008D007E" w:rsidRDefault="00E77B4D" w:rsidP="00E77B4D">
      <w:pPr>
        <w:jc w:val="both"/>
        <w:rPr>
          <w:rFonts w:ascii="Palatino Linotype" w:hAnsi="Palatino Linotype"/>
          <w:lang w:val="en-GB"/>
        </w:rPr>
      </w:pPr>
      <w:r w:rsidRPr="006A7B7D">
        <w:rPr>
          <w:rFonts w:ascii="Palatino Linotype" w:hAnsi="Palatino Linotype"/>
          <w:lang w:val="en-GB"/>
        </w:rPr>
        <w:t xml:space="preserve">Differential expression was calculated with the DESeq() function comparing melanocytes with dermal stem cells (DSCs) at a significance level of </w:t>
      </w:r>
      <w:r w:rsidR="00D93DB8" w:rsidRPr="006A7B7D">
        <w:rPr>
          <w:rFonts w:ascii="Palatino Linotype" w:hAnsi="Palatino Linotype"/>
          <w:lang w:val="en-GB"/>
        </w:rPr>
        <w:t>α = 0.</w:t>
      </w:r>
      <w:r w:rsidR="00CE45B0">
        <w:rPr>
          <w:rFonts w:ascii="Palatino Linotype" w:hAnsi="Palatino Linotype"/>
          <w:lang w:val="en-GB"/>
        </w:rPr>
        <w:t>0</w:t>
      </w:r>
      <w:r w:rsidR="00866396" w:rsidRPr="006A7B7D">
        <w:rPr>
          <w:rFonts w:ascii="Palatino Linotype" w:hAnsi="Palatino Linotype"/>
          <w:lang w:val="en-GB"/>
        </w:rPr>
        <w:t>5 (FDR-adjusted)</w:t>
      </w:r>
      <w:r w:rsidR="00D93DB8" w:rsidRPr="006A7B7D">
        <w:rPr>
          <w:rFonts w:ascii="Palatino Linotype" w:hAnsi="Palatino Linotype"/>
          <w:lang w:val="en-GB"/>
        </w:rPr>
        <w:t xml:space="preserve"> for a 1.5 fold change (0.585 log fold change)</w:t>
      </w:r>
      <w:r w:rsidR="00866396" w:rsidRPr="006A7B7D">
        <w:rPr>
          <w:rFonts w:ascii="Palatino Linotype" w:hAnsi="Palatino Linotype"/>
          <w:lang w:val="en-GB"/>
        </w:rPr>
        <w:t xml:space="preserve"> difference</w:t>
      </w:r>
      <w:r w:rsidR="00D93DB8" w:rsidRPr="006A7B7D">
        <w:rPr>
          <w:rFonts w:ascii="Palatino Linotype" w:hAnsi="Palatino Linotype"/>
          <w:lang w:val="en-GB"/>
        </w:rPr>
        <w:t>.</w:t>
      </w:r>
      <w:r w:rsidR="00450D8F" w:rsidRPr="006A7B7D">
        <w:rPr>
          <w:rFonts w:ascii="Palatino Linotype" w:hAnsi="Palatino Linotype"/>
          <w:lang w:val="en-GB"/>
        </w:rPr>
        <w:t xml:space="preserve"> </w:t>
      </w:r>
      <w:r w:rsidR="000B287A" w:rsidRPr="006A7B7D">
        <w:rPr>
          <w:rFonts w:ascii="Palatino Linotype" w:hAnsi="Palatino Linotype"/>
          <w:lang w:val="en-GB"/>
        </w:rPr>
        <w:t xml:space="preserve">The negative binomial model included only the cell type. Raw read counts were provided as the input, with each column representing a sample and each row representing a gene. </w:t>
      </w:r>
      <w:r w:rsidR="005D2042" w:rsidRPr="006A7B7D">
        <w:rPr>
          <w:rFonts w:ascii="Palatino Linotype" w:hAnsi="Palatino Linotype"/>
          <w:lang w:val="en-GB"/>
        </w:rPr>
        <w:t xml:space="preserve">For all analyses DSCs </w:t>
      </w:r>
      <w:r w:rsidR="00583304">
        <w:rPr>
          <w:rFonts w:ascii="Palatino Linotype" w:hAnsi="Palatino Linotype"/>
          <w:lang w:val="en-GB"/>
        </w:rPr>
        <w:t>were</w:t>
      </w:r>
      <w:r w:rsidR="005D2042" w:rsidRPr="006A7B7D">
        <w:rPr>
          <w:rFonts w:ascii="Palatino Linotype" w:hAnsi="Palatino Linotype"/>
          <w:lang w:val="en-GB"/>
        </w:rPr>
        <w:t xml:space="preserve"> the </w:t>
      </w:r>
      <w:r w:rsidR="005D2042" w:rsidRPr="006A7B7D">
        <w:rPr>
          <w:rFonts w:ascii="Palatino Linotype" w:hAnsi="Palatino Linotype"/>
          <w:i/>
          <w:lang w:val="en-GB"/>
        </w:rPr>
        <w:t>control</w:t>
      </w:r>
      <w:r w:rsidR="005D2042" w:rsidRPr="006A7B7D">
        <w:rPr>
          <w:rFonts w:ascii="Palatino Linotype" w:hAnsi="Palatino Linotype"/>
          <w:lang w:val="en-GB"/>
        </w:rPr>
        <w:t xml:space="preserve"> group whereas Melanocy</w:t>
      </w:r>
      <w:r w:rsidR="00716C84" w:rsidRPr="006A7B7D">
        <w:rPr>
          <w:rFonts w:ascii="Palatino Linotype" w:hAnsi="Palatino Linotype"/>
          <w:lang w:val="en-GB"/>
        </w:rPr>
        <w:t>t</w:t>
      </w:r>
      <w:r w:rsidR="005D2042" w:rsidRPr="006A7B7D">
        <w:rPr>
          <w:rFonts w:ascii="Palatino Linotype" w:hAnsi="Palatino Linotype"/>
          <w:lang w:val="en-GB"/>
        </w:rPr>
        <w:t xml:space="preserve">es </w:t>
      </w:r>
      <w:r w:rsidR="00B149FD" w:rsidRPr="006A7B7D">
        <w:rPr>
          <w:rFonts w:ascii="Palatino Linotype" w:hAnsi="Palatino Linotype"/>
          <w:lang w:val="en-GB"/>
        </w:rPr>
        <w:t>were</w:t>
      </w:r>
      <w:r w:rsidR="005D2042" w:rsidRPr="006A7B7D">
        <w:rPr>
          <w:rFonts w:ascii="Palatino Linotype" w:hAnsi="Palatino Linotype"/>
          <w:lang w:val="en-GB"/>
        </w:rPr>
        <w:t xml:space="preserve"> the </w:t>
      </w:r>
      <w:r w:rsidR="005D2042" w:rsidRPr="006A7B7D">
        <w:rPr>
          <w:rFonts w:ascii="Palatino Linotype" w:hAnsi="Palatino Linotype"/>
          <w:i/>
          <w:lang w:val="en-GB"/>
        </w:rPr>
        <w:t>treated</w:t>
      </w:r>
      <w:r w:rsidR="005D2042" w:rsidRPr="006A7B7D">
        <w:rPr>
          <w:rFonts w:ascii="Palatino Linotype" w:hAnsi="Palatino Linotype"/>
          <w:lang w:val="en-GB"/>
        </w:rPr>
        <w:t xml:space="preserve"> group. Lo</w:t>
      </w:r>
      <w:r w:rsidR="00EB6A0D" w:rsidRPr="006A7B7D">
        <w:rPr>
          <w:rFonts w:ascii="Palatino Linotype" w:hAnsi="Palatino Linotype"/>
          <w:lang w:val="en-GB"/>
        </w:rPr>
        <w:t>g fold changes were shrunk using the</w:t>
      </w:r>
      <w:r w:rsidR="00FE5D53" w:rsidRPr="006A7B7D">
        <w:rPr>
          <w:rFonts w:ascii="Palatino Linotype" w:hAnsi="Palatino Linotype"/>
          <w:lang w:val="en-GB"/>
        </w:rPr>
        <w:t xml:space="preserve"> lfcshrink() function with</w:t>
      </w:r>
      <w:r w:rsidR="00EB6A0D" w:rsidRPr="006A7B7D">
        <w:rPr>
          <w:rFonts w:ascii="Palatino Linotype" w:hAnsi="Palatino Linotype"/>
          <w:lang w:val="en-GB"/>
        </w:rPr>
        <w:t xml:space="preserve"> </w:t>
      </w:r>
      <w:r w:rsidR="006A4516">
        <w:rPr>
          <w:rFonts w:ascii="Palatino Linotype" w:hAnsi="Palatino Linotype"/>
          <w:lang w:val="en-GB"/>
        </w:rPr>
        <w:t xml:space="preserve">the </w:t>
      </w:r>
      <w:r w:rsidR="00EB6A0D" w:rsidRPr="006A7B7D">
        <w:rPr>
          <w:rFonts w:ascii="Palatino Linotype" w:hAnsi="Palatino Linotype"/>
          <w:lang w:val="en-GB"/>
        </w:rPr>
        <w:t xml:space="preserve">apeglm algorithm provided by </w:t>
      </w:r>
      <w:hyperlink r:id="rId5" w:history="1">
        <w:r w:rsidR="00EB6A0D" w:rsidRPr="006A7B7D">
          <w:rPr>
            <w:rStyle w:val="Hyperlink"/>
            <w:rFonts w:ascii="Palatino Linotype" w:hAnsi="Palatino Linotype"/>
            <w:lang w:val="en-GB"/>
          </w:rPr>
          <w:t>https://pubmed.ncbi.nlm.nih.gov/30395178/</w:t>
        </w:r>
      </w:hyperlink>
      <w:r w:rsidR="002B4266" w:rsidRPr="006A7B7D">
        <w:rPr>
          <w:rFonts w:ascii="Palatino Linotype" w:hAnsi="Palatino Linotype"/>
          <w:lang w:val="en-GB"/>
        </w:rPr>
        <w:t xml:space="preserve"> due to high variability in genes with low counts</w:t>
      </w:r>
      <w:r w:rsidR="00EB6A0D" w:rsidRPr="006A7B7D">
        <w:rPr>
          <w:rFonts w:ascii="Palatino Linotype" w:hAnsi="Palatino Linotype"/>
          <w:lang w:val="en-GB"/>
        </w:rPr>
        <w:t xml:space="preserve">. </w:t>
      </w:r>
      <w:r w:rsidR="00450D8F" w:rsidRPr="006A7B7D">
        <w:rPr>
          <w:rFonts w:ascii="Palatino Linotype" w:hAnsi="Palatino Linotype"/>
          <w:lang w:val="en-GB"/>
        </w:rPr>
        <w:t>Counts were transformed with the regularized log approach (rlog) as described in Love et. al 2014</w:t>
      </w:r>
      <w:r w:rsidR="00403585" w:rsidRPr="006A7B7D">
        <w:rPr>
          <w:rFonts w:ascii="Palatino Linotype" w:hAnsi="Palatino Linotype"/>
          <w:lang w:val="en-GB"/>
        </w:rPr>
        <w:t xml:space="preserve"> with the argument blind = FALSE</w:t>
      </w:r>
      <w:r w:rsidR="00450D8F" w:rsidRPr="006A7B7D">
        <w:rPr>
          <w:rFonts w:ascii="Palatino Linotype" w:hAnsi="Palatino Linotype"/>
          <w:lang w:val="en-GB"/>
        </w:rPr>
        <w:t xml:space="preserve">. </w:t>
      </w:r>
      <w:r w:rsidR="002B4266" w:rsidRPr="006A7B7D">
        <w:rPr>
          <w:rFonts w:ascii="Palatino Linotype" w:hAnsi="Palatino Linotype"/>
          <w:lang w:val="en-GB"/>
        </w:rPr>
        <w:t>Differentially</w:t>
      </w:r>
      <w:r w:rsidR="004C7F17" w:rsidRPr="006A7B7D">
        <w:rPr>
          <w:rFonts w:ascii="Palatino Linotype" w:hAnsi="Palatino Linotype"/>
          <w:lang w:val="en-GB"/>
        </w:rPr>
        <w:t xml:space="preserve"> expressed genes </w:t>
      </w:r>
      <w:r w:rsidR="002B4266" w:rsidRPr="006A7B7D">
        <w:rPr>
          <w:rFonts w:ascii="Palatino Linotype" w:hAnsi="Palatino Linotype"/>
          <w:lang w:val="en-GB"/>
        </w:rPr>
        <w:t xml:space="preserve">were </w:t>
      </w:r>
      <w:r w:rsidR="0022791E">
        <w:rPr>
          <w:rFonts w:ascii="Palatino Linotype" w:hAnsi="Palatino Linotype"/>
          <w:lang w:val="en-GB"/>
        </w:rPr>
        <w:t>examined</w:t>
      </w:r>
      <w:r w:rsidR="004C7F17" w:rsidRPr="006A7B7D">
        <w:rPr>
          <w:rFonts w:ascii="Palatino Linotype" w:hAnsi="Palatino Linotype"/>
          <w:lang w:val="en-GB"/>
        </w:rPr>
        <w:t xml:space="preserve"> via Volcano plot (</w:t>
      </w:r>
      <w:r w:rsidR="00482AF9" w:rsidRPr="006A7B7D">
        <w:rPr>
          <w:rFonts w:ascii="Palatino Linotype" w:hAnsi="Palatino Linotype"/>
          <w:lang w:val="en-GB"/>
        </w:rPr>
        <w:t>BioConductor</w:t>
      </w:r>
      <w:r w:rsidR="00463224" w:rsidRPr="006A7B7D">
        <w:rPr>
          <w:rFonts w:ascii="Palatino Linotype" w:hAnsi="Palatino Linotype"/>
          <w:lang w:val="en-GB"/>
        </w:rPr>
        <w:t xml:space="preserve"> package</w:t>
      </w:r>
      <w:r w:rsidR="004C7F17" w:rsidRPr="006A7B7D">
        <w:rPr>
          <w:rFonts w:ascii="Palatino Linotype" w:hAnsi="Palatino Linotype"/>
          <w:lang w:val="en-GB"/>
        </w:rPr>
        <w:t xml:space="preserve"> </w:t>
      </w:r>
      <w:r w:rsidR="004C7F17" w:rsidRPr="006A7B7D">
        <w:rPr>
          <w:rFonts w:ascii="Palatino Linotype" w:hAnsi="Palatino Linotype"/>
          <w:i/>
          <w:lang w:val="en-GB"/>
        </w:rPr>
        <w:t>EnhancedVolcano</w:t>
      </w:r>
      <w:r w:rsidR="00830680" w:rsidRPr="006A7B7D">
        <w:rPr>
          <w:rFonts w:ascii="Palatino Linotype" w:hAnsi="Palatino Linotype"/>
          <w:i/>
          <w:lang w:val="en-GB"/>
        </w:rPr>
        <w:t xml:space="preserve">, </w:t>
      </w:r>
      <w:r w:rsidR="00830680" w:rsidRPr="006A7B7D">
        <w:rPr>
          <w:rFonts w:ascii="Palatino Linotype" w:hAnsi="Palatino Linotype"/>
          <w:lang w:val="en-GB"/>
        </w:rPr>
        <w:t>https://github.com/kevinblighe/EnhancedVolcano</w:t>
      </w:r>
      <w:r w:rsidR="004C7F17" w:rsidRPr="006A7B7D">
        <w:rPr>
          <w:rFonts w:ascii="Palatino Linotype" w:hAnsi="Palatino Linotype"/>
          <w:lang w:val="en-GB"/>
        </w:rPr>
        <w:t>), barplots of selected marker genes and hierarchical clustering (BioConductor</w:t>
      </w:r>
      <w:r w:rsidR="00463224" w:rsidRPr="006A7B7D">
        <w:rPr>
          <w:rFonts w:ascii="Palatino Linotype" w:hAnsi="Palatino Linotype"/>
          <w:lang w:val="en-GB"/>
        </w:rPr>
        <w:t xml:space="preserve"> package</w:t>
      </w:r>
      <w:r w:rsidR="004C7F17" w:rsidRPr="006A7B7D">
        <w:rPr>
          <w:rFonts w:ascii="Palatino Linotype" w:hAnsi="Palatino Linotype"/>
          <w:lang w:val="en-GB"/>
        </w:rPr>
        <w:t xml:space="preserve"> </w:t>
      </w:r>
      <w:r w:rsidR="004C7F17" w:rsidRPr="006A7B7D">
        <w:rPr>
          <w:rFonts w:ascii="Palatino Linotype" w:hAnsi="Palatino Linotype"/>
          <w:i/>
          <w:lang w:val="en-GB"/>
        </w:rPr>
        <w:t>ComplexHeatmap</w:t>
      </w:r>
      <w:r w:rsidR="00830680" w:rsidRPr="006A7B7D">
        <w:rPr>
          <w:rFonts w:ascii="Palatino Linotype" w:hAnsi="Palatino Linotype"/>
          <w:i/>
          <w:lang w:val="en-GB"/>
        </w:rPr>
        <w:t xml:space="preserve">, </w:t>
      </w:r>
      <w:r w:rsidR="00830680" w:rsidRPr="006A7B7D">
        <w:rPr>
          <w:rFonts w:ascii="Palatino Linotype" w:hAnsi="Palatino Linotype"/>
          <w:lang w:val="en-GB"/>
        </w:rPr>
        <w:t>https://pubmed.ncbi.nlm.nih.gov/27207943/</w:t>
      </w:r>
      <w:r w:rsidR="004C7F17" w:rsidRPr="006A7B7D">
        <w:rPr>
          <w:rFonts w:ascii="Palatino Linotype" w:hAnsi="Palatino Linotype"/>
          <w:lang w:val="en-GB"/>
        </w:rPr>
        <w:t>)</w:t>
      </w:r>
      <w:r w:rsidR="00450D8F" w:rsidRPr="006A7B7D">
        <w:rPr>
          <w:rFonts w:ascii="Palatino Linotype" w:hAnsi="Palatino Linotype"/>
          <w:lang w:val="en-GB"/>
        </w:rPr>
        <w:t xml:space="preserve">. </w:t>
      </w:r>
      <w:r w:rsidR="00A1157B">
        <w:rPr>
          <w:rFonts w:ascii="Palatino Linotype" w:hAnsi="Palatino Linotype"/>
          <w:lang w:val="en-GB"/>
        </w:rPr>
        <w:t xml:space="preserve">All annotations were based on the homo sapiens annotation retrieved from the BioConductor package org.Hs.eg.db (v. 3.19.1, </w:t>
      </w:r>
      <w:hyperlink r:id="rId6" w:history="1">
        <w:r w:rsidR="00A1157B" w:rsidRPr="00360344">
          <w:rPr>
            <w:rStyle w:val="Hyperlink"/>
            <w:rFonts w:ascii="Palatino Linotype" w:hAnsi="Palatino Linotype"/>
            <w:lang w:val="en-GB"/>
          </w:rPr>
          <w:t>https://bioconductor.org/packages/release/data/annotation/html/org.Hs.eg.db.html</w:t>
        </w:r>
      </w:hyperlink>
      <w:r w:rsidR="00A1157B">
        <w:rPr>
          <w:rFonts w:ascii="Palatino Linotype" w:hAnsi="Palatino Linotype"/>
          <w:lang w:val="en-GB"/>
        </w:rPr>
        <w:t xml:space="preserve">) </w:t>
      </w:r>
    </w:p>
    <w:p w14:paraId="0F0A02CC" w14:textId="3D892093" w:rsidR="00CB638F" w:rsidRDefault="00583304" w:rsidP="00E77B4D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To investigate the biological function of differentially expressed genes, functional analyses with the R package pathfindR (</w:t>
      </w:r>
      <w:hyperlink r:id="rId7" w:history="1">
        <w:r w:rsidRPr="00360344">
          <w:rPr>
            <w:rStyle w:val="Hyperlink"/>
            <w:rFonts w:ascii="Palatino Linotype" w:hAnsi="Palatino Linotype"/>
            <w:lang w:val="en-GB"/>
          </w:rPr>
          <w:t>https://cran.r-project.org/web/packages/pathfindR/vignettes/intro_vignette.html</w:t>
        </w:r>
      </w:hyperlink>
      <w:r>
        <w:rPr>
          <w:rFonts w:ascii="Palatino Linotype" w:hAnsi="Palatino Linotype"/>
          <w:lang w:val="en-GB"/>
        </w:rPr>
        <w:t xml:space="preserve">) were conducted. This package includes protein-protein interaction information harvested from active subnetworks for a </w:t>
      </w:r>
      <w:r w:rsidRPr="00583304">
        <w:rPr>
          <w:rFonts w:ascii="Palatino Linotype" w:hAnsi="Palatino Linotype"/>
          <w:lang w:val="en-GB"/>
        </w:rPr>
        <w:t>active-subnetwork-oriented</w:t>
      </w:r>
      <w:r>
        <w:rPr>
          <w:rFonts w:ascii="Palatino Linotype" w:hAnsi="Palatino Linotype"/>
          <w:lang w:val="en-GB"/>
        </w:rPr>
        <w:t xml:space="preserve"> pathway analysis, which yield</w:t>
      </w:r>
      <w:r w:rsidR="00D81E98">
        <w:rPr>
          <w:rFonts w:ascii="Palatino Linotype" w:hAnsi="Palatino Linotype"/>
          <w:lang w:val="en-GB"/>
        </w:rPr>
        <w:t xml:space="preserve">s </w:t>
      </w:r>
      <w:r>
        <w:rPr>
          <w:rFonts w:ascii="Palatino Linotype" w:hAnsi="Palatino Linotype"/>
          <w:lang w:val="en-GB"/>
        </w:rPr>
        <w:t>superior results compared to conventional enrichment analyses (</w:t>
      </w:r>
      <w:hyperlink r:id="rId8" w:history="1">
        <w:r w:rsidRPr="00360344">
          <w:rPr>
            <w:rStyle w:val="Hyperlink"/>
            <w:rFonts w:ascii="Palatino Linotype" w:hAnsi="Palatino Linotype"/>
            <w:lang w:val="en-GB"/>
          </w:rPr>
          <w:t>https://www.frontiersin.org/journals/genetics/articles/10.3389/fgene.2019.00858/full</w:t>
        </w:r>
      </w:hyperlink>
      <w:r>
        <w:rPr>
          <w:rFonts w:ascii="Palatino Linotype" w:hAnsi="Palatino Linotype"/>
          <w:lang w:val="en-GB"/>
        </w:rPr>
        <w:t xml:space="preserve">). </w:t>
      </w:r>
      <w:r w:rsidR="00C6445A">
        <w:rPr>
          <w:rFonts w:ascii="Palatino Linotype" w:hAnsi="Palatino Linotype"/>
          <w:lang w:val="en-GB"/>
        </w:rPr>
        <w:t xml:space="preserve">The gene set database used in this work </w:t>
      </w:r>
      <w:r w:rsidR="0081018E">
        <w:rPr>
          <w:rFonts w:ascii="Palatino Linotype" w:hAnsi="Palatino Linotype"/>
          <w:lang w:val="en-GB"/>
        </w:rPr>
        <w:t xml:space="preserve">was WikiPathways. </w:t>
      </w:r>
      <w:r w:rsidR="00B076F2">
        <w:rPr>
          <w:rFonts w:ascii="Palatino Linotype" w:hAnsi="Palatino Linotype"/>
          <w:lang w:val="en-GB"/>
        </w:rPr>
        <w:t>T</w:t>
      </w:r>
      <w:r w:rsidR="0081018E">
        <w:rPr>
          <w:rFonts w:ascii="Palatino Linotype" w:hAnsi="Palatino Linotype"/>
          <w:lang w:val="en-GB"/>
        </w:rPr>
        <w:t>he run_pathfindR() function only includes GO or KEGG analysis by default</w:t>
      </w:r>
      <w:r w:rsidR="00B076F2">
        <w:rPr>
          <w:rFonts w:ascii="Palatino Linotype" w:hAnsi="Palatino Linotype"/>
          <w:lang w:val="en-GB"/>
        </w:rPr>
        <w:t>.</w:t>
      </w:r>
      <w:r w:rsidR="0081018E">
        <w:rPr>
          <w:rFonts w:ascii="Palatino Linotype" w:hAnsi="Palatino Linotype"/>
          <w:lang w:val="en-GB"/>
        </w:rPr>
        <w:t xml:space="preserve"> </w:t>
      </w:r>
      <w:r w:rsidR="00B076F2">
        <w:rPr>
          <w:rFonts w:ascii="Palatino Linotype" w:hAnsi="Palatino Linotype"/>
          <w:lang w:val="en-GB"/>
        </w:rPr>
        <w:t>However, it</w:t>
      </w:r>
      <w:r w:rsidR="0081018E">
        <w:rPr>
          <w:rFonts w:ascii="Palatino Linotype" w:hAnsi="Palatino Linotype"/>
          <w:lang w:val="en-GB"/>
        </w:rPr>
        <w:t xml:space="preserve"> allows for supply of a custom gene set</w:t>
      </w:r>
      <w:r w:rsidR="00335295">
        <w:rPr>
          <w:rFonts w:ascii="Palatino Linotype" w:hAnsi="Palatino Linotype"/>
          <w:lang w:val="en-GB"/>
        </w:rPr>
        <w:t>. Therefore, w</w:t>
      </w:r>
      <w:r w:rsidR="0081018E">
        <w:rPr>
          <w:rFonts w:ascii="Palatino Linotype" w:hAnsi="Palatino Linotype"/>
          <w:lang w:val="en-GB"/>
        </w:rPr>
        <w:t>e loaded the WikiPathways gene set as .gmt file with the BioConductor package qusage (</w:t>
      </w:r>
      <w:hyperlink r:id="rId9" w:history="1">
        <w:r w:rsidR="0081018E" w:rsidRPr="00360344">
          <w:rPr>
            <w:rStyle w:val="Hyperlink"/>
            <w:rFonts w:ascii="Palatino Linotype" w:hAnsi="Palatino Linotype"/>
            <w:lang w:val="en-GB"/>
          </w:rPr>
          <w:t>https://www.bioconductor.org/packages/release/bioc/html/qusage.html</w:t>
        </w:r>
      </w:hyperlink>
      <w:r w:rsidR="0081018E">
        <w:rPr>
          <w:rFonts w:ascii="Palatino Linotype" w:hAnsi="Palatino Linotype"/>
          <w:lang w:val="en-GB"/>
        </w:rPr>
        <w:t>) after downloading the most recent release (</w:t>
      </w:r>
      <w:r w:rsidR="0081018E" w:rsidRPr="0081018E">
        <w:rPr>
          <w:rFonts w:ascii="Palatino Linotype" w:hAnsi="Palatino Linotype"/>
          <w:lang w:val="en-GB"/>
        </w:rPr>
        <w:t>wikipathways-20240510-gmt-Homo_sapiens.gmt</w:t>
      </w:r>
      <w:r w:rsidR="0081018E">
        <w:rPr>
          <w:rFonts w:ascii="Palatino Linotype" w:hAnsi="Palatino Linotype"/>
          <w:lang w:val="en-GB"/>
        </w:rPr>
        <w:t>) from the WikiPathways homepage (</w:t>
      </w:r>
      <w:hyperlink r:id="rId10" w:history="1">
        <w:r w:rsidR="0081018E" w:rsidRPr="00360344">
          <w:rPr>
            <w:rStyle w:val="Hyperlink"/>
            <w:rFonts w:ascii="Palatino Linotype" w:hAnsi="Palatino Linotype"/>
            <w:lang w:val="en-GB"/>
          </w:rPr>
          <w:t>https://www.wikipathways.org/download.html</w:t>
        </w:r>
      </w:hyperlink>
      <w:r w:rsidR="0081018E">
        <w:rPr>
          <w:rFonts w:ascii="Palatino Linotype" w:hAnsi="Palatino Linotype"/>
          <w:lang w:val="en-GB"/>
        </w:rPr>
        <w:t>)</w:t>
      </w:r>
      <w:r w:rsidR="004C6E30">
        <w:rPr>
          <w:rFonts w:ascii="Palatino Linotype" w:hAnsi="Palatino Linotype"/>
          <w:lang w:val="en-GB"/>
        </w:rPr>
        <w:t xml:space="preserve"> and supplied it as custom gene set</w:t>
      </w:r>
      <w:r w:rsidR="0081018E">
        <w:rPr>
          <w:rFonts w:ascii="Palatino Linotype" w:hAnsi="Palatino Linotype"/>
          <w:lang w:val="en-GB"/>
        </w:rPr>
        <w:t xml:space="preserve">. </w:t>
      </w:r>
      <w:r w:rsidR="00BF6850">
        <w:rPr>
          <w:rFonts w:ascii="Palatino Linotype" w:hAnsi="Palatino Linotype"/>
          <w:lang w:val="en-GB"/>
        </w:rPr>
        <w:t xml:space="preserve">A reduced background gene list (as suggested for RNASeq in </w:t>
      </w:r>
      <w:hyperlink r:id="rId11" w:history="1">
        <w:r w:rsidR="00BF6850" w:rsidRPr="00360344">
          <w:rPr>
            <w:rStyle w:val="Hyperlink"/>
            <w:rFonts w:ascii="Palatino Linotype" w:hAnsi="Palatino Linotype"/>
            <w:lang w:val="en-GB"/>
          </w:rPr>
          <w:t>https://journals.plos.org/ploscompbiol/article?id=10.1371/journal.pcbi.1009935</w:t>
        </w:r>
      </w:hyperlink>
      <w:r w:rsidR="00BF6850">
        <w:rPr>
          <w:rFonts w:ascii="Palatino Linotype" w:hAnsi="Palatino Linotype"/>
          <w:lang w:val="en-GB"/>
        </w:rPr>
        <w:t xml:space="preserve">) </w:t>
      </w:r>
      <w:r w:rsidR="00CB638F">
        <w:rPr>
          <w:rFonts w:ascii="Palatino Linotype" w:hAnsi="Palatino Linotype"/>
          <w:lang w:val="en-GB"/>
        </w:rPr>
        <w:t xml:space="preserve">for the analysis contained all genes which were expressed above a minimum read threshold of 10 counts in at least 5 samples or which were differentially expressed. </w:t>
      </w:r>
      <w:r w:rsidR="00893B17">
        <w:rPr>
          <w:rFonts w:ascii="Palatino Linotype" w:hAnsi="Palatino Linotype"/>
          <w:lang w:val="en-GB"/>
        </w:rPr>
        <w:t xml:space="preserve">Shrunken log2 fold changes and fdr-adjusted p-values were provided as input. </w:t>
      </w:r>
    </w:p>
    <w:p w14:paraId="60878F98" w14:textId="2B53C42C" w:rsidR="00583304" w:rsidRDefault="000C73B6" w:rsidP="00E77B4D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Following the enrichment analysis, overrepresented pathways were scored with the pathfindR function score_terms() to assess whether pathways were activated or repressed. Activated and repressed pathways were separated into groups and enriched functional categories were clustered</w:t>
      </w:r>
      <w:r w:rsidR="000063F2">
        <w:rPr>
          <w:rFonts w:ascii="Palatino Linotype" w:hAnsi="Palatino Linotype"/>
          <w:lang w:val="en-GB"/>
        </w:rPr>
        <w:t xml:space="preserve"> in each group</w:t>
      </w:r>
      <w:r>
        <w:rPr>
          <w:rFonts w:ascii="Palatino Linotype" w:hAnsi="Palatino Linotype"/>
          <w:lang w:val="en-GB"/>
        </w:rPr>
        <w:t>, respectively.</w:t>
      </w:r>
      <w:r w:rsidR="009A2751">
        <w:rPr>
          <w:rFonts w:ascii="Palatino Linotype" w:hAnsi="Palatino Linotype"/>
          <w:lang w:val="en-GB"/>
        </w:rPr>
        <w:t xml:space="preserve"> These clusters were plotted as dot</w:t>
      </w:r>
      <w:r w:rsidR="00854824">
        <w:rPr>
          <w:rFonts w:ascii="Palatino Linotype" w:hAnsi="Palatino Linotype"/>
          <w:lang w:val="en-GB"/>
        </w:rPr>
        <w:t xml:space="preserve"> </w:t>
      </w:r>
      <w:r w:rsidR="009A2751">
        <w:rPr>
          <w:rFonts w:ascii="Palatino Linotype" w:hAnsi="Palatino Linotype"/>
          <w:lang w:val="en-GB"/>
        </w:rPr>
        <w:t>plots.</w:t>
      </w:r>
      <w:r>
        <w:rPr>
          <w:rFonts w:ascii="Palatino Linotype" w:hAnsi="Palatino Linotype"/>
          <w:lang w:val="en-GB"/>
        </w:rPr>
        <w:t xml:space="preserve"> Furthermore</w:t>
      </w:r>
      <w:r w:rsidR="00625D37">
        <w:rPr>
          <w:rFonts w:ascii="Palatino Linotype" w:hAnsi="Palatino Linotype"/>
          <w:lang w:val="en-GB"/>
        </w:rPr>
        <w:t>,</w:t>
      </w:r>
      <w:r>
        <w:rPr>
          <w:rFonts w:ascii="Palatino Linotype" w:hAnsi="Palatino Linotype"/>
          <w:lang w:val="en-GB"/>
        </w:rPr>
        <w:t xml:space="preserve"> representative pathways (the most significantly enriched pathway from each cluster) were extracted and ranked by taking the square root of the product of fold-enrichment and negative log10 of the </w:t>
      </w:r>
      <w:r w:rsidR="008B4252">
        <w:rPr>
          <w:rFonts w:ascii="Palatino Linotype" w:hAnsi="Palatino Linotype"/>
          <w:lang w:val="en-GB"/>
        </w:rPr>
        <w:t xml:space="preserve">lowest </w:t>
      </w:r>
      <w:r>
        <w:rPr>
          <w:rFonts w:ascii="Palatino Linotype" w:hAnsi="Palatino Linotype"/>
          <w:lang w:val="en-GB"/>
        </w:rPr>
        <w:t>enrichment p-value</w:t>
      </w:r>
      <w:r w:rsidR="008B4252">
        <w:rPr>
          <w:rFonts w:ascii="Palatino Linotype" w:hAnsi="Palatino Linotype"/>
          <w:lang w:val="en-GB"/>
        </w:rPr>
        <w:t xml:space="preserve">. The depiction of enriched </w:t>
      </w:r>
      <w:r w:rsidR="00EF49AF">
        <w:rPr>
          <w:rFonts w:ascii="Palatino Linotype" w:hAnsi="Palatino Linotype"/>
          <w:lang w:val="en-GB"/>
        </w:rPr>
        <w:t xml:space="preserve">representative </w:t>
      </w:r>
      <w:r w:rsidR="008B4252">
        <w:rPr>
          <w:rFonts w:ascii="Palatino Linotype" w:hAnsi="Palatino Linotype"/>
          <w:lang w:val="en-GB"/>
        </w:rPr>
        <w:t xml:space="preserve">pathways was conducted in a word cloud where pathway size was directly correlated to the assigned rank. </w:t>
      </w:r>
      <w:r>
        <w:rPr>
          <w:rFonts w:ascii="Palatino Linotype" w:hAnsi="Palatino Linotype"/>
          <w:lang w:val="en-GB"/>
        </w:rPr>
        <w:t xml:space="preserve"> </w:t>
      </w:r>
    </w:p>
    <w:p w14:paraId="54601172" w14:textId="441F3696" w:rsidR="00893B17" w:rsidRDefault="00893B17" w:rsidP="00E77B4D">
      <w:p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Additionally</w:t>
      </w:r>
      <w:r w:rsidR="00382672">
        <w:rPr>
          <w:rFonts w:ascii="Palatino Linotype" w:hAnsi="Palatino Linotype"/>
          <w:lang w:val="en-GB"/>
        </w:rPr>
        <w:t>, genes with a high dispersion (dispersion &gt;1) were subject to a pathway analysis to identify processes which differ between donors. As input, we only had a list of genes</w:t>
      </w:r>
      <w:r w:rsidR="00520E24">
        <w:rPr>
          <w:rFonts w:ascii="Palatino Linotype" w:hAnsi="Palatino Linotype"/>
          <w:lang w:val="en-GB"/>
        </w:rPr>
        <w:t xml:space="preserve"> without fold changes or p-values</w:t>
      </w:r>
      <w:r w:rsidR="00382672">
        <w:rPr>
          <w:rFonts w:ascii="Palatino Linotype" w:hAnsi="Palatino Linotype"/>
          <w:lang w:val="en-GB"/>
        </w:rPr>
        <w:t>, which made the previous approach with pathfindR unfeasible. Therefore, enrichment analysis has been conducted with the BioConductor package goseq</w:t>
      </w:r>
      <w:r w:rsidR="00C623A6">
        <w:rPr>
          <w:rFonts w:ascii="Palatino Linotype" w:hAnsi="Palatino Linotype"/>
          <w:lang w:val="en-GB"/>
        </w:rPr>
        <w:t xml:space="preserve"> (</w:t>
      </w:r>
      <w:hyperlink r:id="rId12" w:history="1">
        <w:r w:rsidR="00C623A6" w:rsidRPr="00360344">
          <w:rPr>
            <w:rStyle w:val="Hyperlink"/>
            <w:rFonts w:ascii="Palatino Linotype" w:hAnsi="Palatino Linotype"/>
            <w:lang w:val="en-GB"/>
          </w:rPr>
          <w:t>https://genomebiology.biomedcentral.com/articles/10.1186/gb-2010-11-2-r14</w:t>
        </w:r>
      </w:hyperlink>
      <w:r w:rsidR="00C623A6">
        <w:rPr>
          <w:rFonts w:ascii="Palatino Linotype" w:hAnsi="Palatino Linotype"/>
          <w:lang w:val="en-GB"/>
        </w:rPr>
        <w:t>)</w:t>
      </w:r>
      <w:r w:rsidR="00382672">
        <w:rPr>
          <w:rFonts w:ascii="Palatino Linotype" w:hAnsi="Palatino Linotype"/>
          <w:lang w:val="en-GB"/>
        </w:rPr>
        <w:t xml:space="preserve">, a form of overrepresentation analysis optimized for rnaseq by taking transcript lengths into account to adjust for transcript length bias. The input were all genes with a minimum count of 10 in at least 5 samples, encoded with a 1 (high dispersion gene) or 0 (other genes). Enrichment was conducted for GO biological processes and redundancy of enriched terms was reduced by </w:t>
      </w:r>
      <w:r w:rsidR="00F35079">
        <w:rPr>
          <w:rFonts w:ascii="Palatino Linotype" w:hAnsi="Palatino Linotype"/>
          <w:lang w:val="en-GB"/>
        </w:rPr>
        <w:t>only keeping the parent term and removing related terms</w:t>
      </w:r>
      <w:r w:rsidR="00382672">
        <w:rPr>
          <w:rFonts w:ascii="Palatino Linotype" w:hAnsi="Palatino Linotype"/>
          <w:lang w:val="en-GB"/>
        </w:rPr>
        <w:t>. Similarity was calculated with the rrvgo</w:t>
      </w:r>
      <w:r w:rsidR="00B64BDD">
        <w:rPr>
          <w:rFonts w:ascii="Palatino Linotype" w:hAnsi="Palatino Linotype"/>
          <w:lang w:val="en-GB"/>
        </w:rPr>
        <w:t xml:space="preserve"> (</w:t>
      </w:r>
      <w:hyperlink r:id="rId13" w:history="1">
        <w:r w:rsidR="00B64BDD" w:rsidRPr="00360344">
          <w:rPr>
            <w:rStyle w:val="Hyperlink"/>
            <w:rFonts w:ascii="Palatino Linotype" w:hAnsi="Palatino Linotype"/>
            <w:lang w:val="en-GB"/>
          </w:rPr>
          <w:t>https://bioconductor.org/packages/release/bioc/html/rrvgo.html</w:t>
        </w:r>
      </w:hyperlink>
      <w:r w:rsidR="00B64BDD">
        <w:rPr>
          <w:rFonts w:ascii="Palatino Linotype" w:hAnsi="Palatino Linotype"/>
          <w:lang w:val="en-GB"/>
        </w:rPr>
        <w:t xml:space="preserve">) </w:t>
      </w:r>
      <w:r w:rsidR="00382672">
        <w:rPr>
          <w:rFonts w:ascii="Palatino Linotype" w:hAnsi="Palatino Linotype"/>
          <w:lang w:val="en-GB"/>
        </w:rPr>
        <w:t xml:space="preserve">function </w:t>
      </w:r>
      <w:r w:rsidR="00382672" w:rsidRPr="00382672">
        <w:rPr>
          <w:rFonts w:ascii="Palatino Linotype" w:hAnsi="Palatino Linotype"/>
          <w:lang w:val="en-GB"/>
        </w:rPr>
        <w:t>calculateSimMatrix</w:t>
      </w:r>
      <w:r w:rsidR="00382672" w:rsidRPr="00382672">
        <w:rPr>
          <w:rFonts w:ascii="Palatino Linotype" w:hAnsi="Palatino Linotype"/>
          <w:lang w:val="en-GB"/>
        </w:rPr>
        <w:t>() and b</w:t>
      </w:r>
      <w:r w:rsidR="00382672">
        <w:rPr>
          <w:rFonts w:ascii="Palatino Linotype" w:hAnsi="Palatino Linotype"/>
          <w:lang w:val="en-GB"/>
        </w:rPr>
        <w:t xml:space="preserve">ased on the output, terms were reduced with the </w:t>
      </w:r>
      <w:r w:rsidR="00382672" w:rsidRPr="00382672">
        <w:rPr>
          <w:rFonts w:ascii="Palatino Linotype" w:hAnsi="Palatino Linotype"/>
          <w:lang w:val="en-GB"/>
        </w:rPr>
        <w:t>reduceSimMatrix</w:t>
      </w:r>
      <w:r w:rsidR="00382672">
        <w:rPr>
          <w:rFonts w:ascii="Palatino Linotype" w:hAnsi="Palatino Linotype"/>
          <w:lang w:val="en-GB"/>
        </w:rPr>
        <w:t>() function and a similarity threshold of 0.7.</w:t>
      </w:r>
      <w:r w:rsidR="004C6E30">
        <w:rPr>
          <w:rFonts w:ascii="Palatino Linotype" w:hAnsi="Palatino Linotype"/>
          <w:lang w:val="en-GB"/>
        </w:rPr>
        <w:t xml:space="preserve"> The reference genome for the goseq() function was “hg19”. </w:t>
      </w:r>
      <w:r w:rsidR="00711635">
        <w:rPr>
          <w:rFonts w:ascii="Palatino Linotype" w:hAnsi="Palatino Linotype"/>
          <w:lang w:val="en-GB"/>
        </w:rPr>
        <w:t>Results were depicted in a word cloud showing the top30 enriched GO terms</w:t>
      </w:r>
      <w:r w:rsidR="00720FC9">
        <w:rPr>
          <w:rFonts w:ascii="Palatino Linotype" w:hAnsi="Palatino Linotype"/>
          <w:lang w:val="en-GB"/>
        </w:rPr>
        <w:t xml:space="preserve"> based on the </w:t>
      </w:r>
      <w:r w:rsidR="001402D5">
        <w:rPr>
          <w:rFonts w:ascii="Palatino Linotype" w:hAnsi="Palatino Linotype"/>
          <w:lang w:val="en-GB"/>
        </w:rPr>
        <w:t>negative log10 p</w:t>
      </w:r>
      <w:r w:rsidR="00A10D83">
        <w:rPr>
          <w:rFonts w:ascii="Palatino Linotype" w:hAnsi="Palatino Linotype"/>
          <w:lang w:val="en-GB"/>
        </w:rPr>
        <w:t>-</w:t>
      </w:r>
      <w:r w:rsidR="001402D5">
        <w:rPr>
          <w:rFonts w:ascii="Palatino Linotype" w:hAnsi="Palatino Linotype"/>
          <w:lang w:val="en-GB"/>
        </w:rPr>
        <w:t>value</w:t>
      </w:r>
      <w:r w:rsidR="00720FC9">
        <w:rPr>
          <w:rFonts w:ascii="Palatino Linotype" w:hAnsi="Palatino Linotype"/>
          <w:lang w:val="en-GB"/>
        </w:rPr>
        <w:t xml:space="preserve"> </w:t>
      </w:r>
      <w:r w:rsidR="001402D5">
        <w:rPr>
          <w:rFonts w:ascii="Palatino Linotype" w:hAnsi="Palatino Linotype"/>
          <w:lang w:val="en-GB"/>
        </w:rPr>
        <w:t>of</w:t>
      </w:r>
      <w:r w:rsidR="00720FC9">
        <w:rPr>
          <w:rFonts w:ascii="Palatino Linotype" w:hAnsi="Palatino Linotype"/>
          <w:lang w:val="en-GB"/>
        </w:rPr>
        <w:t xml:space="preserve"> the goseq output</w:t>
      </w:r>
      <w:r w:rsidR="00672257">
        <w:rPr>
          <w:rFonts w:ascii="Palatino Linotype" w:hAnsi="Palatino Linotype"/>
          <w:lang w:val="en-GB"/>
        </w:rPr>
        <w:t xml:space="preserve"> after fdr-adjustment</w:t>
      </w:r>
      <w:r w:rsidR="00711635">
        <w:rPr>
          <w:rFonts w:ascii="Palatino Linotype" w:hAnsi="Palatino Linotype"/>
          <w:lang w:val="en-GB"/>
        </w:rPr>
        <w:t xml:space="preserve">. </w:t>
      </w:r>
    </w:p>
    <w:p w14:paraId="50F85919" w14:textId="24F38F93" w:rsidR="00CE4887" w:rsidRDefault="00CE4887" w:rsidP="00E77B4D">
      <w:pPr>
        <w:jc w:val="both"/>
        <w:rPr>
          <w:rFonts w:ascii="Palatino Linotype" w:hAnsi="Palatino Linotype"/>
          <w:lang w:val="en-GB"/>
        </w:rPr>
      </w:pPr>
      <w:r w:rsidRPr="006A7B7D">
        <w:rPr>
          <w:rFonts w:ascii="Palatino Linotype" w:hAnsi="Palatino Linotype"/>
          <w:lang w:val="en-GB"/>
        </w:rPr>
        <w:t>Master regulators</w:t>
      </w:r>
      <w:r w:rsidR="004E5DDA" w:rsidRPr="006A7B7D">
        <w:rPr>
          <w:rFonts w:ascii="Palatino Linotype" w:hAnsi="Palatino Linotype"/>
          <w:lang w:val="en-GB"/>
        </w:rPr>
        <w:t xml:space="preserve"> for the comparison of Melanocytes vs DSCs (</w:t>
      </w:r>
      <w:r w:rsidR="004E5DDA" w:rsidRPr="006A7B7D">
        <w:rPr>
          <w:rFonts w:ascii="Palatino Linotype" w:hAnsi="Palatino Linotype"/>
          <w:i/>
          <w:lang w:val="en-GB"/>
        </w:rPr>
        <w:t>controls</w:t>
      </w:r>
      <w:r w:rsidR="004E5DDA" w:rsidRPr="006A7B7D">
        <w:rPr>
          <w:rFonts w:ascii="Palatino Linotype" w:hAnsi="Palatino Linotype"/>
          <w:lang w:val="en-GB"/>
        </w:rPr>
        <w:t>)</w:t>
      </w:r>
      <w:r w:rsidRPr="006A7B7D">
        <w:rPr>
          <w:rFonts w:ascii="Palatino Linotype" w:hAnsi="Palatino Linotype"/>
          <w:lang w:val="en-GB"/>
        </w:rPr>
        <w:t xml:space="preserve"> have been identified with the </w:t>
      </w:r>
      <w:r w:rsidRPr="006A7B7D">
        <w:rPr>
          <w:rFonts w:ascii="Palatino Linotype" w:hAnsi="Palatino Linotype"/>
          <w:i/>
          <w:lang w:val="en-GB"/>
        </w:rPr>
        <w:t>corto</w:t>
      </w:r>
      <w:r w:rsidRPr="006A7B7D">
        <w:rPr>
          <w:rFonts w:ascii="Palatino Linotype" w:hAnsi="Palatino Linotype"/>
          <w:lang w:val="en-GB"/>
        </w:rPr>
        <w:t xml:space="preserve"> R package (</w:t>
      </w:r>
      <w:hyperlink r:id="rId14" w:history="1">
        <w:r w:rsidRPr="006A7B7D">
          <w:rPr>
            <w:rStyle w:val="Hyperlink"/>
            <w:rFonts w:ascii="Palatino Linotype" w:hAnsi="Palatino Linotype"/>
            <w:lang w:val="en-GB"/>
          </w:rPr>
          <w:t>https://pubmed.ncbi.nlm.nih.gov/32232425/</w:t>
        </w:r>
      </w:hyperlink>
      <w:r w:rsidRPr="006A7B7D">
        <w:rPr>
          <w:rFonts w:ascii="Palatino Linotype" w:hAnsi="Palatino Linotype"/>
          <w:lang w:val="en-GB"/>
        </w:rPr>
        <w:t>) using 2</w:t>
      </w:r>
      <w:r w:rsidR="000419A1">
        <w:rPr>
          <w:rFonts w:ascii="Palatino Linotype" w:hAnsi="Palatino Linotype"/>
          <w:lang w:val="en-GB"/>
        </w:rPr>
        <w:t>94</w:t>
      </w:r>
      <w:r w:rsidRPr="006A7B7D">
        <w:rPr>
          <w:rFonts w:ascii="Palatino Linotype" w:hAnsi="Palatino Linotype"/>
          <w:lang w:val="en-GB"/>
        </w:rPr>
        <w:t xml:space="preserve"> centroids (transcription factors and regulators) specified in the package  as well as using 3</w:t>
      </w:r>
      <w:r w:rsidR="008E75E7">
        <w:rPr>
          <w:rFonts w:ascii="Palatino Linotype" w:hAnsi="Palatino Linotype"/>
          <w:lang w:val="en-GB"/>
        </w:rPr>
        <w:t>3</w:t>
      </w:r>
      <w:r w:rsidRPr="006A7B7D">
        <w:rPr>
          <w:rFonts w:ascii="Palatino Linotype" w:hAnsi="Palatino Linotype"/>
          <w:lang w:val="en-GB"/>
        </w:rPr>
        <w:t>0 centroids (additional inclusion of known Melanocyte, DSC and Fibroblast markers and transcription factors</w:t>
      </w:r>
      <w:r w:rsidR="007450CE">
        <w:rPr>
          <w:rFonts w:ascii="Palatino Linotype" w:hAnsi="Palatino Linotype"/>
          <w:lang w:val="en-GB"/>
        </w:rPr>
        <w:t>)</w:t>
      </w:r>
      <w:r w:rsidRPr="006A7B7D">
        <w:rPr>
          <w:rFonts w:ascii="Palatino Linotype" w:hAnsi="Palatino Linotype"/>
          <w:lang w:val="en-GB"/>
        </w:rPr>
        <w:t>. The p-value threshold for edge generation was p = 0.0001</w:t>
      </w:r>
      <w:r w:rsidR="00253605">
        <w:rPr>
          <w:rFonts w:ascii="Palatino Linotype" w:hAnsi="Palatino Linotype"/>
          <w:lang w:val="en-GB"/>
        </w:rPr>
        <w:t xml:space="preserve"> </w:t>
      </w:r>
      <w:r w:rsidRPr="006A7B7D">
        <w:rPr>
          <w:rFonts w:ascii="Palatino Linotype" w:hAnsi="Palatino Linotype"/>
          <w:lang w:val="en-GB"/>
        </w:rPr>
        <w:t>and the Top10 up- or down-regulated master regulators were plotted with the m</w:t>
      </w:r>
      <w:r w:rsidR="00E11DA2">
        <w:rPr>
          <w:rFonts w:ascii="Palatino Linotype" w:hAnsi="Palatino Linotype"/>
          <w:lang w:val="en-GB"/>
        </w:rPr>
        <w:t>ra</w:t>
      </w:r>
      <w:r w:rsidRPr="006A7B7D">
        <w:rPr>
          <w:rFonts w:ascii="Palatino Linotype" w:hAnsi="Palatino Linotype"/>
          <w:lang w:val="en-GB"/>
        </w:rPr>
        <w:t>plot() function.</w:t>
      </w:r>
      <w:r w:rsidR="004E5DDA" w:rsidRPr="006A7B7D">
        <w:rPr>
          <w:rFonts w:ascii="Palatino Linotype" w:hAnsi="Palatino Linotype"/>
          <w:lang w:val="en-GB"/>
        </w:rPr>
        <w:t xml:space="preserve"> </w:t>
      </w:r>
    </w:p>
    <w:p w14:paraId="15A7180F" w14:textId="77777777" w:rsidR="00996169" w:rsidRDefault="00996169" w:rsidP="00E77B4D">
      <w:pPr>
        <w:jc w:val="both"/>
        <w:rPr>
          <w:rFonts w:ascii="Palatino Linotype" w:hAnsi="Palatino Linotype"/>
          <w:lang w:val="en-GB"/>
        </w:rPr>
      </w:pPr>
    </w:p>
    <w:p w14:paraId="7DA0DCD7" w14:textId="25EB59BA" w:rsidR="007E2443" w:rsidRPr="007E2443" w:rsidRDefault="008B43D8" w:rsidP="007E2443">
      <w:pPr>
        <w:jc w:val="both"/>
        <w:rPr>
          <w:rFonts w:ascii="Palatino Linotype" w:hAnsi="Palatino Linotype"/>
          <w:color w:val="D9D9D9" w:themeColor="background1" w:themeShade="D9"/>
          <w:lang w:val="en-GB"/>
        </w:rPr>
      </w:pPr>
      <w:r>
        <w:rPr>
          <w:rFonts w:ascii="Palatino Linotype" w:hAnsi="Palatino Linotype"/>
          <w:color w:val="D9D9D9" w:themeColor="background1" w:themeShade="D9"/>
          <w:lang w:val="en-GB"/>
        </w:rPr>
        <w:t>F</w:t>
      </w:r>
      <w:r w:rsidR="007E2443" w:rsidRPr="007E2443">
        <w:rPr>
          <w:rFonts w:ascii="Palatino Linotype" w:hAnsi="Palatino Linotype"/>
          <w:color w:val="D9D9D9" w:themeColor="background1" w:themeShade="D9"/>
          <w:lang w:val="en-GB"/>
        </w:rPr>
        <w:t xml:space="preserve">unctional analyses were performed with the BioConductor package </w:t>
      </w:r>
      <w:r w:rsidR="007E2443" w:rsidRPr="007E2443">
        <w:rPr>
          <w:rFonts w:ascii="Palatino Linotype" w:hAnsi="Palatino Linotype"/>
          <w:i/>
          <w:color w:val="D9D9D9" w:themeColor="background1" w:themeShade="D9"/>
          <w:lang w:val="en-GB"/>
        </w:rPr>
        <w:t xml:space="preserve">clusterProfiler </w:t>
      </w:r>
      <w:r w:rsidR="007E2443" w:rsidRPr="007E2443">
        <w:rPr>
          <w:rFonts w:ascii="Palatino Linotype" w:hAnsi="Palatino Linotype"/>
          <w:color w:val="D9D9D9" w:themeColor="background1" w:themeShade="D9"/>
          <w:lang w:val="en-GB"/>
        </w:rPr>
        <w:t xml:space="preserve">(https://pubmed.ncbi.nlm.nih.gov/34557778/) to identify enriched KEGG pathways and gene ontology (GO) terms. Redundant GO terms were removed from the analysis based on semantic similarity utilizing the simplify() function with the arguments cutoff = 0.7, by = “p.adjust” and select_fun = min of the </w:t>
      </w:r>
      <w:r w:rsidR="007E2443" w:rsidRPr="007E2443">
        <w:rPr>
          <w:rFonts w:ascii="Palatino Linotype" w:hAnsi="Palatino Linotype"/>
          <w:i/>
          <w:color w:val="D9D9D9" w:themeColor="background1" w:themeShade="D9"/>
          <w:lang w:val="en-GB"/>
        </w:rPr>
        <w:t>clusterProfiler</w:t>
      </w:r>
      <w:r w:rsidR="007E2443" w:rsidRPr="007E2443">
        <w:rPr>
          <w:rFonts w:ascii="Palatino Linotype" w:hAnsi="Palatino Linotype"/>
          <w:color w:val="D9D9D9" w:themeColor="background1" w:themeShade="D9"/>
          <w:lang w:val="en-GB"/>
        </w:rPr>
        <w:t xml:space="preserve"> package. Enriched pathways were depicted as dotplots containing the Top20 enriched pathways and complex gene-pathway interactions were </w:t>
      </w:r>
      <w:r w:rsidR="007E2443" w:rsidRPr="007E2443">
        <w:rPr>
          <w:rFonts w:ascii="Palatino Linotype" w:hAnsi="Palatino Linotype"/>
          <w:color w:val="D9D9D9" w:themeColor="background1" w:themeShade="D9"/>
          <w:lang w:val="en-GB"/>
        </w:rPr>
        <w:lastRenderedPageBreak/>
        <w:t xml:space="preserve">illustrated by the cnetplot() function to draw networks of genes (with color-coded log fold changes) and associated pathways. Either the Top5 enriched pathways were drawn as a network (to retain interpretability) or enriched pathways associated with melanocyte development or pigmentation were shown. </w:t>
      </w:r>
    </w:p>
    <w:p w14:paraId="0B282327" w14:textId="77777777" w:rsidR="007E2443" w:rsidRPr="006A7B7D" w:rsidRDefault="007E2443" w:rsidP="00E77B4D">
      <w:pPr>
        <w:jc w:val="both"/>
        <w:rPr>
          <w:rFonts w:ascii="Palatino Linotype" w:hAnsi="Palatino Linotype"/>
          <w:lang w:val="en-GB"/>
        </w:rPr>
      </w:pPr>
    </w:p>
    <w:p w14:paraId="36BDA41C" w14:textId="77777777" w:rsidR="005F5F36" w:rsidRDefault="005F5F36" w:rsidP="00E77B4D">
      <w:pPr>
        <w:jc w:val="both"/>
        <w:rPr>
          <w:lang w:val="en-GB"/>
        </w:rPr>
      </w:pPr>
    </w:p>
    <w:p w14:paraId="4D5FEE89" w14:textId="77777777" w:rsidR="005F5F36" w:rsidRDefault="005F5F36" w:rsidP="00E77B4D">
      <w:pPr>
        <w:jc w:val="both"/>
        <w:rPr>
          <w:lang w:val="en-GB"/>
        </w:rPr>
      </w:pPr>
    </w:p>
    <w:p w14:paraId="722B9791" w14:textId="73FDB361" w:rsidR="005F5F36" w:rsidRPr="00450D8F" w:rsidRDefault="005F5F36" w:rsidP="00E77B4D">
      <w:pPr>
        <w:jc w:val="both"/>
        <w:rPr>
          <w:lang w:val="en-GB"/>
        </w:rPr>
      </w:pPr>
    </w:p>
    <w:sectPr w:rsidR="005F5F36" w:rsidRPr="00450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8"/>
    <w:rsid w:val="000063F2"/>
    <w:rsid w:val="000419A1"/>
    <w:rsid w:val="000B287A"/>
    <w:rsid w:val="000C73B6"/>
    <w:rsid w:val="00111623"/>
    <w:rsid w:val="001402D5"/>
    <w:rsid w:val="00183610"/>
    <w:rsid w:val="001A1D00"/>
    <w:rsid w:val="0021333B"/>
    <w:rsid w:val="0022791E"/>
    <w:rsid w:val="00251AD1"/>
    <w:rsid w:val="00253605"/>
    <w:rsid w:val="002B4266"/>
    <w:rsid w:val="003200BE"/>
    <w:rsid w:val="00335295"/>
    <w:rsid w:val="00382672"/>
    <w:rsid w:val="0039113B"/>
    <w:rsid w:val="003B32D5"/>
    <w:rsid w:val="00403585"/>
    <w:rsid w:val="0043056D"/>
    <w:rsid w:val="00450D8F"/>
    <w:rsid w:val="00463224"/>
    <w:rsid w:val="00482AF9"/>
    <w:rsid w:val="004C6E30"/>
    <w:rsid w:val="004C7F17"/>
    <w:rsid w:val="004D2CF0"/>
    <w:rsid w:val="004E5DDA"/>
    <w:rsid w:val="00520E24"/>
    <w:rsid w:val="00583304"/>
    <w:rsid w:val="005B12F2"/>
    <w:rsid w:val="005B17BF"/>
    <w:rsid w:val="005D2042"/>
    <w:rsid w:val="005F5F36"/>
    <w:rsid w:val="00625D37"/>
    <w:rsid w:val="00630FA1"/>
    <w:rsid w:val="0063466C"/>
    <w:rsid w:val="00672257"/>
    <w:rsid w:val="006A4516"/>
    <w:rsid w:val="006A7B7D"/>
    <w:rsid w:val="00711635"/>
    <w:rsid w:val="00716C84"/>
    <w:rsid w:val="00720FC9"/>
    <w:rsid w:val="00722F45"/>
    <w:rsid w:val="00744AB8"/>
    <w:rsid w:val="007450CE"/>
    <w:rsid w:val="007E2443"/>
    <w:rsid w:val="0081018E"/>
    <w:rsid w:val="00830680"/>
    <w:rsid w:val="00854824"/>
    <w:rsid w:val="0086216F"/>
    <w:rsid w:val="00866396"/>
    <w:rsid w:val="00893B17"/>
    <w:rsid w:val="008B4252"/>
    <w:rsid w:val="008B43D8"/>
    <w:rsid w:val="008D007E"/>
    <w:rsid w:val="008E75E7"/>
    <w:rsid w:val="008F2B0D"/>
    <w:rsid w:val="00996169"/>
    <w:rsid w:val="009A2751"/>
    <w:rsid w:val="009C6E49"/>
    <w:rsid w:val="00A10D83"/>
    <w:rsid w:val="00A1157B"/>
    <w:rsid w:val="00A629F2"/>
    <w:rsid w:val="00AF2BE7"/>
    <w:rsid w:val="00B076F2"/>
    <w:rsid w:val="00B141F7"/>
    <w:rsid w:val="00B149FD"/>
    <w:rsid w:val="00B64BDD"/>
    <w:rsid w:val="00BF6850"/>
    <w:rsid w:val="00C623A6"/>
    <w:rsid w:val="00C6445A"/>
    <w:rsid w:val="00CB2358"/>
    <w:rsid w:val="00CB638F"/>
    <w:rsid w:val="00CE45B0"/>
    <w:rsid w:val="00CE4887"/>
    <w:rsid w:val="00D81E98"/>
    <w:rsid w:val="00D93DB8"/>
    <w:rsid w:val="00DC7DA7"/>
    <w:rsid w:val="00DD2219"/>
    <w:rsid w:val="00DE3DAB"/>
    <w:rsid w:val="00E11DA2"/>
    <w:rsid w:val="00E77B4D"/>
    <w:rsid w:val="00EB0B85"/>
    <w:rsid w:val="00EB6A0D"/>
    <w:rsid w:val="00EF49AF"/>
    <w:rsid w:val="00F35079"/>
    <w:rsid w:val="00FB6500"/>
    <w:rsid w:val="00FD731B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21D9"/>
  <w15:chartTrackingRefBased/>
  <w15:docId w15:val="{0E52A745-B656-4A73-91B3-C5537B6A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2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3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3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3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3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3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3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23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23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23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2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23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2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B6A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6A0D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26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26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genetics/articles/10.3389/fgene.2019.00858/full" TargetMode="External"/><Relationship Id="rId13" Type="http://schemas.openxmlformats.org/officeDocument/2006/relationships/hyperlink" Target="https://bioconductor.org/packages/release/bioc/html/rrvg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pathfindR/vignettes/intro_vignette.html" TargetMode="External"/><Relationship Id="rId12" Type="http://schemas.openxmlformats.org/officeDocument/2006/relationships/hyperlink" Target="https://genomebiology.biomedcentral.com/articles/10.1186/gb-2010-11-2-r1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oconductor.org/packages/release/data/annotation/html/org.Hs.eg.db.html" TargetMode="External"/><Relationship Id="rId11" Type="http://schemas.openxmlformats.org/officeDocument/2006/relationships/hyperlink" Target="https://journals.plos.org/ploscompbiol/article?id=10.1371/journal.pcbi.1009935" TargetMode="External"/><Relationship Id="rId5" Type="http://schemas.openxmlformats.org/officeDocument/2006/relationships/hyperlink" Target="https://pubmed.ncbi.nlm.nih.gov/3039517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ikipathways.org/download.html" TargetMode="External"/><Relationship Id="rId4" Type="http://schemas.openxmlformats.org/officeDocument/2006/relationships/hyperlink" Target="https://genomebiology.biomedcentral.com/articles/10.1186/s13059-014-0550-8" TargetMode="External"/><Relationship Id="rId9" Type="http://schemas.openxmlformats.org/officeDocument/2006/relationships/hyperlink" Target="https://www.bioconductor.org/packages/release/bioc/html/qusage.html" TargetMode="External"/><Relationship Id="rId14" Type="http://schemas.openxmlformats.org/officeDocument/2006/relationships/hyperlink" Target="https://pubmed.ncbi.nlm.nih.gov/3223242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83</cp:revision>
  <dcterms:created xsi:type="dcterms:W3CDTF">2024-04-08T07:09:00Z</dcterms:created>
  <dcterms:modified xsi:type="dcterms:W3CDTF">2024-06-17T11:10:00Z</dcterms:modified>
</cp:coreProperties>
</file>