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144" w:rsidRPr="004818E2" w:rsidRDefault="00474144">
      <w:r w:rsidRPr="004818E2">
        <w:t>Multi stage differenti</w:t>
      </w:r>
      <w:r w:rsidR="004818E2">
        <w:t xml:space="preserve">ation defines melanoma subtypes… </w:t>
      </w:r>
    </w:p>
    <w:p w:rsidR="00521645" w:rsidRDefault="00B30CE0">
      <w:pPr>
        <w:rPr>
          <w:lang w:val="de-DE"/>
        </w:rPr>
      </w:pPr>
      <w:proofErr w:type="spellStart"/>
      <w:r>
        <w:rPr>
          <w:lang w:val="de-DE"/>
        </w:rPr>
        <w:t>Figure</w:t>
      </w:r>
      <w:proofErr w:type="spellEnd"/>
      <w:r>
        <w:rPr>
          <w:lang w:val="de-DE"/>
        </w:rPr>
        <w:t xml:space="preserve"> 1</w:t>
      </w:r>
    </w:p>
    <w:p w:rsidR="00B30CE0" w:rsidRDefault="00B30CE0" w:rsidP="00B30CE0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Sequencing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53 </w:t>
      </w:r>
      <w:proofErr w:type="spellStart"/>
      <w:r>
        <w:rPr>
          <w:lang w:val="de-DE"/>
        </w:rPr>
        <w:t>melanoma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cell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lines</w:t>
      </w:r>
      <w:proofErr w:type="spellEnd"/>
    </w:p>
    <w:p w:rsidR="00B30CE0" w:rsidRPr="00B30CE0" w:rsidRDefault="00B30CE0" w:rsidP="00B30CE0">
      <w:pPr>
        <w:pStyle w:val="Listenabsatz"/>
        <w:numPr>
          <w:ilvl w:val="0"/>
          <w:numId w:val="1"/>
        </w:numPr>
      </w:pPr>
      <w:r w:rsidRPr="00B30CE0">
        <w:t>Clustering into 4 robust clusters with significantly different gene expression</w:t>
      </w:r>
      <w:r>
        <w:t xml:space="preserve"> (A </w:t>
      </w:r>
      <w:proofErr w:type="spellStart"/>
      <w:r>
        <w:t>und</w:t>
      </w:r>
      <w:proofErr w:type="spellEnd"/>
      <w:r>
        <w:t xml:space="preserve"> B)</w:t>
      </w:r>
    </w:p>
    <w:p w:rsidR="00B30CE0" w:rsidRDefault="00B30CE0" w:rsidP="00B30CE0">
      <w:pPr>
        <w:pStyle w:val="Listenabsatz"/>
        <w:numPr>
          <w:ilvl w:val="0"/>
          <w:numId w:val="1"/>
        </w:numPr>
      </w:pPr>
      <w:r>
        <w:t>Distinct clusters in PCA (C)</w:t>
      </w:r>
    </w:p>
    <w:p w:rsidR="00B30CE0" w:rsidRDefault="00B30CE0" w:rsidP="00B30CE0">
      <w:pPr>
        <w:pStyle w:val="Listenabsatz"/>
        <w:numPr>
          <w:ilvl w:val="0"/>
          <w:numId w:val="1"/>
        </w:numPr>
      </w:pPr>
      <w:r>
        <w:t xml:space="preserve">Comparison with a </w:t>
      </w:r>
      <w:proofErr w:type="spellStart"/>
      <w:r>
        <w:t>publicated</w:t>
      </w:r>
      <w:proofErr w:type="spellEnd"/>
      <w:r>
        <w:t xml:space="preserve"> set of an in vitro melanocyte differentiation model (Micah 2013) (D, </w:t>
      </w:r>
      <w:proofErr w:type="spellStart"/>
      <w:r>
        <w:t>oben</w:t>
      </w:r>
      <w:proofErr w:type="spellEnd"/>
      <w:r>
        <w:t>)</w:t>
      </w:r>
    </w:p>
    <w:p w:rsidR="00B30CE0" w:rsidRDefault="00B30CE0" w:rsidP="00B30CE0">
      <w:pPr>
        <w:pStyle w:val="Listenabsatz"/>
        <w:numPr>
          <w:ilvl w:val="0"/>
          <w:numId w:val="1"/>
        </w:numPr>
      </w:pPr>
      <w:r>
        <w:t xml:space="preserve">Projection of the identified clusters within the pre-defined space (D, </w:t>
      </w:r>
      <w:proofErr w:type="spellStart"/>
      <w:r>
        <w:t>unten</w:t>
      </w:r>
      <w:proofErr w:type="spellEnd"/>
      <w:r>
        <w:t xml:space="preserve">) </w:t>
      </w:r>
      <w:r>
        <w:sym w:font="Wingdings" w:char="F0E0"/>
      </w:r>
      <w:r>
        <w:t xml:space="preserve"> Clusters resemble different differentiation states</w:t>
      </w:r>
    </w:p>
    <w:p w:rsidR="00B30CE0" w:rsidRDefault="00B30CE0" w:rsidP="00B30CE0">
      <w:pPr>
        <w:pStyle w:val="Listenabsatz"/>
        <w:numPr>
          <w:ilvl w:val="0"/>
          <w:numId w:val="1"/>
        </w:numPr>
      </w:pPr>
      <w:r>
        <w:t>Clusters are associated with differentiation associated pathways (E)</w:t>
      </w:r>
    </w:p>
    <w:p w:rsidR="00B30CE0" w:rsidRDefault="00B30CE0" w:rsidP="00B30CE0">
      <w:pPr>
        <w:pStyle w:val="Listenabsatz"/>
        <w:numPr>
          <w:ilvl w:val="0"/>
          <w:numId w:val="1"/>
        </w:numPr>
      </w:pPr>
      <w:r>
        <w:t xml:space="preserve">Marker genes corroborate the identified clusters as 4 </w:t>
      </w:r>
      <w:proofErr w:type="spellStart"/>
      <w:r>
        <w:t>substages</w:t>
      </w:r>
      <w:proofErr w:type="spellEnd"/>
      <w:r>
        <w:t xml:space="preserve"> of melanoma (F) </w:t>
      </w:r>
    </w:p>
    <w:p w:rsidR="00B30CE0" w:rsidRDefault="00B30CE0" w:rsidP="00B30CE0">
      <w:pPr>
        <w:pStyle w:val="Listenabsatz"/>
        <w:numPr>
          <w:ilvl w:val="0"/>
          <w:numId w:val="1"/>
        </w:numPr>
      </w:pPr>
      <w:r>
        <w:t xml:space="preserve">Enrichment of MITF target genes in melanocytic vs transitory phenotype (G) </w:t>
      </w:r>
    </w:p>
    <w:p w:rsidR="00B30CE0" w:rsidRDefault="00B30CE0" w:rsidP="00B30CE0"/>
    <w:p w:rsidR="00B30CE0" w:rsidRDefault="00B30CE0" w:rsidP="00B30CE0"/>
    <w:p w:rsidR="00B30CE0" w:rsidRDefault="00B30CE0" w:rsidP="00B30CE0">
      <w:r>
        <w:t>Figure 2</w:t>
      </w:r>
    </w:p>
    <w:p w:rsidR="00B30CE0" w:rsidRDefault="00B30CE0" w:rsidP="00B30CE0">
      <w:pPr>
        <w:pStyle w:val="Listenabsatz"/>
        <w:numPr>
          <w:ilvl w:val="0"/>
          <w:numId w:val="1"/>
        </w:numPr>
      </w:pPr>
      <w:r>
        <w:t>Melanoma cell lines in their parent stage (P) and resistant stage (R) are shown. 2 different resistance mechanisms are shown</w:t>
      </w:r>
    </w:p>
    <w:p w:rsidR="00B30CE0" w:rsidRDefault="00B30CE0" w:rsidP="00B30CE0">
      <w:pPr>
        <w:pStyle w:val="Listenabsatz"/>
        <w:numPr>
          <w:ilvl w:val="0"/>
          <w:numId w:val="1"/>
        </w:numPr>
      </w:pPr>
      <w:r>
        <w:t xml:space="preserve">Resistance is defined as resistance to </w:t>
      </w:r>
      <w:proofErr w:type="spellStart"/>
      <w:r>
        <w:t>vemurafenib</w:t>
      </w:r>
      <w:proofErr w:type="spellEnd"/>
    </w:p>
    <w:p w:rsidR="00B30CE0" w:rsidRDefault="00B30CE0" w:rsidP="00B30CE0">
      <w:pPr>
        <w:pStyle w:val="Listenabsatz"/>
        <w:numPr>
          <w:ilvl w:val="1"/>
          <w:numId w:val="1"/>
        </w:numPr>
      </w:pPr>
      <w:r>
        <w:t xml:space="preserve">RTK upregulation </w:t>
      </w:r>
    </w:p>
    <w:p w:rsidR="00B30CE0" w:rsidRDefault="00B30CE0" w:rsidP="00B30CE0">
      <w:pPr>
        <w:pStyle w:val="Listenabsatz"/>
        <w:numPr>
          <w:ilvl w:val="1"/>
          <w:numId w:val="1"/>
        </w:numPr>
      </w:pPr>
      <w:r>
        <w:t>MAPK reactivation</w:t>
      </w:r>
    </w:p>
    <w:p w:rsidR="00B30CE0" w:rsidRDefault="00B30CE0" w:rsidP="00B30CE0">
      <w:pPr>
        <w:pStyle w:val="Listenabsatz"/>
        <w:numPr>
          <w:ilvl w:val="0"/>
          <w:numId w:val="1"/>
        </w:numPr>
      </w:pPr>
      <w:r>
        <w:t>Cell lines with an RTK upregulation resistance mechanism to BRAF/MEK inhibitor treatment show a dedifferentiation correlated with resistance</w:t>
      </w:r>
    </w:p>
    <w:p w:rsidR="00813625" w:rsidRDefault="00B30CE0" w:rsidP="00813625">
      <w:pPr>
        <w:pStyle w:val="Listenabsatz"/>
        <w:numPr>
          <w:ilvl w:val="0"/>
          <w:numId w:val="1"/>
        </w:numPr>
      </w:pPr>
      <w:r>
        <w:t>Cell lines with a MAPK reactivation do not show this dedifferentiation</w:t>
      </w:r>
      <w:r w:rsidR="00813625">
        <w:t xml:space="preserve"> (A)</w:t>
      </w:r>
    </w:p>
    <w:p w:rsidR="00813625" w:rsidRDefault="00813625" w:rsidP="00813625">
      <w:pPr>
        <w:pStyle w:val="Listenabsatz"/>
        <w:numPr>
          <w:ilvl w:val="0"/>
          <w:numId w:val="1"/>
        </w:numPr>
      </w:pPr>
      <w:r>
        <w:t xml:space="preserve">Treatment with </w:t>
      </w:r>
      <w:proofErr w:type="spellStart"/>
      <w:r>
        <w:t>vemurafenib</w:t>
      </w:r>
      <w:proofErr w:type="spellEnd"/>
      <w:r>
        <w:t xml:space="preserve"> lead to stepwise dedifferentiation in both types of cells (RTK up and MAPK reactivation)</w:t>
      </w:r>
      <w:r w:rsidR="00806908">
        <w:t xml:space="preserve"> (B)</w:t>
      </w:r>
    </w:p>
    <w:p w:rsidR="00813625" w:rsidRDefault="00813625" w:rsidP="00813625">
      <w:pPr>
        <w:pStyle w:val="Listenabsatz"/>
        <w:numPr>
          <w:ilvl w:val="1"/>
          <w:numId w:val="1"/>
        </w:numPr>
      </w:pPr>
      <w:r>
        <w:t xml:space="preserve"> A transient dedifferentiation might also be present which is later lost in M397 </w:t>
      </w:r>
    </w:p>
    <w:p w:rsidR="00813625" w:rsidRDefault="00813625" w:rsidP="00813625">
      <w:pPr>
        <w:pStyle w:val="Listenabsatz"/>
        <w:numPr>
          <w:ilvl w:val="1"/>
          <w:numId w:val="1"/>
        </w:numPr>
      </w:pPr>
      <w:r>
        <w:t>The stable dedifferentiation state is associated with a loss of SOX10 by epigenetic mechanisms (Shaffer et al 2017</w:t>
      </w:r>
      <w:proofErr w:type="gramStart"/>
      <w:r>
        <w:t xml:space="preserve">)  </w:t>
      </w:r>
      <w:r w:rsidR="00806908">
        <w:t>(</w:t>
      </w:r>
      <w:proofErr w:type="gramEnd"/>
      <w:r w:rsidR="00806908">
        <w:t>B)</w:t>
      </w:r>
    </w:p>
    <w:p w:rsidR="00806908" w:rsidRDefault="00806908" w:rsidP="00806908">
      <w:pPr>
        <w:pStyle w:val="Listenabsatz"/>
        <w:numPr>
          <w:ilvl w:val="0"/>
          <w:numId w:val="1"/>
        </w:numPr>
      </w:pPr>
      <w:r>
        <w:t xml:space="preserve">C: time after </w:t>
      </w:r>
      <w:proofErr w:type="spellStart"/>
      <w:r>
        <w:t>Vemurafenib</w:t>
      </w:r>
      <w:proofErr w:type="spellEnd"/>
      <w:r>
        <w:t xml:space="preserve"> treatment and associated dedifferentiation</w:t>
      </w:r>
    </w:p>
    <w:p w:rsidR="00806908" w:rsidRDefault="00806908" w:rsidP="00806908">
      <w:pPr>
        <w:pStyle w:val="Listenabsatz"/>
        <w:numPr>
          <w:ilvl w:val="0"/>
          <w:numId w:val="1"/>
        </w:numPr>
      </w:pPr>
      <w:r>
        <w:t>Supplementary material: the dedifferentiation process was confirmed in patients during treatment and upon progression</w:t>
      </w:r>
    </w:p>
    <w:p w:rsidR="008A76FF" w:rsidRDefault="008A76FF" w:rsidP="00806908">
      <w:pPr>
        <w:pStyle w:val="Listenabsatz"/>
        <w:numPr>
          <w:ilvl w:val="0"/>
          <w:numId w:val="1"/>
        </w:numPr>
      </w:pPr>
      <w:r>
        <w:t>The same pattern of dedifferentiation is shown for IO treatment (which has been demonstrated before due to loss of immunogenic antigens during dedifferentiation) (D)</w:t>
      </w:r>
    </w:p>
    <w:p w:rsidR="003577EC" w:rsidRDefault="003577EC" w:rsidP="003577EC"/>
    <w:p w:rsidR="003577EC" w:rsidRDefault="003577EC" w:rsidP="003577EC">
      <w:pPr>
        <w:rPr>
          <w:lang w:val="de-DE"/>
        </w:rPr>
      </w:pPr>
      <w:r w:rsidRPr="003577EC">
        <w:rPr>
          <w:lang w:val="de-DE"/>
        </w:rPr>
        <w:t xml:space="preserve">Im </w:t>
      </w:r>
      <w:proofErr w:type="gramStart"/>
      <w:r w:rsidRPr="003577EC">
        <w:rPr>
          <w:lang w:val="de-DE"/>
        </w:rPr>
        <w:t>weiteren</w:t>
      </w:r>
      <w:proofErr w:type="gramEnd"/>
      <w:r w:rsidRPr="003577EC">
        <w:rPr>
          <w:lang w:val="de-DE"/>
        </w:rPr>
        <w:t xml:space="preserve"> wurden die Daten noch durch</w:t>
      </w:r>
      <w:bookmarkStart w:id="0" w:name="_GoBack"/>
      <w:bookmarkEnd w:id="0"/>
      <w:r w:rsidRPr="003577EC">
        <w:rPr>
          <w:lang w:val="de-DE"/>
        </w:rPr>
        <w:t xml:space="preserve"> TCGA Proben und </w:t>
      </w:r>
      <w:proofErr w:type="spellStart"/>
      <w:r>
        <w:rPr>
          <w:lang w:val="de-DE"/>
        </w:rPr>
        <w:t>Machine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learning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classification</w:t>
      </w:r>
      <w:proofErr w:type="spellEnd"/>
      <w:r>
        <w:rPr>
          <w:lang w:val="de-DE"/>
        </w:rPr>
        <w:t xml:space="preserve"> untermauert, sodass die </w:t>
      </w:r>
      <w:proofErr w:type="spellStart"/>
      <w:r>
        <w:rPr>
          <w:lang w:val="de-DE"/>
        </w:rPr>
        <w:t>Subtypes</w:t>
      </w:r>
      <w:proofErr w:type="spellEnd"/>
      <w:r>
        <w:rPr>
          <w:lang w:val="de-DE"/>
        </w:rPr>
        <w:t xml:space="preserve"> als sehr robust angenommen werden können.</w:t>
      </w:r>
    </w:p>
    <w:p w:rsidR="004D6E0B" w:rsidRDefault="004D6E0B" w:rsidP="003577EC">
      <w:pPr>
        <w:rPr>
          <w:lang w:val="de-DE"/>
        </w:rPr>
      </w:pPr>
      <w:r>
        <w:rPr>
          <w:lang w:val="de-DE"/>
        </w:rPr>
        <w:t xml:space="preserve">Außerdem wurden </w:t>
      </w:r>
      <w:proofErr w:type="spellStart"/>
      <w:r>
        <w:rPr>
          <w:lang w:val="de-DE"/>
        </w:rPr>
        <w:t>Methylierungschanges</w:t>
      </w:r>
      <w:proofErr w:type="spellEnd"/>
      <w:r>
        <w:rPr>
          <w:lang w:val="de-DE"/>
        </w:rPr>
        <w:t xml:space="preserve"> angeschaut, die als mitursächlich für die </w:t>
      </w:r>
      <w:proofErr w:type="spellStart"/>
      <w:r>
        <w:rPr>
          <w:lang w:val="de-DE"/>
        </w:rPr>
        <w:t>Transkriptionschanges</w:t>
      </w:r>
      <w:proofErr w:type="spellEnd"/>
      <w:r>
        <w:rPr>
          <w:lang w:val="de-DE"/>
        </w:rPr>
        <w:t xml:space="preserve"> im Prozess der </w:t>
      </w:r>
      <w:proofErr w:type="spellStart"/>
      <w:r>
        <w:rPr>
          <w:lang w:val="de-DE"/>
        </w:rPr>
        <w:t>Dedifferenzierung</w:t>
      </w:r>
      <w:proofErr w:type="spellEnd"/>
      <w:r>
        <w:rPr>
          <w:lang w:val="de-DE"/>
        </w:rPr>
        <w:t xml:space="preserve"> identifiziert wurden. </w:t>
      </w:r>
    </w:p>
    <w:p w:rsidR="004D6E0B" w:rsidRPr="003577EC" w:rsidRDefault="004D6E0B" w:rsidP="003577EC">
      <w:pPr>
        <w:rPr>
          <w:lang w:val="de-DE"/>
        </w:rPr>
      </w:pPr>
      <w:r>
        <w:rPr>
          <w:lang w:val="de-DE"/>
        </w:rPr>
        <w:t xml:space="preserve">Am Ende gibt es noch einen Treatment-Vorschlag mit </w:t>
      </w:r>
      <w:proofErr w:type="spellStart"/>
      <w:r>
        <w:rPr>
          <w:lang w:val="de-DE"/>
        </w:rPr>
        <w:t>Ferroptose</w:t>
      </w:r>
      <w:proofErr w:type="spellEnd"/>
      <w:r>
        <w:rPr>
          <w:lang w:val="de-DE"/>
        </w:rPr>
        <w:t xml:space="preserve">-Induktion, da </w:t>
      </w:r>
      <w:proofErr w:type="spellStart"/>
      <w:r>
        <w:rPr>
          <w:lang w:val="de-DE"/>
        </w:rPr>
        <w:t>dedifferenzierte</w:t>
      </w:r>
      <w:proofErr w:type="spellEnd"/>
      <w:r>
        <w:rPr>
          <w:lang w:val="de-DE"/>
        </w:rPr>
        <w:t xml:space="preserve"> Zellen anfälliger dafür sind</w:t>
      </w:r>
      <w:r w:rsidR="00CF16B9">
        <w:rPr>
          <w:lang w:val="de-DE"/>
        </w:rPr>
        <w:t xml:space="preserve">. </w:t>
      </w:r>
    </w:p>
    <w:sectPr w:rsidR="004D6E0B" w:rsidRPr="003577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A1C7B"/>
    <w:multiLevelType w:val="hybridMultilevel"/>
    <w:tmpl w:val="FEC0A3A8"/>
    <w:lvl w:ilvl="0" w:tplc="FEC21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65F"/>
    <w:rsid w:val="000A6C63"/>
    <w:rsid w:val="003577EC"/>
    <w:rsid w:val="0046765F"/>
    <w:rsid w:val="00474144"/>
    <w:rsid w:val="004818E2"/>
    <w:rsid w:val="004D6E0B"/>
    <w:rsid w:val="007F6A57"/>
    <w:rsid w:val="00806908"/>
    <w:rsid w:val="00813625"/>
    <w:rsid w:val="008A76FF"/>
    <w:rsid w:val="00B27096"/>
    <w:rsid w:val="00B30CE0"/>
    <w:rsid w:val="00CF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22A1"/>
  <w15:chartTrackingRefBased/>
  <w15:docId w15:val="{E5D405D6-45A6-4500-B1A8-DD711950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0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Elbe Kliniken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Zellbiologie</dc:creator>
  <cp:keywords/>
  <dc:description/>
  <cp:lastModifiedBy>Zellbiologie</cp:lastModifiedBy>
  <cp:revision>11</cp:revision>
  <dcterms:created xsi:type="dcterms:W3CDTF">2025-01-10T12:50:00Z</dcterms:created>
  <dcterms:modified xsi:type="dcterms:W3CDTF">2025-01-10T13:26:00Z</dcterms:modified>
</cp:coreProperties>
</file>