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Group: Delta</w:t>
      </w:r>
    </w:p>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Names:</w:t>
      </w:r>
    </w:p>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Blake, Milo</w:t>
      </w:r>
    </w:p>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Fox, Shane</w:t>
      </w:r>
    </w:p>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r>
      <w:proofErr w:type="spellStart"/>
      <w:r w:rsidRPr="004A3468">
        <w:rPr>
          <w:rFonts w:asciiTheme="minorHAnsi" w:hAnsiTheme="minorHAnsi" w:cstheme="minorHAnsi"/>
          <w:sz w:val="22"/>
          <w:szCs w:val="22"/>
        </w:rPr>
        <w:t>Mastromonaco</w:t>
      </w:r>
      <w:proofErr w:type="spellEnd"/>
      <w:r w:rsidRPr="004A3468">
        <w:rPr>
          <w:rFonts w:asciiTheme="minorHAnsi" w:hAnsiTheme="minorHAnsi" w:cstheme="minorHAnsi"/>
          <w:sz w:val="22"/>
          <w:szCs w:val="22"/>
        </w:rPr>
        <w:t>, Caleb</w:t>
      </w:r>
    </w:p>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Schaefer, Andrew</w:t>
      </w:r>
    </w:p>
    <w:p w:rsidR="004A3468" w:rsidRPr="004A3468" w:rsidRDefault="004A3468" w:rsidP="004A3468">
      <w:pPr>
        <w:spacing w:line="100" w:lineRule="atLeast"/>
        <w:rPr>
          <w:rFonts w:asciiTheme="minorHAnsi" w:hAnsiTheme="minorHAnsi" w:cstheme="minorHAnsi"/>
          <w:sz w:val="22"/>
          <w:szCs w:val="22"/>
        </w:rPr>
      </w:pPr>
      <w:r w:rsidRPr="004A3468">
        <w:rPr>
          <w:rFonts w:asciiTheme="minorHAnsi" w:hAnsiTheme="minorHAnsi" w:cstheme="minorHAnsi"/>
          <w:sz w:val="22"/>
          <w:szCs w:val="22"/>
        </w:rPr>
        <w:tab/>
        <w:t>Thomas, Jennifer</w:t>
      </w:r>
    </w:p>
    <w:p w:rsidR="007B54BC" w:rsidRPr="004A3468" w:rsidRDefault="004A3468">
      <w:pPr>
        <w:rPr>
          <w:rFonts w:asciiTheme="minorHAnsi" w:hAnsiTheme="minorHAnsi" w:cstheme="minorHAnsi"/>
          <w:sz w:val="22"/>
          <w:szCs w:val="22"/>
        </w:rPr>
      </w:pPr>
      <w:r w:rsidRPr="004A3468">
        <w:rPr>
          <w:rFonts w:asciiTheme="minorHAnsi" w:hAnsiTheme="minorHAnsi" w:cstheme="minorHAnsi"/>
          <w:sz w:val="22"/>
          <w:szCs w:val="22"/>
        </w:rPr>
        <w:t>Milestone #3</w:t>
      </w:r>
    </w:p>
    <w:p w:rsidR="004A3468" w:rsidRPr="004A3468"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4A3468">
        <w:rPr>
          <w:rFonts w:asciiTheme="minorHAnsi" w:hAnsiTheme="minorHAnsi" w:cstheme="minorHAnsi"/>
          <w:color w:val="000000"/>
          <w:sz w:val="22"/>
          <w:szCs w:val="22"/>
        </w:rPr>
        <w:t>Report descriptions:</w:t>
      </w:r>
    </w:p>
    <w:p w:rsidR="004A3468" w:rsidRPr="007867B5"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Report #1:</w:t>
      </w:r>
    </w:p>
    <w:p w:rsidR="004A3468" w:rsidRPr="007867B5" w:rsidRDefault="004A3468" w:rsidP="004A3468">
      <w:pPr>
        <w:pStyle w:val="NormalWeb"/>
        <w:shd w:val="clear" w:color="auto" w:fill="FFFFFF"/>
        <w:spacing w:before="0" w:beforeAutospacing="0" w:after="0" w:afterAutospacing="0" w:line="235" w:lineRule="atLeast"/>
        <w:rPr>
          <w:rFonts w:asciiTheme="minorHAnsi" w:hAnsiTheme="minorHAnsi" w:cstheme="minorHAnsi"/>
          <w:color w:val="000000"/>
          <w:sz w:val="22"/>
          <w:szCs w:val="22"/>
        </w:rPr>
      </w:pPr>
      <w:bookmarkStart w:id="0" w:name="_Hlk77171327"/>
      <w:bookmarkEnd w:id="0"/>
      <w:r w:rsidRPr="007867B5">
        <w:rPr>
          <w:rFonts w:asciiTheme="minorHAnsi" w:hAnsiTheme="minorHAnsi" w:cstheme="minorHAnsi"/>
          <w:color w:val="000000"/>
          <w:sz w:val="22"/>
          <w:szCs w:val="22"/>
        </w:rPr>
        <w:t>Like most businesses, Bacchus Winery needs to have reliable suppliers so they can have the equipment needed to help their winery flourish. Therefore, keeping a month-by-month account of just how reliable Bacchus’ suppliers are is a must and the first report allows Bacchus Winery to do just that by analyzing the on-time performance of their suppliers. This report includes a supply’s supplier ID, the corresponding supplier’s name, as well the expected and actual delivery times of each supply so Bacchus Winery can assess if there are any suppliers that might be falling behind the others.</w:t>
      </w:r>
    </w:p>
    <w:p w:rsidR="004A3468" w:rsidRPr="007867B5"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Report #2:</w:t>
      </w:r>
    </w:p>
    <w:p w:rsidR="004A3468" w:rsidRPr="007867B5" w:rsidRDefault="004A3468" w:rsidP="004A3468">
      <w:pPr>
        <w:pStyle w:val="NormalWeb"/>
        <w:shd w:val="clear" w:color="auto" w:fill="FFFFFF"/>
        <w:spacing w:before="0" w:beforeAutospacing="0" w:after="0" w:afterAutospacing="0" w:line="235" w:lineRule="atLeast"/>
        <w:rPr>
          <w:rFonts w:asciiTheme="minorHAnsi" w:hAnsiTheme="minorHAnsi" w:cstheme="minorHAnsi"/>
          <w:color w:val="000000"/>
          <w:sz w:val="22"/>
          <w:szCs w:val="22"/>
        </w:rPr>
      </w:pPr>
      <w:bookmarkStart w:id="1" w:name="_Hlk77171343"/>
      <w:bookmarkEnd w:id="1"/>
      <w:r w:rsidRPr="007867B5">
        <w:rPr>
          <w:rFonts w:asciiTheme="minorHAnsi" w:hAnsiTheme="minorHAnsi" w:cstheme="minorHAnsi"/>
          <w:color w:val="000000"/>
          <w:sz w:val="22"/>
          <w:szCs w:val="22"/>
        </w:rPr>
        <w:t>Among many other things, Bacchus Winery must keep an eye on their inventory to be sure all the products they offer are selling to their full potential. This is where our second report comes in, which provides an easy-to-understand summary of a wine’s name and type, the number of bottles sold, as well as each wine’s distributor’s ID and name. This report will help Bacchus Winery to keep real-time tabs on how well each wine is selling compared to the others which will provide information crucial for making business decisions.</w:t>
      </w:r>
    </w:p>
    <w:p w:rsidR="004A3468" w:rsidRPr="007867B5" w:rsidRDefault="004A3468" w:rsidP="004A3468">
      <w:pPr>
        <w:pStyle w:val="NormalWeb"/>
        <w:shd w:val="clear" w:color="auto" w:fill="FFFFFF"/>
        <w:spacing w:before="0" w:beforeAutospacing="0" w:after="160" w:afterAutospacing="0" w:line="235" w:lineRule="atLeast"/>
        <w:rPr>
          <w:rFonts w:asciiTheme="minorHAnsi" w:hAnsiTheme="minorHAnsi" w:cstheme="minorHAnsi"/>
          <w:color w:val="000000"/>
          <w:sz w:val="22"/>
          <w:szCs w:val="22"/>
        </w:rPr>
      </w:pPr>
      <w:r w:rsidRPr="007867B5">
        <w:rPr>
          <w:rFonts w:asciiTheme="minorHAnsi" w:hAnsiTheme="minorHAnsi" w:cstheme="minorHAnsi"/>
          <w:color w:val="000000"/>
          <w:sz w:val="22"/>
          <w:szCs w:val="22"/>
        </w:rPr>
        <w:t>Report #3:</w:t>
      </w:r>
    </w:p>
    <w:p w:rsidR="007867B5" w:rsidRPr="007867B5" w:rsidRDefault="004A3468" w:rsidP="004A3468">
      <w:pPr>
        <w:pStyle w:val="NormalWeb"/>
        <w:shd w:val="clear" w:color="auto" w:fill="FFFFFF"/>
        <w:spacing w:before="0" w:beforeAutospacing="0" w:after="0" w:afterAutospacing="0" w:line="235" w:lineRule="atLeast"/>
        <w:rPr>
          <w:rFonts w:asciiTheme="minorHAnsi" w:hAnsiTheme="minorHAnsi" w:cstheme="minorHAnsi"/>
          <w:noProof/>
          <w:sz w:val="22"/>
          <w:szCs w:val="22"/>
        </w:rPr>
      </w:pPr>
      <w:bookmarkStart w:id="2" w:name="_Hlk77171367"/>
      <w:bookmarkEnd w:id="2"/>
      <w:r w:rsidRPr="007867B5">
        <w:rPr>
          <w:rFonts w:asciiTheme="minorHAnsi" w:hAnsiTheme="minorHAnsi" w:cstheme="minorHAnsi"/>
          <w:color w:val="000000"/>
          <w:sz w:val="22"/>
          <w:szCs w:val="22"/>
        </w:rPr>
        <w:t xml:space="preserve">Although an organization can get nowhere without its employees, they do represent a business cost that must be assessed to remain competitive. Therefore, the third report focuses solely on Bacchus Winery’s many employees and the hours worked by each employee. This report includes an employee’s ID, name, and the hours worked per yearly quarter, providing vital information to assist in determining the </w:t>
      </w:r>
      <w:r w:rsidR="007867B5" w:rsidRPr="007867B5">
        <w:rPr>
          <w:rFonts w:asciiTheme="minorHAnsi" w:hAnsiTheme="minorHAnsi" w:cstheme="minorHAnsi"/>
          <w:color w:val="000000"/>
          <w:sz w:val="22"/>
          <w:szCs w:val="22"/>
        </w:rPr>
        <w:t>w</w:t>
      </w:r>
      <w:r w:rsidRPr="007867B5">
        <w:rPr>
          <w:rFonts w:asciiTheme="minorHAnsi" w:hAnsiTheme="minorHAnsi" w:cstheme="minorHAnsi"/>
          <w:color w:val="000000"/>
          <w:sz w:val="22"/>
          <w:szCs w:val="22"/>
        </w:rPr>
        <w:t>inery’s payroll costs.</w:t>
      </w:r>
      <w:r w:rsidR="00FB7C8E" w:rsidRPr="007867B5">
        <w:rPr>
          <w:rFonts w:asciiTheme="minorHAnsi" w:hAnsiTheme="minorHAnsi" w:cstheme="minorHAnsi"/>
          <w:noProof/>
          <w:sz w:val="22"/>
          <w:szCs w:val="22"/>
        </w:rPr>
        <w:t xml:space="preserve"> </w:t>
      </w:r>
      <w:bookmarkStart w:id="3" w:name="_GoBack"/>
      <w:bookmarkEnd w:id="3"/>
    </w:p>
    <w:p w:rsidR="004A3468" w:rsidRPr="004A3468" w:rsidRDefault="00FB7C8E" w:rsidP="004A3468">
      <w:pPr>
        <w:pStyle w:val="NormalWeb"/>
        <w:shd w:val="clear" w:color="auto" w:fill="FFFFFF"/>
        <w:spacing w:before="0" w:beforeAutospacing="0" w:after="0" w:afterAutospacing="0" w:line="235" w:lineRule="atLeast"/>
        <w:rPr>
          <w:rFonts w:asciiTheme="minorHAnsi" w:hAnsiTheme="minorHAnsi" w:cstheme="minorHAnsi"/>
          <w:color w:val="000000"/>
          <w:sz w:val="22"/>
          <w:szCs w:val="22"/>
        </w:rPr>
      </w:pPr>
      <w:r>
        <w:rPr>
          <w:rFonts w:asciiTheme="minorHAnsi" w:hAnsiTheme="minorHAnsi" w:cstheme="minorHAnsi"/>
          <w:noProof/>
          <w:sz w:val="22"/>
          <w:szCs w:val="22"/>
        </w:rPr>
        <w:lastRenderedPageBreak/>
        <w:drawing>
          <wp:inline distT="0" distB="0" distL="0" distR="0" wp14:anchorId="27BEC832" wp14:editId="5D12E62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3468" w:rsidRDefault="006C075E">
      <w:pPr>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14:anchorId="5ACDE7D9" wp14:editId="284455F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heme="minorHAnsi" w:hAnsiTheme="minorHAnsi" w:cstheme="minorHAnsi"/>
          <w:noProof/>
          <w:sz w:val="22"/>
          <w:szCs w:val="22"/>
          <w:lang w:eastAsia="en-US" w:bidi="ar-SA"/>
        </w:rPr>
        <w:lastRenderedPageBreak/>
        <w:drawing>
          <wp:inline distT="0" distB="0" distL="0" distR="0" wp14:anchorId="6151BF33" wp14:editId="1820FEAB">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C075E" w:rsidRDefault="006C075E">
      <w:pPr>
        <w:rPr>
          <w:rFonts w:asciiTheme="minorHAnsi" w:hAnsiTheme="minorHAnsi" w:cstheme="minorHAnsi"/>
          <w:noProof/>
          <w:sz w:val="22"/>
          <w:szCs w:val="22"/>
          <w:lang w:eastAsia="en-US" w:bidi="ar-SA"/>
        </w:rPr>
      </w:pPr>
    </w:p>
    <w:p w:rsidR="006C075E" w:rsidRDefault="006C075E">
      <w:pPr>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14:anchorId="1600362D" wp14:editId="212B0F1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C075E" w:rsidRPr="004A3468" w:rsidRDefault="006C075E">
      <w:pPr>
        <w:rPr>
          <w:rFonts w:asciiTheme="minorHAnsi" w:hAnsiTheme="minorHAnsi" w:cstheme="minorHAnsi"/>
          <w:sz w:val="22"/>
          <w:szCs w:val="22"/>
        </w:rPr>
      </w:pPr>
      <w:r>
        <w:rPr>
          <w:rFonts w:asciiTheme="minorHAnsi" w:hAnsiTheme="minorHAnsi" w:cstheme="minorHAnsi"/>
          <w:noProof/>
          <w:sz w:val="22"/>
          <w:szCs w:val="22"/>
          <w:lang w:eastAsia="en-US" w:bidi="ar-SA"/>
        </w:rPr>
        <w:lastRenderedPageBreak/>
        <w:drawing>
          <wp:inline distT="0" distB="0" distL="0" distR="0" wp14:anchorId="3243F25B" wp14:editId="73B5624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6C075E" w:rsidRPr="004A346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468" w:rsidRDefault="004A3468" w:rsidP="004A3468">
      <w:r>
        <w:separator/>
      </w:r>
    </w:p>
  </w:endnote>
  <w:endnote w:type="continuationSeparator" w:id="0">
    <w:p w:rsidR="004A3468" w:rsidRDefault="004A3468" w:rsidP="004A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75E" w:rsidRDefault="006C0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75E" w:rsidRDefault="006C07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75E" w:rsidRDefault="006C0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468" w:rsidRDefault="004A3468" w:rsidP="004A3468">
      <w:r>
        <w:separator/>
      </w:r>
    </w:p>
  </w:footnote>
  <w:footnote w:type="continuationSeparator" w:id="0">
    <w:p w:rsidR="004A3468" w:rsidRDefault="004A3468" w:rsidP="004A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75E" w:rsidRDefault="006C0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468" w:rsidRDefault="004A34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075E" w:rsidRDefault="006C07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68"/>
    <w:rsid w:val="004A3468"/>
    <w:rsid w:val="006C075E"/>
    <w:rsid w:val="006C4A9B"/>
    <w:rsid w:val="007867B5"/>
    <w:rsid w:val="007B54BC"/>
    <w:rsid w:val="00D25E4E"/>
    <w:rsid w:val="00FB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1FFF2"/>
  <w15:chartTrackingRefBased/>
  <w15:docId w15:val="{C864BC4A-61D4-4CF1-9B5D-322CDF33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468"/>
    <w:pPr>
      <w:widowControl w:val="0"/>
      <w:suppressAutoHyphens/>
      <w:spacing w:after="0" w:line="240" w:lineRule="auto"/>
    </w:pPr>
    <w:rPr>
      <w:rFonts w:ascii="Times New Roman" w:eastAsia="SimSun" w:hAnsi="Times New Roman" w:cs="Ari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468"/>
    <w:pPr>
      <w:tabs>
        <w:tab w:val="center" w:pos="4680"/>
        <w:tab w:val="right" w:pos="9360"/>
      </w:tabs>
    </w:pPr>
  </w:style>
  <w:style w:type="character" w:customStyle="1" w:styleId="HeaderChar">
    <w:name w:val="Header Char"/>
    <w:basedOn w:val="DefaultParagraphFont"/>
    <w:link w:val="Header"/>
    <w:uiPriority w:val="99"/>
    <w:rsid w:val="004A3468"/>
  </w:style>
  <w:style w:type="paragraph" w:styleId="Footer">
    <w:name w:val="footer"/>
    <w:basedOn w:val="Normal"/>
    <w:link w:val="FooterChar"/>
    <w:uiPriority w:val="99"/>
    <w:unhideWhenUsed/>
    <w:rsid w:val="004A3468"/>
    <w:pPr>
      <w:tabs>
        <w:tab w:val="center" w:pos="4680"/>
        <w:tab w:val="right" w:pos="9360"/>
      </w:tabs>
    </w:pPr>
  </w:style>
  <w:style w:type="character" w:customStyle="1" w:styleId="FooterChar">
    <w:name w:val="Footer Char"/>
    <w:basedOn w:val="DefaultParagraphFont"/>
    <w:link w:val="Footer"/>
    <w:uiPriority w:val="99"/>
    <w:rsid w:val="004A3468"/>
  </w:style>
  <w:style w:type="paragraph" w:styleId="NormalWeb">
    <w:name w:val="Normal (Web)"/>
    <w:basedOn w:val="Normal"/>
    <w:uiPriority w:val="99"/>
    <w:semiHidden/>
    <w:unhideWhenUsed/>
    <w:rsid w:val="004A3468"/>
    <w:pPr>
      <w:widowControl/>
      <w:suppressAutoHyphens w:val="0"/>
      <w:spacing w:before="100" w:beforeAutospacing="1" w:after="100" w:afterAutospacing="1"/>
    </w:pPr>
    <w:rPr>
      <w:rFonts w:eastAsia="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14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Mettler Toledo International Inc.</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Shane PIUS-MO</dc:creator>
  <cp:keywords/>
  <dc:description/>
  <cp:lastModifiedBy>Fox Shane PIUS-MO</cp:lastModifiedBy>
  <cp:revision>2</cp:revision>
  <dcterms:created xsi:type="dcterms:W3CDTF">2021-07-16T03:33:00Z</dcterms:created>
  <dcterms:modified xsi:type="dcterms:W3CDTF">2021-07-16T03:33:00Z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615ef3-aa90-4fa2-9d66-c4f70f9fc413_Enabled">
    <vt:lpwstr>true</vt:lpwstr>
  </property>
  <property fmtid="{D5CDD505-2E9C-101B-9397-08002B2CF9AE}" pid="3" name="MSIP_Label_af615ef3-aa90-4fa2-9d66-c4f70f9fc413_SetDate">
    <vt:lpwstr>2021-07-15T23:34:25Z</vt:lpwstr>
  </property>
  <property fmtid="{D5CDD505-2E9C-101B-9397-08002B2CF9AE}" pid="4" name="MSIP_Label_af615ef3-aa90-4fa2-9d66-c4f70f9fc413_Method">
    <vt:lpwstr>Standard</vt:lpwstr>
  </property>
  <property fmtid="{D5CDD505-2E9C-101B-9397-08002B2CF9AE}" pid="5" name="MSIP_Label_af615ef3-aa90-4fa2-9d66-c4f70f9fc413_Name">
    <vt:lpwstr>Confidential</vt:lpwstr>
  </property>
  <property fmtid="{D5CDD505-2E9C-101B-9397-08002B2CF9AE}" pid="6" name="MSIP_Label_af615ef3-aa90-4fa2-9d66-c4f70f9fc413_SiteId">
    <vt:lpwstr>fb4c0aee-6cd2-482f-a1a5-717e7c02496b</vt:lpwstr>
  </property>
  <property fmtid="{D5CDD505-2E9C-101B-9397-08002B2CF9AE}" pid="7" name="MSIP_Label_af615ef3-aa90-4fa2-9d66-c4f70f9fc413_ActionId">
    <vt:lpwstr>b4b8a14e-48e5-4fad-b62f-fb8a8dc597b9</vt:lpwstr>
  </property>
  <property fmtid="{D5CDD505-2E9C-101B-9397-08002B2CF9AE}" pid="8" name="MSIP_Label_af615ef3-aa90-4fa2-9d66-c4f70f9fc413_ContentBits">
    <vt:lpwstr>0</vt:lpwstr>
  </property>
</Properties>
</file>