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mbeddings/oleObject67.bin" ContentType="application/vnd.openxmlformats-officedocument.oleObject"/>
  <Override PartName="/word/embeddings/oleObject66.bin" ContentType="application/vnd.openxmlformats-officedocument.oleObject"/>
  <Override PartName="/word/embeddings/oleObject65.bin" ContentType="application/vnd.openxmlformats-officedocument.oleObject"/>
  <Override PartName="/word/embeddings/oleObject62.bin" ContentType="application/vnd.openxmlformats-officedocument.oleObject"/>
  <Override PartName="/word/embeddings/oleObject61.bin" ContentType="application/vnd.openxmlformats-officedocument.oleObject"/>
  <Override PartName="/word/embeddings/oleObject60.bin" ContentType="application/vnd.openxmlformats-officedocument.oleObject"/>
  <Override PartName="/word/embeddings/oleObject49.bin" ContentType="application/vnd.openxmlformats-officedocument.oleObject"/>
  <Override PartName="/word/embeddings/oleObject46.bin" ContentType="application/vnd.openxmlformats-officedocument.oleObject"/>
  <Override PartName="/word/embeddings/oleObject45.bin" ContentType="application/vnd.openxmlformats-officedocument.oleObject"/>
  <Override PartName="/word/embeddings/oleObject44.bin" ContentType="application/vnd.openxmlformats-officedocument.oleObject"/>
  <Override PartName="/word/embeddings/oleObject43.bin" ContentType="application/vnd.openxmlformats-officedocument.oleObject"/>
  <Override PartName="/word/embeddings/oleObject42.bin" ContentType="application/vnd.openxmlformats-officedocument.oleObject"/>
  <Override PartName="/word/embeddings/oleObject41.bin" ContentType="application/vnd.openxmlformats-officedocument.oleObject"/>
  <Override PartName="/word/embeddings/oleObject40.bin" ContentType="application/vnd.openxmlformats-officedocument.oleObject"/>
  <Override PartName="/word/embeddings/oleObject36.bin" ContentType="application/vnd.openxmlformats-officedocument.oleObject"/>
  <Override PartName="/word/embeddings/oleObject35.bin" ContentType="application/vnd.openxmlformats-officedocument.oleObject"/>
  <Override PartName="/word/embeddings/oleObject29.bin" ContentType="application/vnd.openxmlformats-officedocument.oleObject"/>
  <Override PartName="/word/embeddings/oleObject10.bin" ContentType="application/vnd.openxmlformats-officedocument.oleObject"/>
  <Override PartName="/word/embeddings/oleObject53.bin" ContentType="application/vnd.openxmlformats-officedocument.oleObject"/>
  <Override PartName="/word/embeddings/oleObject28.bin" ContentType="application/vnd.openxmlformats-officedocument.oleObject"/>
  <Override PartName="/word/embeddings/oleObject52.bin" ContentType="application/vnd.openxmlformats-officedocument.oleObject"/>
  <Override PartName="/word/embeddings/oleObject27.bin" ContentType="application/vnd.openxmlformats-officedocument.oleObject"/>
  <Override PartName="/word/embeddings/oleObject51.bin" ContentType="application/vnd.openxmlformats-officedocument.oleObject"/>
  <Override PartName="/word/embeddings/oleObject26.bin" ContentType="application/vnd.openxmlformats-officedocument.oleObject"/>
  <Override PartName="/word/embeddings/oleObject50.bin" ContentType="application/vnd.openxmlformats-officedocument.oleObject"/>
  <Override PartName="/word/embeddings/oleObject9.bin" ContentType="application/vnd.openxmlformats-officedocument.oleObject"/>
  <Override PartName="/word/embeddings/oleObject25.bin" ContentType="application/vnd.openxmlformats-officedocument.oleObject"/>
  <Override PartName="/word/embeddings/oleObject8.bin" ContentType="application/vnd.openxmlformats-officedocument.oleObject"/>
  <Override PartName="/word/embeddings/oleObject24.bin" ContentType="application/vnd.openxmlformats-officedocument.oleObject"/>
  <Override PartName="/word/embeddings/oleObject7.bin" ContentType="application/vnd.openxmlformats-officedocument.oleObject"/>
  <Override PartName="/word/embeddings/oleObject23.bin" ContentType="application/vnd.openxmlformats-officedocument.oleObject"/>
  <Override PartName="/word/embeddings/oleObject6.bin" ContentType="application/vnd.openxmlformats-officedocument.oleObject"/>
  <Override PartName="/word/embeddings/oleObject22.bin" ContentType="application/vnd.openxmlformats-officedocument.oleObject"/>
  <Override PartName="/word/embeddings/oleObject31.bin" ContentType="application/vnd.openxmlformats-officedocument.oleObject"/>
  <Override PartName="/word/embeddings/oleObject17.bin" ContentType="application/vnd.openxmlformats-officedocument.oleObject"/>
  <Override PartName="/word/embeddings/oleObject30.bin" ContentType="application/vnd.openxmlformats-officedocument.oleObject"/>
  <Override PartName="/word/embeddings/oleObject5.bin" ContentType="application/vnd.openxmlformats-officedocument.oleObject"/>
  <Override PartName="/word/embeddings/oleObject59.bin" ContentType="application/vnd.openxmlformats-officedocument.oleObject"/>
  <Override PartName="/word/embeddings/oleObject16.bin" ContentType="application/vnd.openxmlformats-officedocument.oleObject"/>
  <Override PartName="/word/embeddings/oleObject4.bin" ContentType="application/vnd.openxmlformats-officedocument.oleObject"/>
  <Override PartName="/word/embeddings/oleObject58.bin" ContentType="application/vnd.openxmlformats-officedocument.oleObject"/>
  <Override PartName="/word/embeddings/oleObject15.bin" ContentType="application/vnd.openxmlformats-officedocument.oleObject"/>
  <Override PartName="/word/embeddings/oleObject3.bin" ContentType="application/vnd.openxmlformats-officedocument.oleObject"/>
  <Override PartName="/word/embeddings/oleObject57.bin" ContentType="application/vnd.openxmlformats-officedocument.oleObject"/>
  <Override PartName="/word/embeddings/oleObject14.bin" ContentType="application/vnd.openxmlformats-officedocument.oleObject"/>
  <Override PartName="/word/embeddings/oleObject2.bin" ContentType="application/vnd.openxmlformats-officedocument.oleObject"/>
  <Override PartName="/word/embeddings/oleObject56.bin" ContentType="application/vnd.openxmlformats-officedocument.oleObject"/>
  <Override PartName="/word/embeddings/oleObject13.bin" ContentType="application/vnd.openxmlformats-officedocument.oleObject"/>
  <Override PartName="/word/embeddings/oleObject1.bin" ContentType="application/vnd.openxmlformats-officedocument.oleObject"/>
  <Override PartName="/word/embeddings/oleObject39.bin" ContentType="application/vnd.openxmlformats-officedocument.oleObject"/>
  <Override PartName="/word/embeddings/oleObject55.bin" ContentType="application/vnd.openxmlformats-officedocument.oleObject"/>
  <Override PartName="/word/embeddings/oleObject12.bin" ContentType="application/vnd.openxmlformats-officedocument.oleObject"/>
  <Override PartName="/word/embeddings/oleObject38.bin" ContentType="application/vnd.openxmlformats-officedocument.oleObject"/>
  <Override PartName="/word/embeddings/oleObject54.bin" ContentType="application/vnd.openxmlformats-officedocument.oleObject"/>
  <Override PartName="/word/embeddings/oleObject11.bin" ContentType="application/vnd.openxmlformats-officedocument.oleObject"/>
  <Override PartName="/word/embeddings/oleObject37.bin" ContentType="application/vnd.openxmlformats-officedocument.oleObject"/>
  <Override PartName="/word/embeddings/oleObject34.bin" ContentType="application/vnd.openxmlformats-officedocument.oleObject"/>
  <Override PartName="/word/embeddings/oleObject48.bin" ContentType="application/vnd.openxmlformats-officedocument.oleObject"/>
  <Override PartName="/word/embeddings/oleObject64.bin" ContentType="application/vnd.openxmlformats-officedocument.oleObject"/>
  <Override PartName="/word/embeddings/oleObject21.bin" ContentType="application/vnd.openxmlformats-officedocument.oleObject"/>
  <Override PartName="/word/embeddings/oleObject19.bin" ContentType="application/vnd.openxmlformats-officedocument.oleObject"/>
  <Override PartName="/word/embeddings/oleObject33.bin" ContentType="application/vnd.openxmlformats-officedocument.oleObject"/>
  <Override PartName="/word/embeddings/oleObject47.bin" ContentType="application/vnd.openxmlformats-officedocument.oleObject"/>
  <Override PartName="/word/embeddings/oleObject63.bin" ContentType="application/vnd.openxmlformats-officedocument.oleObject"/>
  <Override PartName="/word/embeddings/oleObject20.bin" ContentType="application/vnd.openxmlformats-officedocument.oleObject"/>
  <Override PartName="/word/embeddings/oleObject18.bin" ContentType="application/vnd.openxmlformats-officedocument.oleObject"/>
  <Override PartName="/word/embeddings/oleObject32.bin" ContentType="application/vnd.openxmlformats-officedocument.oleObject"/>
  <Override PartName="/word/footer2.xml" ContentType="application/vnd.openxmlformats-officedocument.wordprocessingml.footer+xml"/>
  <Override PartName="/word/media/image87.emf" ContentType="image/x-emf"/>
  <Override PartName="/word/media/image85.emf" ContentType="image/x-emf"/>
  <Override PartName="/word/media/image84.emf" ContentType="image/x-emf"/>
  <Override PartName="/word/media/image83.emf" ContentType="image/x-emf"/>
  <Override PartName="/word/media/image82.emf" ContentType="image/x-emf"/>
  <Override PartName="/word/media/image81.png" ContentType="image/png"/>
  <Override PartName="/word/media/image80.png" ContentType="image/png"/>
  <Override PartName="/word/media/image79.emf" ContentType="image/x-emf"/>
  <Override PartName="/word/media/image78.emf" ContentType="image/x-emf"/>
  <Override PartName="/word/media/image77.emf" ContentType="image/x-emf"/>
  <Override PartName="/word/media/image76.emf" ContentType="image/x-emf"/>
  <Override PartName="/word/media/image75.emf" ContentType="image/x-emf"/>
  <Override PartName="/word/media/image73.emf" ContentType="image/x-emf"/>
  <Override PartName="/word/media/image72.emf" ContentType="image/x-emf"/>
  <Override PartName="/word/media/image71.emf" ContentType="image/x-emf"/>
  <Override PartName="/word/media/image70.emf" ContentType="image/x-emf"/>
  <Override PartName="/word/media/image69.emf" ContentType="image/x-emf"/>
  <Override PartName="/word/media/image66.emf" ContentType="image/x-emf"/>
  <Override PartName="/word/media/image65.emf" ContentType="image/x-emf"/>
  <Override PartName="/word/media/image64.emf" ContentType="image/x-emf"/>
  <Override PartName="/word/media/image63.emf" ContentType="image/x-emf"/>
  <Override PartName="/word/media/image62.emf" ContentType="image/x-emf"/>
  <Override PartName="/word/media/image61.emf" ContentType="image/x-emf"/>
  <Override PartName="/word/media/image57.emf" ContentType="image/x-emf"/>
  <Override PartName="/word/media/image56.emf" ContentType="image/x-emf"/>
  <Override PartName="/word/media/image55.emf" ContentType="image/x-emf"/>
  <Override PartName="/word/media/image86.wmf" ContentType="image/x-wmf"/>
  <Override PartName="/word/media/image54.emf" ContentType="image/x-emf"/>
  <Override PartName="/word/media/image48.emf" ContentType="image/x-emf"/>
  <Override PartName="/word/media/image47.emf" ContentType="image/x-emf"/>
  <Override PartName="/word/media/image88.png" ContentType="image/png"/>
  <Override PartName="/word/media/image9.jpeg" ContentType="image/jpeg"/>
  <Override PartName="/word/media/image45.emf" ContentType="image/x-emf"/>
  <Override PartName="/word/media/image44.emf" ContentType="image/x-emf"/>
  <Override PartName="/word/media/image42.emf" ContentType="image/x-emf"/>
  <Override PartName="/word/media/image41.emf" ContentType="image/x-emf"/>
  <Override PartName="/word/media/image39.emf" ContentType="image/x-emf"/>
  <Override PartName="/word/media/image38.emf" ContentType="image/x-emf"/>
  <Override PartName="/word/media/image37.emf" ContentType="image/x-emf"/>
  <Override PartName="/word/media/image20.png" ContentType="image/png"/>
  <Override PartName="/word/media/image36.emf" ContentType="image/x-emf"/>
  <Override PartName="/word/media/image8.jpeg" ContentType="image/jpeg"/>
  <Override PartName="/word/media/image35.emf" ContentType="image/x-emf"/>
  <Override PartName="/word/media/image34.emf" ContentType="image/x-emf"/>
  <Override PartName="/word/media/image32.emf" ContentType="image/x-emf"/>
  <Override PartName="/word/media/image58.emf" ContentType="image/x-emf"/>
  <Override PartName="/word/media/image31.wmf" ContentType="image/x-wmf"/>
  <Override PartName="/word/media/image30.emf" ContentType="image/x-emf"/>
  <Override PartName="/word/media/image29.emf" ContentType="image/x-emf"/>
  <Override PartName="/word/media/image53.emf" ContentType="image/x-emf"/>
  <Override PartName="/word/media/image13.emf" ContentType="image/x-emf"/>
  <Override PartName="/word/media/image6.png" ContentType="image/png"/>
  <Override PartName="/word/media/image28.emf" ContentType="image/x-emf"/>
  <Override PartName="/word/media/image52.emf" ContentType="image/x-emf"/>
  <Override PartName="/word/media/image12.emf" ContentType="image/x-emf"/>
  <Override PartName="/word/media/image5.png" ContentType="image/png"/>
  <Override PartName="/word/media/image27.emf" ContentType="image/x-emf"/>
  <Override PartName="/word/media/image18.png" ContentType="image/png"/>
  <Override PartName="/word/media/image50.emf" ContentType="image/x-emf"/>
  <Override PartName="/word/media/image7.jpeg" ContentType="image/jpeg"/>
  <Override PartName="/word/media/image25.emf" ContentType="image/x-emf"/>
  <Override PartName="/word/media/image68.emf" ContentType="image/x-emf"/>
  <Override PartName="/word/media/image2.png" ContentType="image/png"/>
  <Override PartName="/word/media/image24.emf" ContentType="image/x-emf"/>
  <Override PartName="/word/media/image67.emf" ContentType="image/x-emf"/>
  <Override PartName="/word/media/image1.png" ContentType="image/png"/>
  <Override PartName="/word/media/image23.emf" ContentType="image/x-emf"/>
  <Override PartName="/word/media/image51.emf" ContentType="image/x-emf"/>
  <Override PartName="/word/media/image19.png" ContentType="image/png"/>
  <Override PartName="/word/media/image22.emf" ContentType="image/x-emf"/>
  <Override PartName="/word/media/image59.emf" ContentType="image/x-emf"/>
  <Override PartName="/word/media/image16.jpeg" ContentType="image/jpeg"/>
  <Override PartName="/word/media/image43.png" ContentType="image/png"/>
  <Override PartName="/word/media/image21.emf" ContentType="image/x-emf"/>
  <Override PartName="/word/media/image17.png" ContentType="image/png"/>
  <Override PartName="/word/media/image14.emf" ContentType="image/x-emf"/>
  <Override PartName="/word/media/image33.emf" ContentType="image/x-emf"/>
  <Override PartName="/word/media/image4.png" ContentType="image/png"/>
  <Override PartName="/word/media/image11.emf" ContentType="image/x-emf"/>
  <Override PartName="/word/media/image49.emf" ContentType="image/x-emf"/>
  <Override PartName="/word/media/image74.emf" ContentType="image/x-emf"/>
  <Override PartName="/word/media/image10.jpeg" ContentType="image/jpeg"/>
  <Override PartName="/word/media/image26.emf" ContentType="image/x-emf"/>
  <Override PartName="/word/media/image46.emf" ContentType="image/x-emf"/>
  <Override PartName="/word/media/image40.emf" ContentType="image/x-emf"/>
  <Override PartName="/word/media/image15.emf" ContentType="image/x-emf"/>
  <Override PartName="/word/media/image60.emf" ContentType="image/x-emf"/>
  <Override PartName="/word/media/image3.jpeg" ContentType="image/jpe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bookmarkStart w:id="0" w:name="_Toc325070189"/>
      <w:bookmarkStart w:id="1" w:name="_Toc325070506"/>
      <w:r>
        <w:rPr/>
        <w:t>Содержани</w:t>
      </w:r>
      <w:bookmarkEnd w:id="0"/>
      <w:bookmarkEnd w:id="1"/>
      <w:r>
        <w:rPr>
          <w:lang w:val="ru-RU"/>
        </w:rPr>
        <w:t>е</w:t>
      </w:r>
    </w:p>
    <w:p>
      <w:pPr>
        <w:pStyle w:val="Heading1"/>
        <w:spacing w:lineRule="auto" w:line="240"/>
        <w:ind w:left="0" w:right="0" w:firstLine="708"/>
        <w:rPr/>
      </w:pPr>
      <w:r>
        <w:fldChar w:fldCharType="begin"/>
      </w:r>
      <w:r>
        <w:instrText> TOC \o "1-3" \h</w:instrText>
      </w:r>
      <w:r>
        <w:fldChar w:fldCharType="separate"/>
      </w:r>
      <w:r>
        <w:rPr/>
      </w:r>
      <w:r>
        <w:fldChar w:fldCharType="end"/>
      </w:r>
    </w:p>
    <w:p>
      <w:pPr>
        <w:pStyle w:val="Contents1"/>
        <w:rPr/>
      </w:pPr>
      <w:hyperlink w:anchor="_Toc325070508">
        <w:r>
          <w:rPr>
            <w:rStyle w:val="IndexLink"/>
          </w:rPr>
          <w:t>1. Введение</w:t>
        </w:r>
      </w:hyperlink>
      <w:hyperlink w:anchor="_Toc325070508">
        <w:r>
          <w:rPr>
            <w:webHidden/>
          </w:rPr>
          <w:fldChar w:fldCharType="begin"/>
        </w:r>
        <w:r>
          <w:rPr>
            <w:webHidden/>
          </w:rPr>
          <w:instrText>PAGEREF _Toc325070508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325070509">
        <w:r>
          <w:rPr>
            <w:rStyle w:val="IndexLink"/>
          </w:rPr>
          <w:t>2. Расширенное техническое задание</w:t>
        </w:r>
      </w:hyperlink>
      <w:hyperlink w:anchor="_Toc325070509">
        <w:r>
          <w:rPr>
            <w:webHidden/>
          </w:rPr>
          <w:fldChar w:fldCharType="begin"/>
        </w:r>
        <w:r>
          <w:rPr>
            <w:webHidden/>
          </w:rPr>
          <w:instrText>PAGEREF _Toc325070509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10">
        <w:r>
          <w:rPr>
            <w:rStyle w:val="IndexLink"/>
          </w:rPr>
          <w:t>2.1 Наименование и область применения изделия</w:t>
        </w:r>
      </w:hyperlink>
      <w:hyperlink w:anchor="_Toc325070510">
        <w:r>
          <w:rPr>
            <w:webHidden/>
          </w:rPr>
          <w:fldChar w:fldCharType="begin"/>
        </w:r>
        <w:r>
          <w:rPr>
            <w:webHidden/>
          </w:rPr>
          <w:instrText>PAGEREF _Toc325070510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11">
        <w:r>
          <w:rPr>
            <w:rStyle w:val="IndexLink"/>
          </w:rPr>
          <w:t>2.2 Основание для разработки</w:t>
        </w:r>
      </w:hyperlink>
      <w:hyperlink w:anchor="_Toc325070511">
        <w:r>
          <w:rPr>
            <w:webHidden/>
          </w:rPr>
          <w:fldChar w:fldCharType="begin"/>
        </w:r>
        <w:r>
          <w:rPr>
            <w:webHidden/>
          </w:rPr>
          <w:instrText>PAGEREF _Toc325070511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12">
        <w:r>
          <w:rPr>
            <w:rStyle w:val="IndexLink"/>
          </w:rPr>
          <w:t>2.3 Технические требования</w:t>
        </w:r>
      </w:hyperlink>
      <w:hyperlink w:anchor="_Toc325070512">
        <w:r>
          <w:rPr>
            <w:webHidden/>
          </w:rPr>
          <w:fldChar w:fldCharType="begin"/>
        </w:r>
        <w:r>
          <w:rPr>
            <w:webHidden/>
          </w:rPr>
          <w:instrText>PAGEREF _Toc325070512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13">
        <w:r>
          <w:rPr>
            <w:rStyle w:val="IndexLink"/>
          </w:rPr>
          <w:t>2.3.1 Технические параметры.</w:t>
        </w:r>
      </w:hyperlink>
      <w:hyperlink w:anchor="_Toc325070513">
        <w:r>
          <w:rPr>
            <w:webHidden/>
          </w:rPr>
          <w:fldChar w:fldCharType="begin"/>
        </w:r>
        <w:r>
          <w:rPr>
            <w:webHidden/>
          </w:rPr>
          <w:instrText>PAGEREF _Toc325070513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14">
        <w:r>
          <w:rPr>
            <w:rStyle w:val="IndexLink"/>
          </w:rPr>
          <w:t>2.3.2 Принцип работы устройства</w:t>
        </w:r>
      </w:hyperlink>
      <w:hyperlink w:anchor="_Toc325070514">
        <w:r>
          <w:rPr>
            <w:webHidden/>
          </w:rPr>
          <w:fldChar w:fldCharType="begin"/>
        </w:r>
        <w:r>
          <w:rPr>
            <w:webHidden/>
          </w:rPr>
          <w:instrText>PAGEREF _Toc325070514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15">
        <w:r>
          <w:rPr>
            <w:rStyle w:val="IndexLink"/>
          </w:rPr>
          <w:t>2.3.3 Требования к надежности</w:t>
        </w:r>
      </w:hyperlink>
      <w:hyperlink w:anchor="_Toc325070515">
        <w:r>
          <w:rPr>
            <w:webHidden/>
          </w:rPr>
          <w:fldChar w:fldCharType="begin"/>
        </w:r>
        <w:r>
          <w:rPr>
            <w:webHidden/>
          </w:rPr>
          <w:instrText>PAGEREF _Toc325070515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16">
        <w:r>
          <w:rPr>
            <w:rStyle w:val="IndexLink"/>
          </w:rPr>
          <w:t>2.3.4 Требования к конструкции</w:t>
        </w:r>
      </w:hyperlink>
      <w:hyperlink w:anchor="_Toc325070516">
        <w:r>
          <w:rPr>
            <w:webHidden/>
          </w:rPr>
          <w:fldChar w:fldCharType="begin"/>
        </w:r>
        <w:r>
          <w:rPr>
            <w:webHidden/>
          </w:rPr>
          <w:instrText>PAGEREF _Toc325070516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17">
        <w:r>
          <w:rPr>
            <w:rStyle w:val="IndexLink"/>
          </w:rPr>
          <w:t>2.3.5 Условия эксплуатации и группа жесткости</w:t>
        </w:r>
      </w:hyperlink>
      <w:hyperlink w:anchor="_Toc325070517">
        <w:r>
          <w:rPr>
            <w:webHidden/>
          </w:rPr>
          <w:fldChar w:fldCharType="begin"/>
        </w:r>
        <w:r>
          <w:rPr>
            <w:webHidden/>
          </w:rPr>
          <w:instrText>PAGEREF _Toc325070517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18">
        <w:r>
          <w:rPr>
            <w:rStyle w:val="IndexLink"/>
          </w:rPr>
          <w:t>2.3.6 Требования к транспортировке, хранению и маркировке</w:t>
        </w:r>
      </w:hyperlink>
      <w:hyperlink w:anchor="_Toc325070518">
        <w:r>
          <w:rPr>
            <w:webHidden/>
          </w:rPr>
          <w:fldChar w:fldCharType="begin"/>
        </w:r>
        <w:r>
          <w:rPr>
            <w:webHidden/>
          </w:rPr>
          <w:instrText>PAGEREF _Toc325070518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19">
        <w:r>
          <w:rPr>
            <w:rStyle w:val="IndexLink"/>
          </w:rPr>
          <w:t>2.3.7 Требования к материалам и комплектующим изделиям</w:t>
        </w:r>
      </w:hyperlink>
      <w:hyperlink w:anchor="_Toc325070519">
        <w:r>
          <w:rPr>
            <w:webHidden/>
          </w:rPr>
          <w:fldChar w:fldCharType="begin"/>
        </w:r>
        <w:r>
          <w:rPr>
            <w:webHidden/>
          </w:rPr>
          <w:instrText>PAGEREF _Toc325070519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20">
        <w:r>
          <w:rPr>
            <w:rStyle w:val="IndexLink"/>
          </w:rPr>
          <w:t>2.3.8 Требования к патентной чистоте</w:t>
        </w:r>
      </w:hyperlink>
      <w:hyperlink w:anchor="_Toc325070520">
        <w:r>
          <w:rPr>
            <w:webHidden/>
          </w:rPr>
          <w:fldChar w:fldCharType="begin"/>
        </w:r>
        <w:r>
          <w:rPr>
            <w:webHidden/>
          </w:rPr>
          <w:instrText>PAGEREF _Toc325070520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21">
        <w:r>
          <w:rPr>
            <w:rStyle w:val="IndexLink"/>
          </w:rPr>
          <w:t>2.4 Экономические показатели</w:t>
        </w:r>
      </w:hyperlink>
      <w:hyperlink w:anchor="_Toc325070521">
        <w:r>
          <w:rPr>
            <w:webHidden/>
          </w:rPr>
          <w:fldChar w:fldCharType="begin"/>
        </w:r>
        <w:r>
          <w:rPr>
            <w:webHidden/>
          </w:rPr>
          <w:instrText>PAGEREF _Toc325070521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22">
        <w:r>
          <w:rPr>
            <w:rStyle w:val="IndexLink"/>
          </w:rPr>
          <w:t>2.5 Порядок испытаний</w:t>
        </w:r>
      </w:hyperlink>
      <w:hyperlink w:anchor="_Toc325070522">
        <w:r>
          <w:rPr>
            <w:webHidden/>
          </w:rPr>
          <w:fldChar w:fldCharType="begin"/>
        </w:r>
        <w:r>
          <w:rPr>
            <w:webHidden/>
          </w:rPr>
          <w:instrText>PAGEREF _Toc325070522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23">
        <w:r>
          <w:rPr>
            <w:rStyle w:val="IndexLink"/>
          </w:rPr>
          <w:t>Выводы</w:t>
        </w:r>
      </w:hyperlink>
      <w:hyperlink w:anchor="_Toc325070523">
        <w:r>
          <w:rPr>
            <w:webHidden/>
          </w:rPr>
          <w:fldChar w:fldCharType="begin"/>
        </w:r>
        <w:r>
          <w:rPr>
            <w:webHidden/>
          </w:rPr>
          <w:instrText>PAGEREF _Toc325070523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325070524">
        <w:r>
          <w:rPr>
            <w:rStyle w:val="IndexLink"/>
          </w:rPr>
          <w:t>3. Схемотехническая часть</w:t>
        </w:r>
      </w:hyperlink>
      <w:hyperlink w:anchor="_Toc325070524">
        <w:r>
          <w:rPr>
            <w:webHidden/>
          </w:rPr>
          <w:fldChar w:fldCharType="begin"/>
        </w:r>
        <w:r>
          <w:rPr>
            <w:webHidden/>
          </w:rPr>
          <w:instrText>PAGEREF _Toc325070524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25">
        <w:r>
          <w:rPr>
            <w:rStyle w:val="IndexLink"/>
          </w:rPr>
          <w:t>3.1 Анализ электрической структурной схемы устройства</w:t>
        </w:r>
      </w:hyperlink>
      <w:hyperlink w:anchor="_Toc325070525">
        <w:r>
          <w:rPr>
            <w:webHidden/>
          </w:rPr>
          <w:fldChar w:fldCharType="begin"/>
        </w:r>
        <w:r>
          <w:rPr>
            <w:webHidden/>
          </w:rPr>
          <w:instrText>PAGEREF _Toc325070525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26">
        <w:r>
          <w:rPr>
            <w:rStyle w:val="IndexLink"/>
          </w:rPr>
          <w:t>3.2 Анализ электрической функциональной схемы устройства</w:t>
        </w:r>
      </w:hyperlink>
      <w:hyperlink w:anchor="_Toc325070526">
        <w:r>
          <w:rPr>
            <w:webHidden/>
          </w:rPr>
          <w:fldChar w:fldCharType="begin"/>
        </w:r>
        <w:r>
          <w:rPr>
            <w:webHidden/>
          </w:rPr>
          <w:instrText>PAGEREF _Toc325070526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27">
        <w:r>
          <w:rPr>
            <w:rStyle w:val="IndexLink"/>
          </w:rPr>
          <w:t>3.3 Анализ электрической принципиальной схемы устройства</w:t>
        </w:r>
      </w:hyperlink>
      <w:hyperlink w:anchor="_Toc325070527">
        <w:r>
          <w:rPr>
            <w:webHidden/>
          </w:rPr>
          <w:fldChar w:fldCharType="begin"/>
        </w:r>
        <w:r>
          <w:rPr>
            <w:webHidden/>
          </w:rPr>
          <w:instrText>PAGEREF _Toc325070527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11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28">
        <w:r>
          <w:rPr>
            <w:rStyle w:val="IndexLink"/>
          </w:rPr>
          <w:t>3.4 Функциональное предназначение ЭРЭ</w:t>
        </w:r>
      </w:hyperlink>
      <w:hyperlink w:anchor="_Toc325070528">
        <w:r>
          <w:rPr>
            <w:webHidden/>
          </w:rPr>
          <w:fldChar w:fldCharType="begin"/>
        </w:r>
        <w:r>
          <w:rPr>
            <w:webHidden/>
          </w:rPr>
          <w:instrText>PAGEREF _Toc325070528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29">
        <w:r>
          <w:rPr>
            <w:rStyle w:val="IndexLink"/>
          </w:rPr>
          <w:t>3.5 Анализ элементной базы</w:t>
        </w:r>
      </w:hyperlink>
      <w:hyperlink w:anchor="_Toc325070529">
        <w:r>
          <w:rPr>
            <w:webHidden/>
          </w:rPr>
          <w:fldChar w:fldCharType="begin"/>
        </w:r>
        <w:r>
          <w:rPr>
            <w:webHidden/>
          </w:rPr>
          <w:instrText>PAGEREF _Toc325070529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30">
        <w:r>
          <w:rPr>
            <w:rStyle w:val="IndexLink"/>
          </w:rPr>
          <w:t>3.6 Описание работы схемы с помощью временных диаграмм</w:t>
        </w:r>
      </w:hyperlink>
      <w:hyperlink w:anchor="_Toc325070530">
        <w:r>
          <w:rPr>
            <w:webHidden/>
          </w:rPr>
          <w:fldChar w:fldCharType="begin"/>
        </w:r>
        <w:r>
          <w:rPr>
            <w:webHidden/>
          </w:rPr>
          <w:instrText>PAGEREF _Toc325070530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16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31">
        <w:r>
          <w:rPr>
            <w:rStyle w:val="IndexLink"/>
          </w:rPr>
          <w:t>Выводы</w:t>
        </w:r>
      </w:hyperlink>
      <w:hyperlink w:anchor="_Toc325070531">
        <w:r>
          <w:rPr>
            <w:webHidden/>
          </w:rPr>
          <w:fldChar w:fldCharType="begin"/>
        </w:r>
        <w:r>
          <w:rPr>
            <w:webHidden/>
          </w:rPr>
          <w:instrText>PAGEREF _Toc325070531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21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325070532">
        <w:r>
          <w:rPr>
            <w:rStyle w:val="IndexLink"/>
          </w:rPr>
          <w:t>4. Конструкторская часть</w:t>
        </w:r>
      </w:hyperlink>
      <w:hyperlink w:anchor="_Toc325070532">
        <w:r>
          <w:rPr>
            <w:webHidden/>
          </w:rPr>
          <w:fldChar w:fldCharType="begin"/>
        </w:r>
        <w:r>
          <w:rPr>
            <w:webHidden/>
          </w:rPr>
          <w:instrText>PAGEREF _Toc325070532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22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33">
        <w:r>
          <w:rPr>
            <w:rStyle w:val="IndexLink"/>
          </w:rPr>
          <w:t>4.1 Предварительная разработка и компоновка конструкции устройства</w:t>
        </w:r>
      </w:hyperlink>
      <w:hyperlink w:anchor="_Toc325070533">
        <w:r>
          <w:rPr>
            <w:webHidden/>
          </w:rPr>
          <w:fldChar w:fldCharType="begin"/>
        </w:r>
        <w:r>
          <w:rPr>
            <w:webHidden/>
          </w:rPr>
          <w:instrText>PAGEREF _Toc325070533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22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34">
        <w:r>
          <w:rPr>
            <w:rStyle w:val="IndexLink"/>
          </w:rPr>
          <w:t>4.2 Описание конструкции блока</w:t>
        </w:r>
      </w:hyperlink>
      <w:hyperlink w:anchor="_Toc325070534">
        <w:r>
          <w:rPr>
            <w:webHidden/>
          </w:rPr>
          <w:fldChar w:fldCharType="begin"/>
        </w:r>
        <w:r>
          <w:rPr>
            <w:webHidden/>
          </w:rPr>
          <w:instrText>PAGEREF _Toc325070534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23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35">
        <w:r>
          <w:rPr>
            <w:rStyle w:val="IndexLink"/>
          </w:rPr>
          <w:t>4.3 Анализ и выбор конструкции и материала  ячейки</w:t>
        </w:r>
      </w:hyperlink>
      <w:hyperlink w:anchor="_Toc325070535">
        <w:r>
          <w:rPr>
            <w:webHidden/>
          </w:rPr>
          <w:fldChar w:fldCharType="begin"/>
        </w:r>
        <w:r>
          <w:rPr>
            <w:webHidden/>
          </w:rPr>
          <w:instrText>PAGEREF _Toc325070535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25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36">
        <w:r>
          <w:rPr>
            <w:rStyle w:val="IndexLink"/>
          </w:rPr>
          <w:t>4.4 Анализ и выбор материала корпуса прибора</w:t>
        </w:r>
      </w:hyperlink>
      <w:hyperlink w:anchor="_Toc325070536">
        <w:r>
          <w:rPr>
            <w:webHidden/>
          </w:rPr>
          <w:fldChar w:fldCharType="begin"/>
        </w:r>
        <w:r>
          <w:rPr>
            <w:webHidden/>
          </w:rPr>
          <w:instrText>PAGEREF _Toc325070536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27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37">
        <w:r>
          <w:rPr>
            <w:rStyle w:val="IndexLink"/>
          </w:rPr>
          <w:t>4.4 Выбор механических и электрических соединений</w:t>
        </w:r>
      </w:hyperlink>
      <w:hyperlink w:anchor="_Toc325070537">
        <w:r>
          <w:rPr>
            <w:webHidden/>
          </w:rPr>
          <w:fldChar w:fldCharType="begin"/>
        </w:r>
        <w:r>
          <w:rPr>
            <w:webHidden/>
          </w:rPr>
          <w:instrText>PAGEREF _Toc325070537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28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38">
        <w:r>
          <w:rPr>
            <w:rStyle w:val="IndexLink"/>
          </w:rPr>
          <w:t>4.4.1 Выбор механических соединений</w:t>
        </w:r>
      </w:hyperlink>
      <w:hyperlink w:anchor="_Toc325070538">
        <w:r>
          <w:rPr>
            <w:webHidden/>
          </w:rPr>
          <w:fldChar w:fldCharType="begin"/>
        </w:r>
        <w:r>
          <w:rPr>
            <w:webHidden/>
          </w:rPr>
          <w:instrText>PAGEREF _Toc325070538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28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39">
        <w:r>
          <w:rPr>
            <w:rStyle w:val="IndexLink"/>
          </w:rPr>
          <w:t>4.4.2 Выбор электрических соединений</w:t>
        </w:r>
      </w:hyperlink>
      <w:hyperlink w:anchor="_Toc325070539">
        <w:r>
          <w:rPr>
            <w:webHidden/>
          </w:rPr>
          <w:fldChar w:fldCharType="begin"/>
        </w:r>
        <w:r>
          <w:rPr>
            <w:webHidden/>
          </w:rPr>
          <w:instrText>PAGEREF _Toc325070539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28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40">
        <w:r>
          <w:rPr>
            <w:rStyle w:val="IndexLink"/>
          </w:rPr>
          <w:t>4.5 Выбор способов защиты от внешних воздействий</w:t>
        </w:r>
      </w:hyperlink>
      <w:hyperlink w:anchor="_Toc325070540">
        <w:r>
          <w:rPr>
            <w:webHidden/>
          </w:rPr>
          <w:fldChar w:fldCharType="begin"/>
        </w:r>
        <w:r>
          <w:rPr>
            <w:webHidden/>
          </w:rPr>
          <w:instrText>PAGEREF _Toc325070540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28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41">
        <w:r>
          <w:rPr>
            <w:rStyle w:val="IndexLink"/>
          </w:rPr>
          <w:t>4.5.1 Тепло</w:t>
        </w:r>
      </w:hyperlink>
      <w:hyperlink w:anchor="_Toc325070541">
        <w:r>
          <w:rPr>
            <w:webHidden/>
          </w:rPr>
          <w:fldChar w:fldCharType="begin"/>
        </w:r>
        <w:r>
          <w:rPr>
            <w:webHidden/>
          </w:rPr>
          <w:instrText>PAGEREF _Toc325070541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28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42">
        <w:r>
          <w:rPr>
            <w:rStyle w:val="IndexLink"/>
          </w:rPr>
          <w:t>4.5.2 Холод</w:t>
        </w:r>
      </w:hyperlink>
      <w:hyperlink w:anchor="_Toc325070542">
        <w:r>
          <w:rPr>
            <w:webHidden/>
          </w:rPr>
          <w:fldChar w:fldCharType="begin"/>
        </w:r>
        <w:r>
          <w:rPr>
            <w:webHidden/>
          </w:rPr>
          <w:instrText>PAGEREF _Toc325070542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29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43">
        <w:r>
          <w:rPr>
            <w:rStyle w:val="IndexLink"/>
          </w:rPr>
          <w:t>4.5.3 Вибрации и удары</w:t>
        </w:r>
      </w:hyperlink>
      <w:hyperlink w:anchor="_Toc325070543">
        <w:r>
          <w:rPr>
            <w:webHidden/>
          </w:rPr>
          <w:fldChar w:fldCharType="begin"/>
        </w:r>
        <w:r>
          <w:rPr>
            <w:webHidden/>
          </w:rPr>
          <w:instrText>PAGEREF _Toc325070543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29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44">
        <w:r>
          <w:rPr>
            <w:rStyle w:val="IndexLink"/>
          </w:rPr>
          <w:t>4.5.4 Влажность</w:t>
        </w:r>
      </w:hyperlink>
      <w:hyperlink w:anchor="_Toc325070544">
        <w:r>
          <w:rPr>
            <w:webHidden/>
          </w:rPr>
          <w:fldChar w:fldCharType="begin"/>
        </w:r>
        <w:r>
          <w:rPr>
            <w:webHidden/>
          </w:rPr>
          <w:instrText>PAGEREF _Toc325070544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29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45">
        <w:r>
          <w:rPr>
            <w:rStyle w:val="IndexLink"/>
          </w:rPr>
          <w:t>4.5.5 Электромагнитные помехи</w:t>
        </w:r>
      </w:hyperlink>
      <w:hyperlink w:anchor="_Toc325070545">
        <w:r>
          <w:rPr>
            <w:webHidden/>
          </w:rPr>
          <w:fldChar w:fldCharType="begin"/>
        </w:r>
        <w:r>
          <w:rPr>
            <w:webHidden/>
          </w:rPr>
          <w:instrText>PAGEREF _Toc325070545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30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46">
        <w:r>
          <w:rPr>
            <w:rStyle w:val="IndexLink"/>
          </w:rPr>
          <w:t>4.6 Расчеты</w:t>
        </w:r>
      </w:hyperlink>
      <w:hyperlink w:anchor="_Toc325070546">
        <w:r>
          <w:rPr>
            <w:webHidden/>
          </w:rPr>
          <w:fldChar w:fldCharType="begin"/>
        </w:r>
        <w:r>
          <w:rPr>
            <w:webHidden/>
          </w:rPr>
          <w:instrText>PAGEREF _Toc325070546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30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47">
        <w:r>
          <w:rPr>
            <w:rStyle w:val="IndexLink"/>
          </w:rPr>
          <w:t>4.6.1 Расчет ПП</w:t>
        </w:r>
      </w:hyperlink>
      <w:hyperlink w:anchor="_Toc325070547">
        <w:r>
          <w:rPr>
            <w:webHidden/>
          </w:rPr>
          <w:fldChar w:fldCharType="begin"/>
        </w:r>
        <w:r>
          <w:rPr>
            <w:webHidden/>
          </w:rPr>
          <w:instrText>PAGEREF _Toc325070547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30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48">
        <w:r>
          <w:rPr>
            <w:rStyle w:val="IndexLink"/>
          </w:rPr>
          <w:t>4.6.1.1 Расчет печатного монтажа</w:t>
        </w:r>
      </w:hyperlink>
      <w:hyperlink w:anchor="_Toc325070548">
        <w:r>
          <w:rPr>
            <w:webHidden/>
          </w:rPr>
          <w:fldChar w:fldCharType="begin"/>
        </w:r>
        <w:r>
          <w:rPr>
            <w:webHidden/>
          </w:rPr>
          <w:instrText>PAGEREF _Toc325070548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30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49">
        <w:r>
          <w:rPr>
            <w:rStyle w:val="IndexLink"/>
          </w:rPr>
          <w:t>4.6.1.2 Расчет по постоянному току</w:t>
        </w:r>
      </w:hyperlink>
      <w:hyperlink w:anchor="_Toc325070549">
        <w:r>
          <w:rPr>
            <w:webHidden/>
          </w:rPr>
          <w:fldChar w:fldCharType="begin"/>
        </w:r>
        <w:r>
          <w:rPr>
            <w:webHidden/>
          </w:rPr>
          <w:instrText>PAGEREF _Toc325070549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32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0">
        <w:r>
          <w:rPr>
            <w:rStyle w:val="IndexLink"/>
          </w:rPr>
          <w:t>4.6.1.3 Печатная плата</w:t>
        </w:r>
      </w:hyperlink>
      <w:hyperlink w:anchor="_Toc325070550">
        <w:r>
          <w:rPr>
            <w:webHidden/>
          </w:rPr>
          <w:fldChar w:fldCharType="begin"/>
        </w:r>
        <w:r>
          <w:rPr>
            <w:webHidden/>
          </w:rPr>
          <w:instrText>PAGEREF _Toc325070550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33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1">
        <w:r>
          <w:rPr>
            <w:rStyle w:val="IndexLink"/>
          </w:rPr>
          <w:t>4.6.1.4 Сборочный чертеж электронной ячейки</w:t>
        </w:r>
      </w:hyperlink>
      <w:hyperlink w:anchor="_Toc325070551">
        <w:r>
          <w:rPr>
            <w:webHidden/>
          </w:rPr>
          <w:fldChar w:fldCharType="begin"/>
        </w:r>
        <w:r>
          <w:rPr>
            <w:webHidden/>
          </w:rPr>
          <w:instrText>PAGEREF _Toc325070551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34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2">
        <w:r>
          <w:rPr>
            <w:rStyle w:val="IndexLink"/>
          </w:rPr>
          <w:t>4.6.2 Предварительный расчет надежности электронного узла</w:t>
        </w:r>
      </w:hyperlink>
      <w:hyperlink w:anchor="_Toc325070552">
        <w:r>
          <w:rPr>
            <w:webHidden/>
          </w:rPr>
          <w:fldChar w:fldCharType="begin"/>
        </w:r>
        <w:r>
          <w:rPr>
            <w:webHidden/>
          </w:rPr>
          <w:instrText>PAGEREF _Toc325070552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35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3">
        <w:r>
          <w:rPr>
            <w:rStyle w:val="IndexLink"/>
          </w:rPr>
          <w:t>4.6.3 Тепловой расчет блок</w:t>
        </w:r>
      </w:hyperlink>
      <w:hyperlink w:anchor="_Toc325070553">
        <w:r>
          <w:rPr>
            <w:webHidden/>
          </w:rPr>
          <w:fldChar w:fldCharType="begin"/>
        </w:r>
        <w:r>
          <w:rPr>
            <w:webHidden/>
          </w:rPr>
          <w:instrText>PAGEREF _Toc325070553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36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4">
        <w:r>
          <w:rPr>
            <w:rStyle w:val="IndexLink"/>
          </w:rPr>
          <w:t xml:space="preserve">4.6.3.1 Расчет температуры корпуса </w:t>
        </w:r>
      </w:hyperlink>
      <w:hyperlink w:anchor="_Toc325070554">
        <w:r>
          <w:rPr>
            <w:webHidden/>
          </w:rPr>
          <w:fldChar w:fldCharType="begin"/>
        </w:r>
        <w:r>
          <w:rPr>
            <w:webHidden/>
          </w:rPr>
          <w:instrText>PAGEREF _Toc325070554 \h</w:instrText>
        </w:r>
        <w:r>
          <w:rPr>
            <w:webHidden/>
          </w:rPr>
          <w:fldChar w:fldCharType="separate"/>
        </w:r>
        <w:r>
          <w:rPr>
            <w:rStyle w:val="IndexLink"/>
            <w:lang w:val="en-US"/>
          </w:rPr>
          <w:t>t</w:t>
        </w:r>
        <w:r>
          <w:rPr>
            <w:webHidden/>
          </w:rPr>
          <w:fldChar w:fldCharType="end"/>
        </w:r>
      </w:hyperlink>
      <w:hyperlink w:anchor="_Toc325070554">
        <w:r>
          <w:rPr>
            <w:webHidden/>
          </w:rPr>
          <w:fldChar w:fldCharType="begin"/>
        </w:r>
        <w:r>
          <w:rPr>
            <w:webHidden/>
          </w:rPr>
          <w:instrText>PAGEREF _Toc325070554 \h</w:instrText>
        </w:r>
        <w:r>
          <w:rPr>
            <w:webHidden/>
          </w:rPr>
          <w:fldChar w:fldCharType="separate"/>
        </w:r>
        <w:r>
          <w:rPr>
            <w:rStyle w:val="IndexLink"/>
            <w:vertAlign w:val="subscript"/>
          </w:rPr>
          <w:t>К.</w:t>
        </w:r>
        <w:r>
          <w:rPr>
            <w:webHidden/>
          </w:rPr>
          <w:fldChar w:fldCharType="end"/>
        </w:r>
      </w:hyperlink>
      <w:hyperlink w:anchor="_Toc325070554">
        <w:r>
          <w:rPr>
            <w:webHidden/>
          </w:rPr>
          <w:fldChar w:fldCharType="begin"/>
        </w:r>
        <w:r>
          <w:rPr>
            <w:webHidden/>
          </w:rPr>
          <w:instrText>PAGEREF _Toc325070554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36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5">
        <w:r>
          <w:rPr>
            <w:rStyle w:val="IndexLink"/>
          </w:rPr>
          <w:t>4.6.3.2 Расчет температуры элемента</w:t>
        </w:r>
      </w:hyperlink>
      <w:hyperlink w:anchor="_Toc325070555">
        <w:r>
          <w:rPr>
            <w:webHidden/>
          </w:rPr>
          <w:fldChar w:fldCharType="begin"/>
        </w:r>
        <w:r>
          <w:rPr>
            <w:webHidden/>
          </w:rPr>
          <w:instrText>PAGEREF _Toc325070555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39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6">
        <w:r>
          <w:rPr>
            <w:rStyle w:val="IndexLink"/>
          </w:rPr>
          <w:t>4.6.4 Расчет на механические воздействия</w:t>
        </w:r>
      </w:hyperlink>
      <w:hyperlink w:anchor="_Toc325070556">
        <w:r>
          <w:rPr>
            <w:webHidden/>
          </w:rPr>
          <w:fldChar w:fldCharType="begin"/>
        </w:r>
        <w:r>
          <w:rPr>
            <w:webHidden/>
          </w:rPr>
          <w:instrText>PAGEREF _Toc325070556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41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7">
        <w:r>
          <w:rPr>
            <w:rStyle w:val="IndexLink"/>
          </w:rPr>
          <w:t>4.6.4.1 Расчет на действие вибрации</w:t>
        </w:r>
      </w:hyperlink>
      <w:hyperlink w:anchor="_Toc325070557">
        <w:r>
          <w:rPr>
            <w:webHidden/>
          </w:rPr>
          <w:fldChar w:fldCharType="begin"/>
        </w:r>
        <w:r>
          <w:rPr>
            <w:webHidden/>
          </w:rPr>
          <w:instrText>PAGEREF _Toc325070557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41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8">
        <w:r>
          <w:rPr>
            <w:rStyle w:val="IndexLink"/>
          </w:rPr>
          <w:t>4.6.4.2 Расчет на действие удара</w:t>
        </w:r>
      </w:hyperlink>
      <w:hyperlink w:anchor="_Toc325070558">
        <w:r>
          <w:rPr>
            <w:webHidden/>
          </w:rPr>
          <w:fldChar w:fldCharType="begin"/>
        </w:r>
        <w:r>
          <w:rPr>
            <w:webHidden/>
          </w:rPr>
          <w:instrText>PAGEREF _Toc325070558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43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59">
        <w:r>
          <w:rPr>
            <w:rStyle w:val="IndexLink"/>
          </w:rPr>
          <w:t>4.6.5 Расчет технологичности</w:t>
        </w:r>
      </w:hyperlink>
      <w:hyperlink w:anchor="_Toc325070559">
        <w:r>
          <w:rPr>
            <w:webHidden/>
          </w:rPr>
          <w:fldChar w:fldCharType="begin"/>
        </w:r>
        <w:r>
          <w:rPr>
            <w:webHidden/>
          </w:rPr>
          <w:instrText>PAGEREF _Toc325070559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44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62">
        <w:r>
          <w:rPr>
            <w:rStyle w:val="IndexLink"/>
          </w:rPr>
          <w:t>4.6.6 Расчет размерной цепи устройства</w:t>
        </w:r>
      </w:hyperlink>
      <w:hyperlink w:anchor="_Toc325070562">
        <w:r>
          <w:rPr>
            <w:webHidden/>
          </w:rPr>
          <w:fldChar w:fldCharType="begin"/>
        </w:r>
        <w:r>
          <w:rPr>
            <w:webHidden/>
          </w:rPr>
          <w:instrText>PAGEREF _Toc325070562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44</w:t>
        </w:r>
        <w:r>
          <w:rPr>
            <w:webHidden/>
          </w:rPr>
          <w:fldChar w:fldCharType="end"/>
        </w:r>
      </w:hyperlink>
    </w:p>
    <w:p>
      <w:pPr>
        <w:pStyle w:val="Contents3"/>
        <w:rPr/>
      </w:pPr>
      <w:hyperlink w:anchor="_Toc325070563">
        <w:r>
          <w:rPr>
            <w:rStyle w:val="IndexLink"/>
          </w:rPr>
          <w:t>4.6.7 Расчет надежности</w:t>
        </w:r>
      </w:hyperlink>
      <w:hyperlink w:anchor="_Toc325070563">
        <w:r>
          <w:rPr>
            <w:webHidden/>
          </w:rPr>
          <w:fldChar w:fldCharType="begin"/>
        </w:r>
        <w:r>
          <w:rPr>
            <w:webHidden/>
          </w:rPr>
          <w:instrText>PAGEREF _Toc325070563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46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325070564">
        <w:r>
          <w:rPr>
            <w:rStyle w:val="IndexLink"/>
          </w:rPr>
          <w:t>Заключение</w:t>
        </w:r>
      </w:hyperlink>
      <w:hyperlink w:anchor="_Toc325070564">
        <w:r>
          <w:rPr>
            <w:webHidden/>
          </w:rPr>
          <w:fldChar w:fldCharType="begin"/>
        </w:r>
        <w:r>
          <w:rPr>
            <w:webHidden/>
          </w:rPr>
          <w:instrText>PAGEREF _Toc325070564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48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325070565">
        <w:r>
          <w:rPr>
            <w:rStyle w:val="IndexLink"/>
          </w:rPr>
          <w:t>Приложения</w:t>
        </w:r>
      </w:hyperlink>
      <w:hyperlink w:anchor="_Toc325070565">
        <w:r>
          <w:rPr>
            <w:webHidden/>
          </w:rPr>
          <w:fldChar w:fldCharType="begin"/>
        </w:r>
        <w:r>
          <w:rPr>
            <w:webHidden/>
          </w:rPr>
          <w:instrText>PAGEREF _Toc325070565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49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66">
        <w:r>
          <w:rPr>
            <w:rStyle w:val="IndexLink"/>
          </w:rPr>
          <w:t>Приложение А – Схема сборки разрабатываемого устройства</w:t>
        </w:r>
      </w:hyperlink>
      <w:hyperlink w:anchor="_Toc325070566">
        <w:r>
          <w:rPr>
            <w:webHidden/>
          </w:rPr>
          <w:fldChar w:fldCharType="begin"/>
        </w:r>
        <w:r>
          <w:rPr>
            <w:webHidden/>
          </w:rPr>
          <w:instrText>PAGEREF _Toc325070566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49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67">
        <w:r>
          <w:rPr>
            <w:rStyle w:val="IndexLink"/>
          </w:rPr>
          <w:t>Приложение Б – Список графических материалов</w:t>
        </w:r>
      </w:hyperlink>
      <w:hyperlink w:anchor="_Toc325070567">
        <w:r>
          <w:rPr>
            <w:webHidden/>
          </w:rPr>
          <w:fldChar w:fldCharType="begin"/>
        </w:r>
        <w:r>
          <w:rPr>
            <w:webHidden/>
          </w:rPr>
          <w:instrText>PAGEREF _Toc325070567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49</w:t>
        </w:r>
        <w:r>
          <w:rPr>
            <w:webHidden/>
          </w:rPr>
          <w:fldChar w:fldCharType="end"/>
        </w:r>
      </w:hyperlink>
    </w:p>
    <w:p>
      <w:pPr>
        <w:pStyle w:val="Contents2"/>
        <w:rPr/>
      </w:pPr>
      <w:hyperlink w:anchor="_Toc325070568">
        <w:r>
          <w:rPr>
            <w:rStyle w:val="IndexLink"/>
          </w:rPr>
          <w:t>Приложение В - Спецификация</w:t>
        </w:r>
      </w:hyperlink>
      <w:hyperlink w:anchor="_Toc325070568">
        <w:r>
          <w:rPr>
            <w:webHidden/>
          </w:rPr>
          <w:fldChar w:fldCharType="begin"/>
        </w:r>
        <w:r>
          <w:rPr>
            <w:webHidden/>
          </w:rPr>
          <w:instrText>PAGEREF _Toc325070568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49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325070569">
        <w:r>
          <w:rPr>
            <w:rStyle w:val="IndexLink"/>
          </w:rPr>
          <w:t>Список использованных источников</w:t>
        </w:r>
      </w:hyperlink>
      <w:hyperlink w:anchor="_Toc325070569">
        <w:r>
          <w:rPr>
            <w:webHidden/>
          </w:rPr>
          <w:fldChar w:fldCharType="begin"/>
        </w:r>
        <w:r>
          <w:rPr>
            <w:webHidden/>
          </w:rPr>
          <w:instrText>PAGEREF _Toc325070569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50</w:t>
        </w:r>
        <w:r>
          <w:rPr>
            <w:webHidden/>
          </w:rPr>
          <w:fldChar w:fldCharType="end"/>
        </w:r>
      </w:hyperlink>
    </w:p>
    <w:p>
      <w:pPr>
        <w:pStyle w:val="Contents2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spacing w:lineRule="auto" w:line="240"/>
        <w:ind w:left="0" w:right="0" w:hanging="0"/>
        <w:jc w:val="left"/>
        <w:rPr>
          <w:rFonts w:ascii="Cambria" w:hAnsi="Cambria" w:cs="Arial"/>
          <w:b/>
          <w:b/>
          <w:bCs/>
          <w:sz w:val="32"/>
          <w:szCs w:val="32"/>
        </w:rPr>
      </w:pPr>
      <w:bookmarkStart w:id="2" w:name="_Toc286926457"/>
      <w:bookmarkStart w:id="3" w:name="_Toc286926457"/>
      <w:r>
        <w:rPr>
          <w:rFonts w:cs="Arial" w:ascii="Cambria" w:hAnsi="Cambria"/>
          <w:b/>
          <w:bCs/>
          <w:sz w:val="32"/>
          <w:szCs w:val="32"/>
        </w:rPr>
      </w:r>
      <w:r>
        <w:br w:type="page"/>
      </w:r>
    </w:p>
    <w:p>
      <w:pPr>
        <w:pStyle w:val="Heading1"/>
        <w:rPr/>
      </w:pPr>
      <w:bookmarkStart w:id="4" w:name="_Toc325070507"/>
      <w:bookmarkEnd w:id="4"/>
      <w:r>
        <w:rPr/>
        <w:t>Список условных обозначений, сокращений и терминов</w:t>
      </w:r>
    </w:p>
    <w:p>
      <w:pPr>
        <w:pStyle w:val="Normal"/>
        <w:rPr/>
      </w:pPr>
      <w:r>
        <w:rPr>
          <w:lang w:val="en-US"/>
        </w:rPr>
        <w:t>SMD</w:t>
      </w:r>
      <w:r>
        <w:rPr/>
        <w:tab/>
        <w:t xml:space="preserve">– </w:t>
      </w:r>
      <w:r>
        <w:rPr>
          <w:lang w:val="en-US"/>
        </w:rPr>
        <w:t>surface</w:t>
      </w:r>
      <w:r>
        <w:rPr/>
        <w:t xml:space="preserve"> </w:t>
      </w:r>
      <w:r>
        <w:rPr>
          <w:lang w:val="en-US"/>
        </w:rPr>
        <w:t>mounted</w:t>
      </w:r>
      <w:r>
        <w:rPr/>
        <w:t xml:space="preserve"> </w:t>
      </w:r>
      <w:r>
        <w:rPr>
          <w:lang w:val="en-US"/>
        </w:rPr>
        <w:t>device</w:t>
      </w:r>
      <w:r>
        <w:rPr/>
        <w:t xml:space="preserve"> (</w:t>
      </w:r>
      <w:r>
        <w:rPr>
          <w:lang w:val="en-US"/>
        </w:rPr>
        <w:t>c</w:t>
      </w:r>
      <w:r>
        <w:rPr/>
        <w:t xml:space="preserve"> англ. – прибор, монтируемый на поверхность);</w:t>
      </w:r>
    </w:p>
    <w:p>
      <w:pPr>
        <w:pStyle w:val="Normal"/>
        <w:rPr/>
      </w:pPr>
      <w:r>
        <w:rPr/>
        <w:t>ОПП</w:t>
        <w:tab/>
        <w:t>– односторонняя печатная плата;</w:t>
      </w:r>
    </w:p>
    <w:p>
      <w:pPr>
        <w:pStyle w:val="Normal"/>
        <w:rPr/>
      </w:pPr>
      <w:r>
        <w:rPr/>
        <w:t>ПП</w:t>
        <w:tab/>
        <w:t>– печатная плата;</w:t>
      </w:r>
    </w:p>
    <w:p>
      <w:pPr>
        <w:pStyle w:val="Normal"/>
        <w:rPr/>
      </w:pPr>
      <w:r>
        <w:rPr/>
        <w:t xml:space="preserve">РЭА </w:t>
        <w:tab/>
        <w:t>– радио электронная аппаратура;</w:t>
      </w:r>
    </w:p>
    <w:p>
      <w:pPr>
        <w:pStyle w:val="Normal"/>
        <w:rPr/>
      </w:pPr>
      <w:r>
        <w:rPr/>
        <w:t xml:space="preserve">ТЗ </w:t>
        <w:tab/>
        <w:t>– техническое задание;</w:t>
      </w:r>
    </w:p>
    <w:p>
      <w:pPr>
        <w:pStyle w:val="Normal"/>
        <w:rPr/>
      </w:pPr>
      <w:r>
        <w:rPr/>
        <w:t xml:space="preserve">ТЭЗ </w:t>
        <w:tab/>
        <w:t>– типовой элемент замены;</w:t>
      </w:r>
    </w:p>
    <w:p>
      <w:pPr>
        <w:pStyle w:val="Normal"/>
        <w:rPr/>
      </w:pPr>
      <w:r>
        <w:rPr/>
        <w:t>ЭРЭ</w:t>
        <w:tab/>
        <w:t>– электрорадиоэлемент;</w:t>
      </w:r>
    </w:p>
    <w:p>
      <w:pPr>
        <w:pStyle w:val="Normal"/>
        <w:rPr/>
      </w:pPr>
      <w:r>
        <w:rPr/>
        <w:t>ЭС</w:t>
        <w:tab/>
        <w:t>– электронные средства;</w:t>
      </w:r>
    </w:p>
    <w:p>
      <w:pPr>
        <w:pStyle w:val="Normal"/>
        <w:rPr/>
      </w:pPr>
      <w:r>
        <w:rPr/>
        <w:t>ЦТ</w:t>
        <w:tab/>
        <w:t>– цифровой термометр.</w:t>
      </w:r>
    </w:p>
    <w:p>
      <w:pPr>
        <w:pStyle w:val="Normal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5174" w:leader="none"/>
        </w:tabs>
        <w:rPr/>
      </w:pPr>
      <w:r>
        <w:rPr/>
        <w:t>Измеритель – «измеритель уровня топлива»</w:t>
      </w:r>
      <w:r>
        <w:br w:type="page"/>
      </w:r>
    </w:p>
    <w:p>
      <w:pPr>
        <w:pStyle w:val="Heading1"/>
        <w:rPr/>
      </w:pPr>
      <w:bookmarkStart w:id="5" w:name="_Toc325070508"/>
      <w:bookmarkEnd w:id="5"/>
      <w:r>
        <w:rPr/>
        <w:t>1. Введение</w:t>
      </w:r>
    </w:p>
    <w:p>
      <w:pPr>
        <w:pStyle w:val="Normal"/>
        <w:ind w:left="0" w:right="0" w:firstLine="567"/>
        <w:rPr/>
      </w:pPr>
      <w:r>
        <w:rPr/>
        <w:t xml:space="preserve">Работа посвящена разработке комплекта конструкторской документации для изготовления </w:t>
      </w:r>
      <w:r>
        <w:rPr/>
        <w:t>измерителя уровня топлива</w:t>
      </w:r>
      <w:r>
        <w:rPr/>
        <w:t>.</w:t>
      </w:r>
    </w:p>
    <w:p>
      <w:pPr>
        <w:pStyle w:val="Normal"/>
        <w:ind w:left="0" w:right="0" w:hanging="0"/>
        <w:rPr/>
      </w:pPr>
      <w:r>
        <w:rPr/>
        <w:tab/>
        <w:t xml:space="preserve">Бытовые устройства измерения уровня топлива широко представлены на рынке лишь в составе мототехники, в </w:t>
      </w:r>
      <w:r>
        <w:rPr/>
        <w:t>кмоплекте с</w:t>
      </w:r>
      <w:r>
        <w:rPr/>
        <w:t xml:space="preserve"> которой они используются; тогда как отдельные универсальные устройства практически отсутствуют в продаже. </w:t>
      </w:r>
      <w:r>
        <w:rPr/>
        <w:t>Таким образм, актуальность данной работы обусловлена потребностью обладателей мототехники, некуомплектованной штатным датчиком топлива,</w:t>
      </w:r>
      <w:r>
        <w:rPr/>
        <w:t xml:space="preserve"> </w:t>
      </w:r>
      <w:r>
        <w:rPr/>
        <w:t xml:space="preserve">легко получать данные о количестве топлива в баке. </w:t>
      </w:r>
    </w:p>
    <w:p>
      <w:pPr>
        <w:pStyle w:val="Normal"/>
        <w:ind w:left="0" w:right="0" w:firstLine="567"/>
        <w:rPr/>
      </w:pPr>
      <w:r>
        <w:rPr/>
        <w:t>Исходными данными для разработки являются электрическая принципиальная схема устройства и требования расширенного технического задания.</w:t>
      </w:r>
    </w:p>
    <w:p>
      <w:pPr>
        <w:pStyle w:val="Normal"/>
        <w:ind w:left="0" w:right="0" w:firstLine="567"/>
        <w:rPr/>
      </w:pPr>
      <w:r>
        <w:rPr/>
        <w:t>Целью разработки является создание работоспособного устройства с заданными характеристиками. Для ее достижения были поставлены следующие задачи:</w:t>
      </w:r>
    </w:p>
    <w:p>
      <w:pPr>
        <w:pStyle w:val="Normal"/>
        <w:numPr>
          <w:ilvl w:val="0"/>
          <w:numId w:val="5"/>
        </w:numPr>
        <w:ind w:left="0" w:right="0" w:firstLine="567"/>
        <w:rPr/>
      </w:pPr>
      <w:r>
        <w:rPr/>
        <w:t xml:space="preserve"> </w:t>
      </w:r>
      <w:r>
        <w:rPr/>
        <w:t>анализ исходных данных;</w:t>
      </w:r>
    </w:p>
    <w:p>
      <w:pPr>
        <w:pStyle w:val="Normal"/>
        <w:numPr>
          <w:ilvl w:val="0"/>
          <w:numId w:val="5"/>
        </w:numPr>
        <w:ind w:left="0" w:right="0" w:firstLine="567"/>
        <w:rPr/>
      </w:pPr>
      <w:r>
        <w:rPr/>
        <w:t xml:space="preserve"> </w:t>
      </w:r>
      <w:r>
        <w:rPr/>
        <w:t>выбор элементной базы, конструкции и материалов;</w:t>
      </w:r>
    </w:p>
    <w:p>
      <w:pPr>
        <w:pStyle w:val="Normal"/>
        <w:numPr>
          <w:ilvl w:val="0"/>
          <w:numId w:val="5"/>
        </w:numPr>
        <w:spacing w:before="0" w:after="120"/>
        <w:ind w:left="0" w:right="0" w:firstLine="567"/>
        <w:rPr/>
      </w:pPr>
      <w:r>
        <w:rPr/>
        <w:t xml:space="preserve"> </w:t>
      </w:r>
      <w:r>
        <w:rPr/>
        <w:t>проведение необходимых расчетов.</w:t>
      </w:r>
    </w:p>
    <w:p>
      <w:pPr>
        <w:pStyle w:val="Normal"/>
        <w:ind w:left="0" w:right="0" w:firstLine="567"/>
        <w:rPr/>
      </w:pPr>
      <w:r>
        <w:rPr/>
        <w:t xml:space="preserve">Результатом выполнения работы является разработанный комплект конструкторской документации для </w:t>
      </w:r>
      <w:r>
        <w:rPr/>
        <w:t>измерителя уровня топлива</w:t>
      </w:r>
      <w:r>
        <w:rPr/>
        <w:t>.</w:t>
      </w:r>
    </w:p>
    <w:p>
      <w:pPr>
        <w:pStyle w:val="Normal"/>
        <w:spacing w:lineRule="auto" w:line="240"/>
        <w:ind w:left="0" w:right="0" w:hanging="0"/>
        <w:jc w:val="left"/>
        <w:rPr/>
      </w:pPr>
      <w:r>
        <w:rPr/>
      </w:r>
      <w:r>
        <w:br w:type="page"/>
      </w:r>
    </w:p>
    <w:p>
      <w:pPr>
        <w:pStyle w:val="Heading1"/>
        <w:rPr/>
      </w:pPr>
      <w:bookmarkStart w:id="6" w:name="_Toc286926457"/>
      <w:bookmarkStart w:id="7" w:name="_Toc325070509"/>
      <w:bookmarkEnd w:id="6"/>
      <w:bookmarkEnd w:id="7"/>
      <w:r>
        <w:rPr/>
        <w:t>2. Расширенное техническое задание</w:t>
      </w:r>
    </w:p>
    <w:p>
      <w:pPr>
        <w:pStyle w:val="Heading2"/>
        <w:rPr/>
      </w:pPr>
      <w:bookmarkStart w:id="8" w:name="_Toc325070510"/>
      <w:bookmarkStart w:id="9" w:name="_Toc286926458"/>
      <w:bookmarkEnd w:id="8"/>
      <w:bookmarkEnd w:id="9"/>
      <w:r>
        <w:rPr/>
        <w:t>2.1 Наименование и область применения изделия</w:t>
      </w:r>
    </w:p>
    <w:p>
      <w:pPr>
        <w:pStyle w:val="Normal"/>
        <w:ind w:left="0" w:right="0" w:firstLine="567"/>
        <w:rPr/>
      </w:pPr>
      <w:r>
        <w:rPr/>
        <w:t>Наименование п</w:t>
      </w:r>
      <w:r>
        <w:rPr/>
        <w:t>рибор</w:t>
      </w:r>
      <w:r>
        <w:rPr/>
        <w:t>а:</w:t>
      </w:r>
      <w:r>
        <w:rPr/>
        <w:t xml:space="preserve"> «</w:t>
      </w:r>
      <w:r>
        <w:rPr/>
        <w:t>измеритель уровня топлива». В сферу применения разрабатываемого измерителя уровня топлива входят мотоциклы, не оборудованные штатным измерителем уровня топлива, а так же практически вся мелкая землеобрабатывающая техника.</w:t>
      </w:r>
    </w:p>
    <w:p>
      <w:pPr>
        <w:pStyle w:val="Heading2"/>
        <w:rPr/>
      </w:pPr>
      <w:bookmarkStart w:id="10" w:name="_Toc325070511"/>
      <w:bookmarkEnd w:id="10"/>
      <w:r>
        <w:rPr/>
        <w:t>2.2 Основание для разработки</w:t>
      </w:r>
    </w:p>
    <w:p>
      <w:pPr>
        <w:pStyle w:val="Normal"/>
        <w:ind w:left="0" w:right="0" w:firstLine="708"/>
        <w:rPr/>
      </w:pPr>
      <w:r>
        <w:rPr/>
        <w:t>Основанием для разработки устройства «Цифровой термометр» является задание на курсовой проект по курсу «Конструкторское проектирование ЭС».</w:t>
      </w:r>
    </w:p>
    <w:p>
      <w:pPr>
        <w:pStyle w:val="Heading2"/>
        <w:rPr/>
      </w:pPr>
      <w:bookmarkStart w:id="11" w:name="_Toc325070512"/>
      <w:bookmarkStart w:id="12" w:name="_Toc286926460"/>
      <w:bookmarkEnd w:id="11"/>
      <w:bookmarkEnd w:id="12"/>
      <w:r>
        <w:rPr/>
        <w:t>2.3 Технические требования</w:t>
      </w:r>
    </w:p>
    <w:p>
      <w:pPr>
        <w:pStyle w:val="Heading3"/>
        <w:rPr/>
      </w:pPr>
      <w:bookmarkStart w:id="13" w:name="_Toc325070513"/>
      <w:bookmarkStart w:id="14" w:name="_Toc286926461"/>
      <w:bookmarkEnd w:id="13"/>
      <w:bookmarkEnd w:id="14"/>
      <w:r>
        <w:rPr/>
        <w:t>2.3.1 Технические параметры.</w:t>
      </w:r>
    </w:p>
    <w:p>
      <w:pPr>
        <w:pStyle w:val="Normal"/>
        <w:rPr/>
      </w:pPr>
      <w:r>
        <w:rPr/>
        <w:t>В табл. 2.3.1.1 представлены технические характеристики обнаружителя:</w:t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/>
      </w:pPr>
      <w:r>
        <w:rPr>
          <w:bCs/>
          <w:sz w:val="22"/>
        </w:rPr>
        <w:t>Таблица 2.3.1.1 -</w:t>
      </w:r>
      <w:r>
        <w:rPr>
          <w:b/>
          <w:bCs/>
          <w:sz w:val="22"/>
        </w:rPr>
        <w:t xml:space="preserve"> </w:t>
      </w:r>
      <w:r>
        <w:rPr>
          <w:sz w:val="22"/>
        </w:rPr>
        <w:t>Технические параметры.</w:t>
      </w:r>
      <w:r>
        <w:rPr>
          <w:b/>
        </w:rPr>
        <w:t xml:space="preserve"> </w:t>
      </w:r>
    </w:p>
    <w:tbl>
      <w:tblPr>
        <w:tblW w:w="10138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19"/>
        <w:gridCol w:w="4219"/>
      </w:tblGrid>
      <w:tr>
        <w:trPr/>
        <w:tc>
          <w:tcPr>
            <w:tcW w:w="5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Наименование параметра</w:t>
            </w:r>
          </w:p>
        </w:tc>
        <w:tc>
          <w:tcPr>
            <w:tcW w:w="4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Значение</w:t>
            </w:r>
          </w:p>
        </w:tc>
      </w:tr>
      <w:tr>
        <w:trPr/>
        <w:tc>
          <w:tcPr>
            <w:tcW w:w="5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left"/>
              <w:rPr/>
            </w:pPr>
            <w:r>
              <w:rPr/>
              <w:t>Напряжение питания, В</w:t>
            </w:r>
          </w:p>
        </w:tc>
        <w:tc>
          <w:tcPr>
            <w:tcW w:w="4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/>
              <w:t>2..4</w:t>
            </w:r>
          </w:p>
        </w:tc>
      </w:tr>
      <w:tr>
        <w:trPr/>
        <w:tc>
          <w:tcPr>
            <w:tcW w:w="5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left"/>
              <w:rPr/>
            </w:pPr>
            <w:r>
              <w:rPr/>
              <w:t xml:space="preserve">Потребляемый ток </w:t>
            </w:r>
            <w:r>
              <w:rPr/>
              <w:t>в активном режиме</w:t>
            </w:r>
            <w:r>
              <w:rPr/>
              <w:t xml:space="preserve"> не более, мА</w:t>
            </w:r>
          </w:p>
        </w:tc>
        <w:tc>
          <w:tcPr>
            <w:tcW w:w="4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/>
              <w:t>20</w:t>
            </w:r>
            <w:r>
              <w:rPr/>
              <w:t>0</w:t>
            </w:r>
          </w:p>
        </w:tc>
      </w:tr>
      <w:tr>
        <w:trPr/>
        <w:tc>
          <w:tcPr>
            <w:tcW w:w="5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szCs w:val="20"/>
                <w:lang w:val="en-US"/>
              </w:rPr>
              <w:t xml:space="preserve">Потребляемый ток </w:t>
            </w:r>
            <w:r>
              <w:rPr>
                <w:szCs w:val="20"/>
                <w:lang w:val="en-US"/>
              </w:rPr>
              <w:t>в режиме</w:t>
            </w:r>
            <w:r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ожидания </w:t>
            </w:r>
            <w:r>
              <w:rPr>
                <w:szCs w:val="20"/>
                <w:lang w:val="en-US"/>
              </w:rPr>
              <w:t>не более, мА</w:t>
            </w:r>
          </w:p>
        </w:tc>
        <w:tc>
          <w:tcPr>
            <w:tcW w:w="4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/>
              <w:t>0,3</w:t>
            </w:r>
          </w:p>
        </w:tc>
      </w:tr>
      <w:tr>
        <w:trPr/>
        <w:tc>
          <w:tcPr>
            <w:tcW w:w="5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left"/>
              <w:rPr/>
            </w:pPr>
            <w:r>
              <w:rPr/>
              <w:t xml:space="preserve">Размер печатной платы </w:t>
            </w:r>
            <w:r>
              <w:rPr/>
              <w:t>не более</w:t>
            </w:r>
            <w:r>
              <w:rPr/>
              <w:t>, мм</w:t>
            </w:r>
          </w:p>
        </w:tc>
        <w:tc>
          <w:tcPr>
            <w:tcW w:w="4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/>
              <w:t>40х40</w:t>
            </w:r>
          </w:p>
        </w:tc>
      </w:tr>
      <w:tr>
        <w:trPr/>
        <w:tc>
          <w:tcPr>
            <w:tcW w:w="5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left"/>
              <w:rPr/>
            </w:pPr>
            <w:r>
              <w:rPr/>
              <w:t xml:space="preserve">Габаритные размеры </w:t>
            </w:r>
            <w:r>
              <w:rPr/>
              <w:t>электронного блока не более</w:t>
            </w:r>
            <w:r>
              <w:rPr/>
              <w:t>, мм</w:t>
            </w:r>
          </w:p>
        </w:tc>
        <w:tc>
          <w:tcPr>
            <w:tcW w:w="4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/>
              <w:t>60х60х40</w:t>
            </w:r>
          </w:p>
        </w:tc>
      </w:tr>
      <w:tr>
        <w:trPr/>
        <w:tc>
          <w:tcPr>
            <w:tcW w:w="591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left"/>
              <w:rPr/>
            </w:pPr>
            <w:r>
              <w:rPr/>
              <w:t xml:space="preserve">Габаритные размеры </w:t>
            </w:r>
            <w:r>
              <w:rPr/>
              <w:t>датчика не более</w:t>
            </w:r>
            <w:r>
              <w:rPr/>
              <w:t>, мм</w:t>
            </w:r>
          </w:p>
        </w:tc>
        <w:tc>
          <w:tcPr>
            <w:tcW w:w="421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/>
              <w:t>250х50х50</w:t>
            </w:r>
          </w:p>
        </w:tc>
      </w:tr>
      <w:tr>
        <w:trPr/>
        <w:tc>
          <w:tcPr>
            <w:tcW w:w="5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left"/>
              <w:rPr/>
            </w:pPr>
            <w:r>
              <w:rPr/>
              <w:t xml:space="preserve">Масса (вместе с элементами питания) </w:t>
            </w:r>
            <w:r>
              <w:rPr/>
              <w:t>не более</w:t>
            </w:r>
            <w:r>
              <w:rPr/>
              <w:t>, г</w:t>
            </w:r>
          </w:p>
        </w:tc>
        <w:tc>
          <w:tcPr>
            <w:tcW w:w="4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/>
              <w:t>10</w:t>
            </w:r>
            <w:r>
              <w:rPr/>
              <w:t>0</w:t>
            </w:r>
          </w:p>
        </w:tc>
      </w:tr>
      <w:tr>
        <w:trPr/>
        <w:tc>
          <w:tcPr>
            <w:tcW w:w="591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left"/>
              <w:rPr/>
            </w:pPr>
            <w:r>
              <w:rPr/>
              <w:t>Точность измерения уровня топлива не менее, %</w:t>
            </w:r>
          </w:p>
        </w:tc>
        <w:tc>
          <w:tcPr>
            <w:tcW w:w="421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/>
              <w:t>5</w:t>
            </w:r>
          </w:p>
        </w:tc>
      </w:tr>
    </w:tbl>
    <w:p>
      <w:pPr>
        <w:pStyle w:val="Normal"/>
        <w:rPr/>
      </w:pPr>
      <w:r>
        <w:rPr/>
        <w:br/>
        <w:br/>
        <w:br/>
        <w:br/>
      </w:r>
    </w:p>
    <w:p>
      <w:pPr>
        <w:pStyle w:val="Heading3"/>
        <w:rPr/>
      </w:pPr>
      <w:bookmarkStart w:id="15" w:name="_Toc325070514"/>
      <w:bookmarkEnd w:id="15"/>
      <w:r>
        <w:rPr/>
        <w:t>2.3.2 Принцип работы устройства</w:t>
      </w:r>
    </w:p>
    <w:p>
      <w:pPr>
        <w:pStyle w:val="Normal"/>
        <w:rPr/>
      </w:pPr>
      <w:r>
        <w:rPr/>
        <w:t xml:space="preserve">Принцип действия прибора основан на изменении </w:t>
      </w:r>
      <w:r>
        <w:rPr/>
        <w:t>ёмкости конденсатора при изменении объемного соотношения заполняющих</w:t>
      </w:r>
      <w:r>
        <w:rPr/>
        <w:t xml:space="preserve"> </w:t>
      </w:r>
      <w:r>
        <w:rPr/>
        <w:t xml:space="preserve">его воздуха и топлива. В </w:t>
      </w:r>
      <w:r>
        <w:rPr/>
        <w:t xml:space="preserve">качестве датчика </w:t>
      </w:r>
      <w:r>
        <w:rPr/>
        <w:t xml:space="preserve">используется </w:t>
      </w:r>
      <w:r>
        <w:rPr/>
        <w:t>открыт</w:t>
      </w:r>
      <w:r>
        <w:rPr/>
        <w:t>ый</w:t>
      </w:r>
      <w:r>
        <w:rPr/>
        <w:t xml:space="preserve"> конденсатор, состоящ</w:t>
      </w:r>
      <w:r>
        <w:rPr/>
        <w:t>ий</w:t>
      </w:r>
      <w:r>
        <w:rPr/>
        <w:t xml:space="preserve"> из двух пластин, между которых может протекать топливо. Емкость такого конденсатора, полностью погруженного в топливо, будет в среднем в два раза больше, чем на воздухе. </w:t>
      </w:r>
      <w:r>
        <w:rPr/>
        <w:t>Измерение ёмкости конденсатора датчика производится засеканием времени, за которое он зарядится до некоторого напряжения через резистор.</w:t>
      </w:r>
    </w:p>
    <w:p>
      <w:pPr>
        <w:pStyle w:val="Heading3"/>
        <w:rPr/>
      </w:pPr>
      <w:bookmarkStart w:id="16" w:name="_Toc325070515"/>
      <w:bookmarkStart w:id="17" w:name="_Toc286926463"/>
      <w:bookmarkEnd w:id="16"/>
      <w:bookmarkEnd w:id="17"/>
      <w:r>
        <w:rPr/>
        <w:t>2.3.3 Требования к надежности</w:t>
      </w:r>
    </w:p>
    <w:p>
      <w:pPr>
        <w:pStyle w:val="Normal"/>
        <w:rPr/>
      </w:pPr>
      <w:r>
        <w:rPr/>
        <w:t>Время работы прибора 1000 часов с гарантированной надежностью Р</w:t>
      </w:r>
      <w:r>
        <w:rPr>
          <w:vertAlign w:val="subscript"/>
        </w:rPr>
        <w:t xml:space="preserve">г </w:t>
      </w:r>
      <w:r>
        <w:rPr/>
        <w:t>= 0,9</w:t>
      </w:r>
      <w:r>
        <w:rPr/>
        <w:t>5</w:t>
      </w:r>
      <w:r>
        <w:rPr/>
        <w:t xml:space="preserve"> в соответствии с </w:t>
      </w:r>
      <w:r>
        <w:rPr/>
        <w:t>ГОСТ 27.002-89</w:t>
      </w:r>
      <w:r>
        <w:rPr/>
        <w:t>.</w:t>
      </w:r>
    </w:p>
    <w:p>
      <w:pPr>
        <w:pStyle w:val="Normal"/>
        <w:rPr/>
      </w:pPr>
      <w:r>
        <w:rPr/>
        <w:t xml:space="preserve">Гарантийный срок эксплуатации - 36 месяцев со дня ввода устройства в эксплуатацию. </w:t>
      </w:r>
    </w:p>
    <w:p>
      <w:pPr>
        <w:pStyle w:val="Normal"/>
        <w:rPr/>
      </w:pPr>
      <w:r>
        <w:rPr/>
        <w:t>Гарантийный срок хранения - 12 месяцев со дня изготовления устройства.</w:t>
      </w:r>
    </w:p>
    <w:p>
      <w:pPr>
        <w:pStyle w:val="Heading3"/>
        <w:rPr/>
      </w:pPr>
      <w:bookmarkStart w:id="18" w:name="_Toc325070516"/>
      <w:bookmarkEnd w:id="18"/>
      <w:r>
        <w:rPr/>
        <w:t>2.3.4 Требования к конструкции</w:t>
      </w:r>
    </w:p>
    <w:p>
      <w:pPr>
        <w:pStyle w:val="Normal"/>
        <w:rPr/>
      </w:pPr>
      <w:r>
        <w:rPr/>
        <w:t xml:space="preserve">Разрабатываемое устройство выполняется в виде одноплатного ТЭЗ, заключенного в пластмассовый корпус и датчика, подключенного к плате </w:t>
      </w:r>
      <w:r>
        <w:rPr/>
        <w:t>проводом</w:t>
      </w:r>
      <w:r>
        <w:rPr/>
        <w:t>.</w:t>
      </w:r>
    </w:p>
    <w:p>
      <w:pPr>
        <w:pStyle w:val="Heading3"/>
        <w:rPr/>
      </w:pPr>
      <w:bookmarkStart w:id="19" w:name="_Toc325070517"/>
      <w:bookmarkStart w:id="20" w:name="_Toc286926464"/>
      <w:r>
        <w:rPr/>
        <w:t>2.3.5 Условия эксплуатации</w:t>
      </w:r>
      <w:bookmarkEnd w:id="20"/>
      <w:bookmarkEnd w:id="19"/>
      <w:r>
        <w:rPr/>
        <w:t xml:space="preserve"> и группа жесткости</w:t>
      </w:r>
    </w:p>
    <w:p>
      <w:pPr>
        <w:pStyle w:val="Normal"/>
        <w:rPr/>
      </w:pPr>
      <w:r>
        <w:rPr/>
        <w:t>Цифровой термометр должен соответствовать требованиям технического задания при воздействии следующих условий: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напряжение питания прибора: постоянное </w:t>
      </w:r>
      <w:r>
        <w:rPr/>
        <w:t>2..4В</w:t>
      </w:r>
      <w:r>
        <w:rPr/>
        <w:t>;</w:t>
      </w:r>
    </w:p>
    <w:p>
      <w:pPr>
        <w:pStyle w:val="ListParagraph"/>
        <w:numPr>
          <w:ilvl w:val="0"/>
          <w:numId w:val="1"/>
        </w:numPr>
        <w:rPr/>
      </w:pPr>
      <w:r>
        <w:rPr/>
        <w:t>вибрация до 100 Гц с ускорением до 10</w:t>
      </w:r>
      <w:r>
        <w:rPr>
          <w:lang w:val="en-US"/>
        </w:rPr>
        <w:t>g</w:t>
      </w:r>
      <w:r>
        <w:rPr/>
        <w:t>;</w:t>
      </w:r>
    </w:p>
    <w:p>
      <w:pPr>
        <w:pStyle w:val="ListParagraph"/>
        <w:numPr>
          <w:ilvl w:val="0"/>
          <w:numId w:val="1"/>
        </w:numPr>
        <w:rPr/>
      </w:pPr>
      <w:r>
        <w:rPr/>
        <w:t>климатическое исполнение: УХЛ 3.1</w:t>
      </w:r>
    </w:p>
    <w:p>
      <w:pPr>
        <w:pStyle w:val="ListParagraph"/>
        <w:numPr>
          <w:ilvl w:val="0"/>
          <w:numId w:val="1"/>
        </w:numPr>
        <w:rPr/>
      </w:pPr>
      <w:r>
        <w:rPr/>
        <w:t>относительная влажность воздуха: 85% при температуре 25</w:t>
      </w:r>
      <w:r>
        <w:rPr>
          <w:vertAlign w:val="superscript"/>
        </w:rPr>
        <w:t>0</w:t>
      </w:r>
      <w:r>
        <w:rPr/>
        <w:t>С;</w:t>
      </w:r>
    </w:p>
    <w:p>
      <w:pPr>
        <w:pStyle w:val="ListParagraph"/>
        <w:numPr>
          <w:ilvl w:val="0"/>
          <w:numId w:val="1"/>
        </w:numPr>
        <w:rPr/>
      </w:pPr>
      <w:r>
        <w:rPr/>
        <w:t>температура окружающей среды: -20</w:t>
      </w:r>
      <w:r>
        <w:rPr>
          <w:rFonts w:ascii="Symbol" w:hAnsi="Symbol"/>
          <w:szCs w:val="20"/>
          <w:lang w:val="en-US"/>
        </w:rPr>
        <w:t></w:t>
      </w:r>
      <w:r>
        <w:rPr/>
        <w:t>С…+70</w:t>
      </w:r>
      <w:r>
        <w:rPr>
          <w:rFonts w:ascii="Symbol" w:hAnsi="Symbol"/>
          <w:szCs w:val="20"/>
          <w:lang w:val="en-US"/>
        </w:rPr>
        <w:t></w:t>
      </w:r>
      <w:r>
        <w:rPr/>
        <w:t>С (для ячейки) и -55</w:t>
      </w:r>
      <w:r>
        <w:rPr>
          <w:rFonts w:ascii="Symbol" w:hAnsi="Symbol"/>
          <w:szCs w:val="20"/>
          <w:lang w:val="en-US"/>
        </w:rPr>
        <w:t></w:t>
      </w:r>
      <w:r>
        <w:rPr/>
        <w:t>С…+125</w:t>
      </w:r>
      <w:r>
        <w:rPr>
          <w:rFonts w:ascii="Symbol" w:hAnsi="Symbol"/>
          <w:szCs w:val="20"/>
          <w:lang w:val="en-US"/>
        </w:rPr>
        <w:t></w:t>
      </w:r>
      <w:r>
        <w:rPr/>
        <w:t>С (для датчика);</w:t>
      </w:r>
    </w:p>
    <w:p>
      <w:pPr>
        <w:pStyle w:val="ListParagraph"/>
        <w:numPr>
          <w:ilvl w:val="0"/>
          <w:numId w:val="1"/>
        </w:numPr>
        <w:rPr/>
      </w:pPr>
      <w:r>
        <w:rPr/>
        <w:t>атмосферное давление 10</w:t>
      </w:r>
      <w:r>
        <w:rPr>
          <w:vertAlign w:val="superscript"/>
        </w:rPr>
        <w:t xml:space="preserve">5 </w:t>
      </w:r>
      <w:r>
        <w:rPr/>
        <w:t>Па.</w:t>
      </w:r>
    </w:p>
    <w:p>
      <w:pPr>
        <w:pStyle w:val="ListParagraph"/>
        <w:ind w:left="0" w:right="0" w:firstLine="709"/>
        <w:rPr/>
      </w:pPr>
      <w:r>
        <w:rPr/>
        <w:t>Согласно ГОСТ 23752-79 для устройства определяется 2-ая группа жесткости.</w:t>
      </w:r>
    </w:p>
    <w:p>
      <w:pPr>
        <w:pStyle w:val="Heading3"/>
        <w:rPr/>
      </w:pPr>
      <w:bookmarkStart w:id="21" w:name="_Toc325070518"/>
      <w:bookmarkEnd w:id="21"/>
      <w:r>
        <w:rPr/>
        <w:t>2.3.6 Требования к транспортировке, хранению и маркировке</w:t>
      </w:r>
    </w:p>
    <w:p>
      <w:pPr>
        <w:pStyle w:val="Normal"/>
        <w:rPr/>
      </w:pPr>
      <w:r>
        <w:rPr/>
        <w:t xml:space="preserve">В силу своего предназначения, а, следовательно, конструкции, устройство относится к классу </w:t>
      </w:r>
      <w:r>
        <w:rPr/>
        <w:t>транспортируемой</w:t>
      </w:r>
      <w:r>
        <w:rPr/>
        <w:t xml:space="preserve"> ЭА. </w:t>
      </w:r>
      <w:r>
        <w:rPr/>
        <w:t>Измеритель уровня топлива</w:t>
      </w:r>
      <w:r>
        <w:rPr/>
        <w:t xml:space="preserve"> должен соответствовать требованиям технического задания при воздействии следующих условий при транспортировке: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многократные удары: </w:t>
      </w:r>
      <w:r>
        <w:rPr/>
        <w:t>10</w:t>
      </w:r>
      <w:r>
        <w:rPr>
          <w:lang w:val="en-US"/>
        </w:rPr>
        <w:t>g</w:t>
      </w:r>
      <w:r>
        <w:rPr/>
        <w:t xml:space="preserve"> длительностью </w:t>
      </w:r>
      <w:r>
        <w:rPr/>
        <w:t>20</w:t>
      </w:r>
      <w:r>
        <w:rPr/>
        <w:t xml:space="preserve"> мс;</w:t>
      </w:r>
    </w:p>
    <w:p>
      <w:pPr>
        <w:pStyle w:val="ListParagraph"/>
        <w:numPr>
          <w:ilvl w:val="0"/>
          <w:numId w:val="1"/>
        </w:numPr>
        <w:rPr/>
      </w:pPr>
      <w:r>
        <w:rPr/>
        <w:t>температура окружающей среды: от -20</w:t>
      </w:r>
      <w:r>
        <w:rPr>
          <w:vertAlign w:val="superscript"/>
        </w:rPr>
        <w:t>0</w:t>
      </w:r>
      <w:r>
        <w:rPr/>
        <w:t>С до +45</w:t>
      </w:r>
      <w:r>
        <w:rPr>
          <w:vertAlign w:val="superscript"/>
        </w:rPr>
        <w:t>0</w:t>
      </w:r>
      <w:r>
        <w:rPr/>
        <w:t>С;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вибрация до 200 Гц с ускорением до </w:t>
      </w:r>
      <w:r>
        <w:rPr/>
        <w:t>2</w:t>
      </w:r>
      <w:r>
        <w:rPr/>
        <w:t>0</w:t>
      </w:r>
      <w:r>
        <w:rPr>
          <w:lang w:val="en-US"/>
        </w:rPr>
        <w:t>g</w:t>
      </w:r>
      <w:r>
        <w:rPr/>
        <w:t>;</w:t>
      </w:r>
    </w:p>
    <w:p>
      <w:pPr>
        <w:pStyle w:val="ListParagraph"/>
        <w:numPr>
          <w:ilvl w:val="0"/>
          <w:numId w:val="1"/>
        </w:numPr>
        <w:rPr/>
      </w:pPr>
      <w:r>
        <w:rPr/>
        <w:t>относительная влажность воздуха: 85% при температуре 25</w:t>
      </w:r>
      <w:r>
        <w:rPr>
          <w:vertAlign w:val="superscript"/>
        </w:rPr>
        <w:t>0</w:t>
      </w:r>
      <w:r>
        <w:rPr/>
        <w:t>С;</w:t>
      </w:r>
    </w:p>
    <w:p>
      <w:pPr>
        <w:pStyle w:val="ListParagraph"/>
        <w:numPr>
          <w:ilvl w:val="0"/>
          <w:numId w:val="1"/>
        </w:numPr>
        <w:rPr/>
      </w:pPr>
      <w:r>
        <w:rPr/>
        <w:t>атмосферное давление 10</w:t>
      </w:r>
      <w:r>
        <w:rPr>
          <w:vertAlign w:val="superscript"/>
        </w:rPr>
        <w:t xml:space="preserve">5 </w:t>
      </w:r>
      <w:r>
        <w:rPr/>
        <w:t>Па;</w:t>
      </w:r>
    </w:p>
    <w:p>
      <w:pPr>
        <w:pStyle w:val="Normal"/>
        <w:rPr/>
      </w:pPr>
      <w:r>
        <w:rPr/>
        <w:t>Измеритель уровня топлива</w:t>
      </w:r>
      <w:r>
        <w:rPr/>
        <w:t xml:space="preserve"> при хранении должен быть уложен в поролоновую укладку внутри упаковки из гофрированного картона по ГОСТ 9142-90. Хранение осуществлять на стеллажах в сухом помещении (в соответствии с условиями хранения по ГОСТ 15150-69). В помещении для хранения не должно быть паров кислот и щелочей, а также газов, вызывающих коррозию и разрушающих изоляцию (условия хранения аппаратуры 5 группы по ГОСТ 15150-69).</w:t>
      </w:r>
    </w:p>
    <w:p>
      <w:pPr>
        <w:pStyle w:val="Normal"/>
        <w:rPr/>
      </w:pPr>
      <w:r>
        <w:rPr/>
        <w:t>Для маркировки прибора используется наклейка, содержащ</w:t>
      </w:r>
      <w:r>
        <w:rPr/>
        <w:t>ая</w:t>
      </w:r>
      <w:r>
        <w:rPr/>
        <w:t xml:space="preserve"> наименовани</w:t>
      </w:r>
      <w:r>
        <w:rPr/>
        <w:t>е</w:t>
      </w:r>
      <w:r>
        <w:rPr/>
        <w:t xml:space="preserve"> прибора «</w:t>
      </w:r>
      <w:r>
        <w:rPr/>
        <w:t>Датчик уровня топлива».</w:t>
      </w:r>
      <w:r>
        <w:rPr/>
        <w:t xml:space="preserve"> Наклейка наносится на фронтальную часть корпуса.</w:t>
      </w:r>
    </w:p>
    <w:p>
      <w:pPr>
        <w:pStyle w:val="Heading3"/>
        <w:rPr/>
      </w:pPr>
      <w:bookmarkStart w:id="22" w:name="_Toc325070519"/>
      <w:bookmarkStart w:id="23" w:name="_Toc286926465"/>
      <w:bookmarkEnd w:id="22"/>
      <w:bookmarkEnd w:id="23"/>
      <w:r>
        <w:rPr/>
        <w:t>2.3.7 Требования к материалам и комплектующим изделиям</w:t>
      </w:r>
    </w:p>
    <w:p>
      <w:pPr>
        <w:pStyle w:val="Normal"/>
        <w:rPr/>
      </w:pPr>
      <w:r>
        <w:rPr/>
        <w:t xml:space="preserve">Используемые материалы и готовые изделия на момент их использования должны иметь сроки хранения и сроки эксплуатации, соответствующие техническому заданию. </w:t>
      </w:r>
      <w:r>
        <w:rPr/>
        <w:t>Готвое изделие должно быть устойчиво к действию бензина марок АИ-91, АИ-93, АИ-95 по  ГОСТ 2084-77, а также дизельного топлива марок Л и З по ГОСТ 305-82.</w:t>
      </w:r>
    </w:p>
    <w:p>
      <w:pPr>
        <w:pStyle w:val="Heading3"/>
        <w:rPr/>
      </w:pPr>
      <w:bookmarkStart w:id="24" w:name="_Toc325070520"/>
      <w:bookmarkEnd w:id="24"/>
      <w:r>
        <w:rPr/>
        <w:t>2.3.8 Требования к патентной чистоте</w:t>
      </w:r>
    </w:p>
    <w:p>
      <w:pPr>
        <w:pStyle w:val="Normal"/>
        <w:rPr/>
      </w:pPr>
      <w:r>
        <w:rPr/>
        <w:t>Патентная чистота должна быть обеспечена в отношении Российской Федерации и стран СНГ.</w:t>
      </w:r>
    </w:p>
    <w:p>
      <w:pPr>
        <w:pStyle w:val="Heading2"/>
        <w:rPr/>
      </w:pPr>
      <w:bookmarkStart w:id="25" w:name="_Toc325070521"/>
      <w:bookmarkStart w:id="26" w:name="_Toc286926466"/>
      <w:r>
        <w:rPr/>
        <w:t xml:space="preserve">2.4 </w:t>
      </w:r>
      <w:bookmarkEnd w:id="26"/>
      <w:bookmarkEnd w:id="25"/>
      <w:r>
        <w:rPr/>
        <w:t>Экономические показатели</w:t>
      </w:r>
    </w:p>
    <w:p>
      <w:pPr>
        <w:pStyle w:val="Normal"/>
        <w:rPr/>
      </w:pPr>
      <w:r>
        <w:rPr/>
        <w:t>Для выпуска прибора "</w:t>
      </w:r>
      <w:r>
        <w:rPr/>
        <w:t>измеритель уровня топлива</w:t>
      </w:r>
      <w:r>
        <w:rPr/>
        <w:t>" установлен мелкосерийный тип производства с годовой программой выпуска 200 шт.</w:t>
      </w:r>
    </w:p>
    <w:p>
      <w:pPr>
        <w:pStyle w:val="Heading2"/>
        <w:rPr/>
      </w:pPr>
      <w:bookmarkStart w:id="27" w:name="_Toc325070522"/>
      <w:bookmarkEnd w:id="27"/>
      <w:r>
        <w:rPr/>
        <w:t>2.5 Порядок испытаний</w:t>
      </w:r>
    </w:p>
    <w:p>
      <w:pPr>
        <w:pStyle w:val="Normal"/>
        <w:rPr/>
      </w:pPr>
      <w:r>
        <w:rPr/>
        <w:t xml:space="preserve">Объект испытаний – разрабатываемый </w:t>
      </w:r>
      <w:r>
        <w:rPr/>
        <w:t>измеритель уровня топлива</w:t>
      </w:r>
      <w:r>
        <w:rPr/>
        <w:t xml:space="preserve">. </w:t>
      </w:r>
    </w:p>
    <w:p>
      <w:pPr>
        <w:pStyle w:val="Normal"/>
        <w:rPr/>
      </w:pPr>
      <w:r>
        <w:rPr/>
        <w:t>Цель испытаний – проверка соответствия характеристик разработанного устройства функциональным и отдельным иным видам требований, изложенным в техническом задании.</w:t>
      </w:r>
    </w:p>
    <w:p>
      <w:pPr>
        <w:pStyle w:val="Normal"/>
        <w:rPr/>
      </w:pPr>
      <w:r>
        <w:rPr/>
        <w:t>Количественные характеристики, подлежащие испытанию:</w:t>
      </w:r>
    </w:p>
    <w:p>
      <w:pPr>
        <w:pStyle w:val="ListParagraph"/>
        <w:numPr>
          <w:ilvl w:val="0"/>
          <w:numId w:val="8"/>
        </w:numPr>
        <w:jc w:val="left"/>
        <w:rPr/>
      </w:pPr>
      <w:r>
        <w:rPr/>
        <w:t xml:space="preserve">сила тока </w:t>
      </w:r>
      <w:r>
        <w:rPr/>
        <w:t>питания устройства в активном режиме и режиме ожидания;</w:t>
      </w:r>
    </w:p>
    <w:p>
      <w:pPr>
        <w:pStyle w:val="ListParagraph"/>
        <w:numPr>
          <w:ilvl w:val="0"/>
          <w:numId w:val="8"/>
        </w:numPr>
        <w:jc w:val="left"/>
        <w:rPr/>
      </w:pPr>
      <w:r>
        <w:rPr/>
        <w:t>точность измерения уровня топлива.</w:t>
      </w:r>
    </w:p>
    <w:p>
      <w:pPr>
        <w:pStyle w:val="Normal"/>
        <w:rPr/>
      </w:pPr>
      <w:r>
        <w:rPr/>
        <w:t>Качественные характеристики, подлежащие испытанию:</w:t>
      </w:r>
    </w:p>
    <w:p>
      <w:pPr>
        <w:pStyle w:val="ListParagraph"/>
        <w:numPr>
          <w:ilvl w:val="0"/>
          <w:numId w:val="9"/>
        </w:numPr>
        <w:jc w:val="left"/>
        <w:rPr/>
      </w:pPr>
      <w:r>
        <w:rPr/>
        <w:t>качество визуального отображения температуры на индикаторе.</w:t>
      </w:r>
    </w:p>
    <w:p>
      <w:pPr>
        <w:pStyle w:val="Heading2"/>
        <w:rPr/>
      </w:pPr>
      <w:bookmarkStart w:id="28" w:name="_Toc325070523"/>
      <w:bookmarkEnd w:id="28"/>
      <w:r>
        <w:rPr/>
        <w:t>Выводы</w:t>
      </w:r>
    </w:p>
    <w:p>
      <w:pPr>
        <w:pStyle w:val="Normal"/>
        <w:rPr/>
      </w:pPr>
      <w:r>
        <w:rPr/>
        <w:t xml:space="preserve">Разработанное расширенное ТЗ полностью удовлетворяет требованиям ГОСТ 25123-82, учитывающий порядок построения, изложения и оформления технического задания. В данном разделе были  перечислены технические параметры </w:t>
      </w:r>
      <w:bookmarkStart w:id="29" w:name="_GoBack"/>
      <w:bookmarkEnd w:id="29"/>
      <w:r>
        <w:rPr/>
        <w:t>измерителя уровня топлива</w:t>
      </w:r>
      <w:r>
        <w:rPr/>
        <w:t>; изложен принцип работы устройства; были разработаны требования к надежности, эксплуатации, транспортировке, хранению, маркировке, требования к материалам и компонентам, требования к конструкции и к патентной чистоте. В экономических показателях была дана годовая программа выпуска прибора, в заключение был приведен порядок испытаний прибора на соответствие характеристик требованиям, перечисленным в ТЗ.</w:t>
      </w:r>
      <w:r>
        <w:br w:type="page"/>
      </w:r>
    </w:p>
    <w:p>
      <w:pPr>
        <w:pStyle w:val="Heading1"/>
        <w:rPr/>
      </w:pPr>
      <w:bookmarkStart w:id="30" w:name="_Toc325070524"/>
      <w:bookmarkEnd w:id="30"/>
      <w:r>
        <w:rPr/>
        <w:t>3. Схемотехническая часть</w:t>
      </w:r>
    </w:p>
    <w:p>
      <w:pPr>
        <w:pStyle w:val="Heading2"/>
        <w:rPr/>
      </w:pPr>
      <w:bookmarkStart w:id="31" w:name="_Toc325070525"/>
      <w:bookmarkEnd w:id="31"/>
      <w:r>
        <w:rPr/>
        <w:t>3.1 Анализ электрической структурной схемы устройства</w:t>
      </w:r>
    </w:p>
    <w:p>
      <w:pPr>
        <w:pStyle w:val="Normal"/>
        <w:rPr/>
      </w:pPr>
      <w:r>
        <w:rPr/>
        <w:t>Устройство измеритель уровня топлива</w:t>
      </w:r>
      <w:r>
        <w:rPr/>
        <w:t xml:space="preserve"> можно структурно разделить на несколько основных частей: </w:t>
      </w:r>
    </w:p>
    <w:p>
      <w:pPr>
        <w:pStyle w:val="ListParagraph"/>
        <w:numPr>
          <w:ilvl w:val="0"/>
          <w:numId w:val="7"/>
        </w:numPr>
        <w:rPr/>
      </w:pPr>
      <w:r>
        <w:rPr/>
        <w:t>Погружная часть измерителя</w:t>
      </w:r>
      <w:r>
        <w:rPr/>
        <w:t>;</w:t>
      </w:r>
    </w:p>
    <w:p>
      <w:pPr>
        <w:pStyle w:val="ListParagraph"/>
        <w:numPr>
          <w:ilvl w:val="0"/>
          <w:numId w:val="7"/>
        </w:numPr>
        <w:rPr/>
      </w:pPr>
      <w:r>
        <w:rPr/>
        <w:t>Наружная часть измерителя</w:t>
      </w:r>
      <w:r>
        <w:rPr/>
        <w:t xml:space="preserve">; </w:t>
      </w:r>
    </w:p>
    <w:p>
      <w:pPr>
        <w:pStyle w:val="ListParagraph"/>
        <w:numPr>
          <w:ilvl w:val="0"/>
          <w:numId w:val="7"/>
        </w:numPr>
        <w:rPr/>
      </w:pPr>
      <w:r>
        <w:rPr/>
        <w:t>Индикация;</w:t>
      </w:r>
    </w:p>
    <w:p>
      <w:pPr>
        <w:pStyle w:val="ListParagraph"/>
        <w:numPr>
          <w:ilvl w:val="0"/>
          <w:numId w:val="7"/>
        </w:numPr>
        <w:rPr/>
      </w:pPr>
      <w:r>
        <w:rPr/>
        <w:t>Кнопка управления.</w:t>
      </w:r>
      <w:r>
        <w:rPr/>
        <w:t xml:space="preserve"> </w:t>
      </w:r>
    </w:p>
    <w:p>
      <w:pPr>
        <w:pStyle w:val="Normal"/>
        <w:rPr/>
      </w:pPr>
      <w:r>
        <w:rPr/>
        <w:t xml:space="preserve">Электрическая структурная схема устройства (ИУ4.02.01.00 Э1) представлена на рисунке 3.1.1: </w:t>
      </w:r>
    </w:p>
    <w:p>
      <w:pPr>
        <w:pStyle w:val="Normal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35295" cy="397700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jc w:val="center"/>
        <w:rPr>
          <w:sz w:val="22"/>
        </w:rPr>
      </w:pPr>
      <w:r>
        <w:rPr>
          <w:sz w:val="22"/>
        </w:rPr>
        <w:t>Рисунок 3.1.1. Схема электрическая структурная устройства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Погружная часть измерителья представляет собой открытый конденсатор, сообщающийся с наружной частью посредством проводов. Кнопка запуска и индикация служат для взаимодействия пользователя с устройством.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32" w:name="_Toc325070526"/>
      <w:bookmarkEnd w:id="32"/>
      <w:r>
        <w:rPr/>
        <w:t>3.2 Анализ электрической функциональной схемы устройства</w:t>
      </w:r>
    </w:p>
    <w:p>
      <w:pPr>
        <w:pStyle w:val="Normal"/>
        <w:rPr/>
      </w:pPr>
      <w:r>
        <w:rPr/>
        <w:t>Устройство измеритель уровня топлива</w:t>
      </w:r>
      <w:r>
        <w:rPr/>
        <w:t xml:space="preserve"> </w:t>
      </w:r>
      <w:r>
        <w:rPr/>
        <w:t>делится на следующие функциональные составляющие</w:t>
      </w:r>
      <w:r>
        <w:rPr/>
        <w:t xml:space="preserve">: </w:t>
      </w:r>
    </w:p>
    <w:p>
      <w:pPr>
        <w:pStyle w:val="ListParagraph"/>
        <w:numPr>
          <w:ilvl w:val="0"/>
          <w:numId w:val="7"/>
        </w:numPr>
        <w:rPr/>
      </w:pPr>
      <w:r>
        <w:rPr/>
        <w:t>Микроконтроллер;</w:t>
      </w:r>
    </w:p>
    <w:p>
      <w:pPr>
        <w:pStyle w:val="ListParagraph"/>
        <w:numPr>
          <w:ilvl w:val="0"/>
          <w:numId w:val="7"/>
        </w:numPr>
        <w:rPr/>
      </w:pPr>
      <w:r>
        <w:rPr/>
        <w:t>Генератор опорного напряжения</w:t>
      </w:r>
      <w:r>
        <w:rPr/>
        <w:t xml:space="preserve">; </w:t>
      </w:r>
    </w:p>
    <w:p>
      <w:pPr>
        <w:pStyle w:val="ListParagraph"/>
        <w:numPr>
          <w:ilvl w:val="0"/>
          <w:numId w:val="7"/>
        </w:numPr>
        <w:rPr/>
      </w:pPr>
      <w:r>
        <w:rPr/>
        <w:t>Датчик уровня топлива;</w:t>
      </w:r>
    </w:p>
    <w:p>
      <w:pPr>
        <w:pStyle w:val="ListParagraph"/>
        <w:numPr>
          <w:ilvl w:val="0"/>
          <w:numId w:val="7"/>
        </w:numPr>
        <w:rPr/>
      </w:pPr>
      <w:r>
        <w:rPr/>
        <w:t>Семисегментный индикатор.</w:t>
      </w:r>
      <w:r>
        <w:rPr/>
        <w:t xml:space="preserve"> </w:t>
      </w:r>
    </w:p>
    <w:p>
      <w:pPr>
        <w:pStyle w:val="Normal"/>
        <w:rPr/>
      </w:pPr>
      <w:r>
        <w:rPr/>
        <w:t>Электрическая функциональная схема устройства (ИУ4.02.01.00 Э2) представлена</w:t>
      </w:r>
      <w:r>
        <w:rPr>
          <w:sz w:val="22"/>
        </w:rPr>
        <w:t xml:space="preserve"> </w:t>
      </w:r>
      <w:r>
        <w:rPr/>
        <w:t>на рисунке 3.2.1.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452755</wp:posOffset>
            </wp:positionH>
            <wp:positionV relativeFrom="paragraph">
              <wp:posOffset>90805</wp:posOffset>
            </wp:positionV>
            <wp:extent cx="5097145" cy="366141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ab/>
      </w:r>
      <w:r>
        <w:rPr>
          <w:sz w:val="22"/>
        </w:rPr>
        <w:t>Рисунок 3.1.2. Схема электрическая функциональная устройства</w:t>
      </w:r>
    </w:p>
    <w:p>
      <w:pPr>
        <w:pStyle w:val="Normal"/>
        <w:spacing w:lineRule="auto" w:line="240"/>
        <w:ind w:left="0" w:right="0" w:hanging="0"/>
        <w:jc w:val="left"/>
        <w:rPr/>
      </w:pPr>
      <w:r>
        <w:rPr/>
      </w:r>
    </w:p>
    <w:p>
      <w:pPr>
        <w:pStyle w:val="Normal"/>
        <w:spacing w:lineRule="auto" w:line="240"/>
        <w:ind w:left="0" w:right="0" w:hanging="0"/>
        <w:jc w:val="left"/>
        <w:rPr/>
      </w:pPr>
      <w:r>
        <w:rPr/>
        <w:tab/>
        <w:t>По нажатию кнопки микроконтроллер начинает замер скорости разрядки конденсатора, после чего вычисляет относительную заполненность бака и выводит результат на семисегментный индикатор.</w:t>
      </w:r>
    </w:p>
    <w:p>
      <w:pPr>
        <w:pStyle w:val="Normal"/>
        <w:spacing w:lineRule="auto" w:line="240"/>
        <w:ind w:left="0" w:right="0" w:hanging="0"/>
        <w:jc w:val="left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40"/>
        <w:ind w:left="0" w:right="0" w:hanging="0"/>
        <w:jc w:val="left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40"/>
        <w:ind w:left="0" w:right="0" w:hanging="0"/>
        <w:jc w:val="left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40"/>
        <w:ind w:left="0" w:right="0" w:hanging="0"/>
        <w:jc w:val="left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40"/>
        <w:ind w:left="0" w:right="0" w:hanging="0"/>
        <w:jc w:val="left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40"/>
        <w:ind w:left="0" w:right="0" w:hanging="0"/>
        <w:jc w:val="left"/>
        <w:rPr>
          <w:sz w:val="22"/>
        </w:rPr>
      </w:pPr>
      <w:r>
        <w:rPr>
          <w:sz w:val="22"/>
        </w:rPr>
      </w:r>
    </w:p>
    <w:p>
      <w:pPr>
        <w:pStyle w:val="Heading2"/>
        <w:rPr/>
      </w:pPr>
      <w:bookmarkStart w:id="33" w:name="_Toc325070527"/>
      <w:bookmarkEnd w:id="33"/>
      <w:r>
        <w:rPr/>
        <w:t>3.3 Анализ электрической принципиальной схемы устройства</w:t>
      </w:r>
    </w:p>
    <w:p>
      <w:pPr>
        <w:pStyle w:val="Normal"/>
        <w:rPr/>
      </w:pPr>
      <w:r>
        <w:rPr/>
        <w:t>Электрическая принципиальная схема (ИУ4.02.01.00 Э3) представлена на рисунке 3.3.1.</w:t>
      </w:r>
    </w:p>
    <w:p>
      <w:pPr>
        <w:pStyle w:val="Normal"/>
        <w:spacing w:lineRule="auto" w:line="480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00470" cy="42284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2"/>
        </w:rPr>
      </w:pPr>
      <w:r>
        <w:rPr>
          <w:sz w:val="22"/>
        </w:rPr>
        <w:t>Рисунок 3.3.1. Схема электрическая принципиальная устройства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firstLine="708"/>
        <w:rPr/>
      </w:pPr>
      <w:r>
        <w:rPr/>
        <w:t xml:space="preserve">Программирование и питание схемы осуществляется посредством разъема </w:t>
      </w:r>
      <w:r>
        <w:rPr>
          <w:lang w:val="en-US"/>
        </w:rPr>
        <w:t xml:space="preserve">X3. </w:t>
      </w:r>
      <w:r>
        <w:rPr>
          <w:lang w:val="ru-RU"/>
        </w:rPr>
        <w:t xml:space="preserve">Линия тактовой частоты используется также для подключения кнопки, которая не используется при программировании контроллера. Также линия программирования </w:t>
      </w:r>
      <w:r>
        <w:rPr>
          <w:lang w:val="en-US"/>
        </w:rPr>
        <w:t xml:space="preserve">MISO </w:t>
      </w:r>
      <w:r>
        <w:rPr>
          <w:lang w:val="ru-RU"/>
        </w:rPr>
        <w:t xml:space="preserve">используется вне режима программирования для подключения одного из светодиодов индикации посредством перемычки. </w:t>
      </w:r>
      <w:r>
        <w:rPr>
          <w:lang w:val="ru-RU"/>
        </w:rPr>
        <w:t xml:space="preserve">Светодиоды индикации подключены через токоограничивающие резисторы. На резисторах </w:t>
      </w:r>
      <w:r>
        <w:rPr>
          <w:lang w:val="en-US"/>
        </w:rPr>
        <w:t xml:space="preserve">R8, R9  </w:t>
      </w:r>
      <w:r>
        <w:rPr>
          <w:lang w:val="ru-RU"/>
        </w:rPr>
        <w:t xml:space="preserve">собран делитель для получения опорного напряжения компаратора. К разъему </w:t>
      </w:r>
      <w:r>
        <w:rPr>
          <w:lang w:val="en-US"/>
        </w:rPr>
        <w:t xml:space="preserve">X2 </w:t>
      </w:r>
      <w:r>
        <w:rPr>
          <w:lang w:val="ru-RU"/>
        </w:rPr>
        <w:t xml:space="preserve">подключается внешний датчик. Его конденсатор подключен к выводу микроконтроллера и к напряжению питания через два резистора </w:t>
      </w:r>
      <w:r>
        <w:rPr>
          <w:lang w:val="en-US"/>
        </w:rPr>
        <w:t>R10, R11</w:t>
      </w:r>
      <w:r>
        <w:rPr>
          <w:lang w:val="ru-RU"/>
        </w:rPr>
        <w:t>, на несколько порядков отличающихся по номиналу. Через один из них происходит изначальная быстрая разрядка, а через другой — медленная зарядка конденсатора.</w:t>
      </w:r>
    </w:p>
    <w:p>
      <w:pPr>
        <w:pStyle w:val="Heading2"/>
        <w:rPr/>
      </w:pPr>
      <w:r>
        <w:rPr/>
        <w:t>3</w:t>
      </w:r>
      <w:bookmarkStart w:id="34" w:name="_Toc325070528"/>
      <w:bookmarkEnd w:id="34"/>
      <w:r>
        <w:rPr/>
        <w:t>.4 Функциональное предназначение ЭРЭ</w:t>
      </w:r>
    </w:p>
    <w:p>
      <w:pPr>
        <w:pStyle w:val="Normal"/>
        <w:ind w:left="0" w:right="0" w:firstLine="708"/>
        <w:rPr/>
      </w:pPr>
      <w:r>
        <w:rPr/>
        <w:t xml:space="preserve">В качестве микроконтроллера </w:t>
      </w:r>
      <w:r>
        <w:rPr>
          <w:lang w:val="en-US"/>
        </w:rPr>
        <w:t>MCU1</w:t>
      </w:r>
      <w:r>
        <w:rPr/>
        <w:t xml:space="preserve"> выбрана микросхема </w:t>
      </w:r>
      <w:r>
        <w:rPr>
          <w:lang w:val="en-US"/>
        </w:rPr>
        <w:t>ATtiny2</w:t>
      </w:r>
      <w:r>
        <w:rPr>
          <w:lang w:val="en-US"/>
        </w:rPr>
        <w:t>4</w:t>
      </w:r>
      <w:r>
        <w:rPr>
          <w:lang w:val="en-US"/>
        </w:rPr>
        <w:t>V</w:t>
      </w:r>
      <w:r>
        <w:rPr/>
        <w:t xml:space="preserve"> фирмы </w:t>
      </w:r>
      <w:r>
        <w:rPr>
          <w:lang w:val="en-US"/>
        </w:rPr>
        <w:t xml:space="preserve">Atmel. </w:t>
      </w:r>
      <w:r>
        <w:rPr>
          <w:lang w:val="ru-RU"/>
        </w:rPr>
        <w:t xml:space="preserve">Резисторы </w:t>
      </w:r>
      <w:r>
        <w:rPr>
          <w:lang w:val="en-US"/>
        </w:rPr>
        <w:t xml:space="preserve">R1..R7 </w:t>
      </w:r>
      <w:r>
        <w:rPr>
          <w:lang w:val="ru-RU"/>
        </w:rPr>
        <w:t xml:space="preserve">ограничивают ток через светодиоды индикатора </w:t>
      </w:r>
      <w:r>
        <w:rPr>
          <w:lang w:val="en-US"/>
        </w:rPr>
        <w:t xml:space="preserve">DPY1. </w:t>
      </w:r>
      <w:r>
        <w:rPr>
          <w:lang w:val="ru-RU"/>
        </w:rPr>
        <w:t xml:space="preserve">Резисторы </w:t>
      </w:r>
      <w:r>
        <w:rPr>
          <w:lang w:val="en-US"/>
        </w:rPr>
        <w:t>R8, R9  о</w:t>
      </w:r>
      <w:r>
        <w:rPr>
          <w:lang w:val="ru-RU"/>
        </w:rPr>
        <w:t xml:space="preserve">бразуют делитель для получения опорного напряжения компаратора. Резистор </w:t>
      </w:r>
      <w:r>
        <w:rPr>
          <w:lang w:val="en-US"/>
        </w:rPr>
        <w:t xml:space="preserve">R10 </w:t>
      </w:r>
      <w:r>
        <w:rPr>
          <w:lang w:val="ru-RU"/>
        </w:rPr>
        <w:t xml:space="preserve">служит для медленной зарядки конденсатора датчика, а резистор </w:t>
      </w:r>
      <w:r>
        <w:rPr>
          <w:lang w:val="en-US"/>
        </w:rPr>
        <w:t xml:space="preserve">R11 – </w:t>
      </w:r>
      <w:r>
        <w:rPr>
          <w:lang w:val="ru-RU"/>
        </w:rPr>
        <w:t xml:space="preserve">для быстрой разрядки и измерения напряжения на конденсаторе. Ключ </w:t>
      </w:r>
      <w:r>
        <w:rPr>
          <w:lang w:val="en-US"/>
        </w:rPr>
        <w:t xml:space="preserve">S1 </w:t>
      </w:r>
      <w:r>
        <w:rPr>
          <w:lang w:val="ru-RU"/>
        </w:rPr>
        <w:t xml:space="preserve">используется для управления работой устройства. Индикатор </w:t>
      </w:r>
      <w:r>
        <w:rPr>
          <w:lang w:val="en-US"/>
        </w:rPr>
        <w:t xml:space="preserve">DPY1 </w:t>
      </w:r>
      <w:r>
        <w:rPr>
          <w:lang w:val="ru-RU"/>
        </w:rPr>
        <w:t xml:space="preserve">используется для вывода информации. Перемычка разъема </w:t>
      </w:r>
      <w:r>
        <w:rPr>
          <w:lang w:val="en-US"/>
        </w:rPr>
        <w:t xml:space="preserve">X1 </w:t>
      </w:r>
      <w:r>
        <w:rPr>
          <w:lang w:val="ru-RU"/>
        </w:rPr>
        <w:t>используется для переключения между режимами программирования и штатной работы устройства.</w:t>
      </w:r>
    </w:p>
    <w:p>
      <w:pPr>
        <w:pStyle w:val="Heading2"/>
        <w:rPr/>
      </w:pPr>
      <w:bookmarkStart w:id="35" w:name="_Toc325070529"/>
      <w:bookmarkEnd w:id="35"/>
      <w:r>
        <w:rPr/>
        <w:t>3.5 Анализ элементной базы</w:t>
      </w:r>
    </w:p>
    <w:p>
      <w:pPr>
        <w:pStyle w:val="Normal"/>
        <w:rPr/>
      </w:pPr>
      <w:r>
        <w:rPr/>
        <w:t xml:space="preserve">В целях удешевления конструкции и уменьшения </w:t>
      </w:r>
      <w:r>
        <w:rPr/>
        <w:t xml:space="preserve">габаритных размеров устройства все резисторы выбраны типа </w:t>
      </w:r>
      <w:r>
        <w:rPr>
          <w:lang w:val="en-US"/>
        </w:rPr>
        <w:t>SMD</w:t>
      </w:r>
      <w:r>
        <w:rPr>
          <w:lang w:val="ru-RU"/>
        </w:rPr>
        <w:t xml:space="preserve">0805. Микроконтроллер </w:t>
      </w:r>
      <w:r>
        <w:rPr>
          <w:lang w:val="ru-RU"/>
        </w:rPr>
        <w:t xml:space="preserve">выбран в корпусе </w:t>
      </w:r>
      <w:r>
        <w:rPr>
          <w:lang w:val="en-US"/>
        </w:rPr>
        <w:t xml:space="preserve">SO14. </w:t>
      </w:r>
    </w:p>
    <w:p>
      <w:pPr>
        <w:pStyle w:val="Normal"/>
        <w:rPr/>
      </w:pPr>
      <w:r>
        <w:rPr>
          <w:lang w:val="ru-RU"/>
        </w:rPr>
        <w:t xml:space="preserve">Разъем датчика выбран угловой с фиксирующей защелкой для удобства монтажа и демонтажа. Разъемы </w:t>
      </w:r>
      <w:r>
        <w:rPr>
          <w:lang w:val="en-US"/>
        </w:rPr>
        <w:t>X</w:t>
      </w:r>
      <w:r>
        <w:rPr>
          <w:lang w:val="ru-RU"/>
        </w:rPr>
        <w:t>1</w:t>
      </w:r>
      <w:r>
        <w:rPr>
          <w:lang w:val="en-US"/>
        </w:rPr>
        <w:t xml:space="preserve">, X3 </w:t>
      </w:r>
      <w:r>
        <w:rPr>
          <w:lang w:val="ru-RU"/>
        </w:rPr>
        <w:t>выбраны прямыми штыревыми для уменьшения габаритов.</w:t>
      </w:r>
    </w:p>
    <w:p>
      <w:pPr>
        <w:pStyle w:val="Normal"/>
        <w:rPr/>
      </w:pPr>
      <w:r>
        <w:rPr>
          <w:lang w:val="ru-RU"/>
        </w:rPr>
        <w:t xml:space="preserve">Кнопка </w:t>
      </w:r>
      <w:r>
        <w:rPr>
          <w:lang w:val="en-US"/>
        </w:rPr>
        <w:t xml:space="preserve">S1  - </w:t>
      </w:r>
      <w:r>
        <w:rPr>
          <w:lang w:val="ru-RU"/>
        </w:rPr>
        <w:t>тактовая с высотой, превышающей высоту имеющихся на плате разъемов на толщину верхней крышки корпуса.</w:t>
      </w:r>
    </w:p>
    <w:p>
      <w:pPr>
        <w:pStyle w:val="Normal"/>
        <w:rPr/>
      </w:pPr>
      <w:r>
        <w:rPr/>
        <w:t>Таким образом, элементная база прибора состоит из недорогих надежных компонентов. Эксплуатационные параметры компонентов соответствуют условиям эксплуатации, оговоренным в ТЗ.</w:t>
      </w:r>
    </w:p>
    <w:p>
      <w:pPr>
        <w:pStyle w:val="Normal"/>
        <w:ind w:left="0" w:right="0" w:firstLine="708"/>
        <w:rPr/>
      </w:pPr>
      <w:r>
        <w:rPr/>
        <w:t>В табл. 3.5.1 приведён перечень основных элементов устройства и их характеристик.</w:t>
      </w:r>
    </w:p>
    <w:p>
      <w:pPr>
        <w:pStyle w:val="Normal"/>
        <w:ind w:left="0" w:right="0" w:firstLine="708"/>
        <w:rPr/>
      </w:pPr>
      <w:r>
        <w:rPr/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</w:p>
    <w:p>
      <w:pPr>
        <w:pStyle w:val="Normal"/>
        <w:ind w:left="0" w:right="0" w:hanging="0"/>
        <w:jc w:val="right"/>
        <w:rPr>
          <w:bCs/>
          <w:sz w:val="22"/>
        </w:rPr>
      </w:pPr>
      <w:r>
        <w:rPr>
          <w:bCs/>
          <w:sz w:val="22"/>
        </w:rPr>
      </w:r>
      <w:r>
        <w:br w:type="page"/>
      </w:r>
    </w:p>
    <w:p>
      <w:pPr>
        <w:pStyle w:val="Normal"/>
        <w:ind w:left="0" w:right="0" w:hanging="0"/>
        <w:jc w:val="right"/>
        <w:rPr/>
      </w:pPr>
      <w:r>
        <w:rPr>
          <w:bCs/>
          <w:sz w:val="22"/>
        </w:rPr>
        <w:t>Таблица 3.5.1 -</w:t>
      </w:r>
      <w:r>
        <w:rPr>
          <w:b/>
          <w:bCs/>
          <w:sz w:val="22"/>
        </w:rPr>
        <w:t xml:space="preserve"> </w:t>
      </w:r>
      <w:r>
        <w:rPr>
          <w:sz w:val="22"/>
        </w:rPr>
        <w:t>Элементная база</w:t>
      </w:r>
    </w:p>
    <w:tbl>
      <w:tblPr>
        <w:tblW w:w="10349" w:type="dxa"/>
        <w:jc w:val="left"/>
        <w:tblInd w:w="-176" w:type="dxa"/>
        <w:tblBorders>
          <w:top w:val="single" w:sz="4" w:space="0" w:color="00000A"/>
          <w:left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"/>
        <w:gridCol w:w="851"/>
        <w:gridCol w:w="1416"/>
        <w:gridCol w:w="993"/>
        <w:gridCol w:w="709"/>
        <w:gridCol w:w="1275"/>
        <w:gridCol w:w="1134"/>
        <w:gridCol w:w="993"/>
        <w:gridCol w:w="1134"/>
        <w:gridCol w:w="1419"/>
      </w:tblGrid>
      <w:tr>
        <w:trPr>
          <w:tblHeader w:val="true"/>
          <w:trHeight w:val="555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Наименование эл-та</w:t>
            </w:r>
          </w:p>
        </w:tc>
        <w:tc>
          <w:tcPr>
            <w:tcW w:w="9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Корпус</w:t>
            </w:r>
          </w:p>
        </w:tc>
        <w:tc>
          <w:tcPr>
            <w:tcW w:w="709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Кол- во, шт.</w:t>
            </w:r>
          </w:p>
        </w:tc>
        <w:tc>
          <w:tcPr>
            <w:tcW w:w="5955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Параметры внешних воздействий</w:t>
            </w:r>
          </w:p>
        </w:tc>
      </w:tr>
      <w:tr>
        <w:trPr>
          <w:trHeight w:val="413" w:hRule="atLeast"/>
          <w:cantSplit w:val="true"/>
        </w:trPr>
        <w:tc>
          <w:tcPr>
            <w:tcW w:w="425" w:type="dxa"/>
            <w:tcBorders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№</w:t>
            </w:r>
          </w:p>
        </w:tc>
        <w:tc>
          <w:tcPr>
            <w:tcW w:w="851" w:type="dxa"/>
            <w:tcBorders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Поз.</w:t>
            </w:r>
          </w:p>
        </w:tc>
        <w:tc>
          <w:tcPr>
            <w:tcW w:w="1416" w:type="dxa"/>
            <w:vMerge w:val="continue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93" w:type="dxa"/>
            <w:vMerge w:val="continue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709" w:type="dxa"/>
            <w:vMerge w:val="continue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275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b/>
                <w:bCs/>
                <w:sz w:val="20"/>
                <w:szCs w:val="20"/>
              </w:rPr>
              <w:t xml:space="preserve">Диапазон температур, 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b/>
                <w:bCs/>
                <w:sz w:val="20"/>
                <w:szCs w:val="20"/>
              </w:rPr>
              <w:t>С</w:t>
            </w:r>
          </w:p>
        </w:tc>
        <w:tc>
          <w:tcPr>
            <w:tcW w:w="1134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pacing w:val="0"/>
                <w:sz w:val="20"/>
                <w:szCs w:val="20"/>
              </w:rPr>
            </w:pPr>
            <w:r>
              <w:rPr>
                <w:b/>
                <w:bCs/>
                <w:spacing w:val="0"/>
                <w:sz w:val="20"/>
                <w:szCs w:val="20"/>
              </w:rPr>
              <w:t>Влажность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pacing w:val="0"/>
                <w:sz w:val="20"/>
                <w:szCs w:val="20"/>
              </w:rPr>
            </w:pPr>
            <w:r>
              <w:rPr>
                <w:b/>
                <w:bCs/>
                <w:spacing w:val="0"/>
                <w:sz w:val="20"/>
                <w:szCs w:val="20"/>
              </w:rPr>
              <w:t>Вибрация</w:t>
            </w:r>
          </w:p>
        </w:tc>
        <w:tc>
          <w:tcPr>
            <w:tcW w:w="1419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b/>
                <w:bCs/>
                <w:sz w:val="20"/>
                <w:szCs w:val="20"/>
              </w:rPr>
              <w:t xml:space="preserve">Ударные перегрузки, </w:t>
            </w:r>
            <w:r>
              <w:rPr>
                <w:b/>
                <w:bCs/>
                <w:sz w:val="20"/>
                <w:szCs w:val="20"/>
                <w:lang w:val="en-US"/>
              </w:rPr>
              <w:t>g</w:t>
            </w:r>
          </w:p>
        </w:tc>
      </w:tr>
      <w:tr>
        <w:trPr>
          <w:trHeight w:val="412" w:hRule="atLeast"/>
          <w:cantSplit w:val="true"/>
        </w:trPr>
        <w:tc>
          <w:tcPr>
            <w:tcW w:w="42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85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</w:r>
          </w:p>
        </w:tc>
        <w:tc>
          <w:tcPr>
            <w:tcW w:w="1416" w:type="dxa"/>
            <w:vMerge w:val="continue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93" w:type="dxa"/>
            <w:vMerge w:val="continue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709" w:type="dxa"/>
            <w:vMerge w:val="continue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275" w:type="dxa"/>
            <w:vMerge w:val="continue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134" w:type="dxa"/>
            <w:vMerge w:val="continue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spacing w:val="0"/>
                <w:sz w:val="20"/>
                <w:szCs w:val="20"/>
              </w:rPr>
            </w:pPr>
            <w:r>
              <w:rPr>
                <w:b/>
                <w:bCs/>
                <w:spacing w:val="0"/>
                <w:sz w:val="20"/>
                <w:szCs w:val="20"/>
              </w:rPr>
              <w:t>Частота, Гц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b/>
                <w:bCs/>
                <w:spacing w:val="0"/>
                <w:sz w:val="20"/>
                <w:szCs w:val="20"/>
              </w:rPr>
              <w:t xml:space="preserve">Перегрузка, </w:t>
            </w:r>
            <w:r>
              <w:rPr>
                <w:b/>
                <w:bCs/>
                <w:spacing w:val="0"/>
                <w:sz w:val="20"/>
                <w:szCs w:val="20"/>
                <w:lang w:val="en-US"/>
              </w:rPr>
              <w:t>g</w:t>
            </w:r>
          </w:p>
        </w:tc>
        <w:tc>
          <w:tcPr>
            <w:tcW w:w="1419" w:type="dxa"/>
            <w:vMerge w:val="continue"/>
            <w:tcBorders>
              <w:top w:val="single" w:sz="4" w:space="0" w:color="00000A"/>
              <w:left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  <w:cantSplit w:val="true"/>
        </w:trPr>
        <w:tc>
          <w:tcPr>
            <w:tcW w:w="10349" w:type="dxa"/>
            <w:gridSpan w:val="10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rPr>
                <w:b/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</w:r>
          </w:p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Резисторы</w:t>
            </w:r>
          </w:p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</w:r>
          </w:p>
        </w:tc>
      </w:tr>
      <w:tr>
        <w:trPr>
          <w:trHeight w:val="20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R1</w:t>
            </w:r>
            <w:r>
              <w:rPr>
                <w:color w:val="000000"/>
                <w:sz w:val="20"/>
                <w:szCs w:val="20"/>
                <w:lang w:val="ru-RU"/>
              </w:rPr>
              <w:t>..</w:t>
            </w:r>
            <w:r>
              <w:rPr>
                <w:color w:val="000000"/>
                <w:sz w:val="20"/>
                <w:szCs w:val="20"/>
                <w:lang w:val="en-US"/>
              </w:rPr>
              <w:t>R7</w:t>
            </w:r>
          </w:p>
        </w:tc>
        <w:tc>
          <w:tcPr>
            <w:tcW w:w="1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</w:t>
            </w:r>
            <w:r>
              <w:rPr>
                <w:color w:val="000000"/>
                <w:sz w:val="20"/>
                <w:szCs w:val="20"/>
              </w:rPr>
              <w:t>0 Ом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RR 0805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45..+85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40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20</w:t>
            </w:r>
          </w:p>
        </w:tc>
      </w:tr>
      <w:tr>
        <w:trPr>
          <w:trHeight w:val="20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R</w:t>
            </w:r>
            <w:r>
              <w:rPr>
                <w:color w:val="000000"/>
                <w:sz w:val="20"/>
                <w:szCs w:val="20"/>
                <w:lang w:val="en-US"/>
              </w:rPr>
              <w:t>8..R9</w:t>
            </w:r>
          </w:p>
        </w:tc>
        <w:tc>
          <w:tcPr>
            <w:tcW w:w="1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</w:t>
            </w:r>
            <w:r>
              <w:rPr>
                <w:color w:val="000000"/>
                <w:sz w:val="20"/>
                <w:szCs w:val="20"/>
              </w:rPr>
              <w:t>0 кОм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RR 0805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-45..+85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40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20</w:t>
            </w:r>
          </w:p>
        </w:tc>
      </w:tr>
      <w:tr>
        <w:trPr>
          <w:trHeight w:val="20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R</w:t>
            </w:r>
            <w:r>
              <w:rPr>
                <w:color w:val="000000"/>
                <w:sz w:val="20"/>
                <w:szCs w:val="20"/>
                <w:lang w:val="ru-RU"/>
              </w:rPr>
              <w:t>10</w:t>
            </w:r>
          </w:p>
        </w:tc>
        <w:tc>
          <w:tcPr>
            <w:tcW w:w="1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м</w:t>
            </w:r>
            <w:r>
              <w:rPr>
                <w:color w:val="000000"/>
                <w:sz w:val="20"/>
                <w:szCs w:val="20"/>
              </w:rPr>
              <w:t>Ом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RR 0805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-45..+85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40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20</w:t>
            </w:r>
          </w:p>
        </w:tc>
      </w:tr>
      <w:tr>
        <w:trPr>
          <w:trHeight w:val="20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R</w:t>
            </w:r>
            <w:r>
              <w:rPr>
                <w:color w:val="000000"/>
                <w:sz w:val="20"/>
                <w:szCs w:val="20"/>
                <w:lang w:val="ru-RU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  <w:lang w:val="ru-RU"/>
              </w:rPr>
              <w:t>100</w:t>
            </w:r>
            <w:r>
              <w:rPr>
                <w:color w:val="000000"/>
                <w:sz w:val="20"/>
                <w:szCs w:val="20"/>
              </w:rPr>
              <w:t xml:space="preserve"> Ом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RR 0805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-45..+85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40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20</w:t>
            </w:r>
          </w:p>
        </w:tc>
      </w:tr>
      <w:tr>
        <w:trPr>
          <w:trHeight w:val="20" w:hRule="atLeast"/>
          <w:cantSplit w:val="true"/>
        </w:trPr>
        <w:tc>
          <w:tcPr>
            <w:tcW w:w="10349" w:type="dxa"/>
            <w:gridSpan w:val="10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</w:r>
          </w:p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Схемы интегральные</w:t>
            </w:r>
          </w:p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>
          <w:trHeight w:val="20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MCU1</w:t>
            </w:r>
          </w:p>
        </w:tc>
        <w:tc>
          <w:tcPr>
            <w:tcW w:w="1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Attiny24V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SO14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  <w:lang w:val="en-US"/>
              </w:rPr>
              <w:t>55</w:t>
            </w:r>
            <w:r>
              <w:rPr>
                <w:color w:val="000000"/>
                <w:sz w:val="20"/>
                <w:szCs w:val="20"/>
              </w:rPr>
              <w:t>..+</w:t>
            </w:r>
            <w:r>
              <w:rPr>
                <w:color w:val="000000"/>
                <w:sz w:val="20"/>
                <w:szCs w:val="20"/>
                <w:lang w:val="en-US"/>
              </w:rPr>
              <w:t>125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40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</w:tr>
      <w:tr>
        <w:trPr>
          <w:trHeight w:val="20" w:hRule="atLeast"/>
          <w:cantSplit w:val="true"/>
        </w:trPr>
        <w:tc>
          <w:tcPr>
            <w:tcW w:w="10349" w:type="dxa"/>
            <w:gridSpan w:val="10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color w:val="000000"/>
                <w:sz w:val="20"/>
                <w:szCs w:val="20"/>
                <w:lang w:val="ru-RU"/>
              </w:rPr>
            </w:pPr>
            <w:r>
              <w:rPr>
                <w:b/>
                <w:bCs/>
                <w:color w:val="000000"/>
                <w:sz w:val="20"/>
                <w:szCs w:val="20"/>
                <w:lang w:val="ru-RU"/>
              </w:rPr>
              <w:t>Индикаторы</w:t>
            </w:r>
          </w:p>
          <w:p>
            <w:pPr>
              <w:pStyle w:val="Normal"/>
              <w:spacing w:lineRule="auto" w:line="24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</w:tr>
      <w:tr>
        <w:trPr>
          <w:trHeight w:val="20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DPY1</w:t>
            </w:r>
          </w:p>
        </w:tc>
        <w:tc>
          <w:tcPr>
            <w:tcW w:w="1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BL-S56A-12UY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DIP10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  <w:lang w:val="en-US"/>
              </w:rPr>
              <w:t>3</w:t>
            </w:r>
            <w:r>
              <w:rPr>
                <w:color w:val="000000"/>
                <w:sz w:val="20"/>
                <w:szCs w:val="20"/>
              </w:rPr>
              <w:t>5..+</w:t>
            </w:r>
            <w:r>
              <w:rPr>
                <w:color w:val="000000"/>
                <w:sz w:val="20"/>
                <w:szCs w:val="20"/>
                <w:lang w:val="en-US"/>
              </w:rPr>
              <w:t>7</w:t>
            </w: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35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</w:t>
            </w:r>
            <w:r>
              <w:rPr>
                <w:color w:val="000000"/>
                <w:sz w:val="20"/>
                <w:szCs w:val="20"/>
                <w:lang w:val="en-US"/>
              </w:rPr>
              <w:t>1</w:t>
            </w:r>
            <w:r>
              <w:rPr>
                <w:color w:val="000000"/>
                <w:sz w:val="20"/>
                <w:szCs w:val="20"/>
              </w:rPr>
              <w:t>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20</w:t>
            </w:r>
          </w:p>
        </w:tc>
      </w:tr>
      <w:tr>
        <w:trPr>
          <w:trHeight w:val="536" w:hRule="atLeast"/>
          <w:cantSplit w:val="true"/>
        </w:trPr>
        <w:tc>
          <w:tcPr>
            <w:tcW w:w="10349" w:type="dxa"/>
            <w:gridSpan w:val="10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color w:val="000000"/>
                <w:sz w:val="20"/>
                <w:szCs w:val="20"/>
                <w:lang w:val="ru-RU"/>
              </w:rPr>
            </w:pPr>
            <w:r>
              <w:rPr>
                <w:b/>
                <w:bCs/>
                <w:color w:val="000000"/>
                <w:sz w:val="20"/>
                <w:szCs w:val="20"/>
                <w:lang w:val="ru-RU"/>
              </w:rPr>
              <w:t>Кнопки</w:t>
            </w:r>
          </w:p>
        </w:tc>
      </w:tr>
      <w:tr>
        <w:trPr>
          <w:trHeight w:val="536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S1</w:t>
            </w:r>
          </w:p>
        </w:tc>
        <w:tc>
          <w:tcPr>
            <w:tcW w:w="1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0613HIM-130G-G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DIP4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  <w:lang w:val="en-US"/>
              </w:rPr>
              <w:t>4</w:t>
            </w:r>
            <w:r>
              <w:rPr>
                <w:color w:val="000000"/>
                <w:sz w:val="20"/>
                <w:szCs w:val="20"/>
              </w:rPr>
              <w:t>5..+</w:t>
            </w:r>
            <w:r>
              <w:rPr>
                <w:color w:val="000000"/>
                <w:sz w:val="20"/>
                <w:szCs w:val="20"/>
              </w:rPr>
              <w:t>8</w:t>
            </w:r>
            <w:r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35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С5..600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</w:t>
            </w:r>
            <w:r>
              <w:rPr>
                <w:color w:val="000000"/>
                <w:sz w:val="20"/>
                <w:szCs w:val="20"/>
                <w:lang w:val="en-US"/>
              </w:rPr>
              <w:t>1</w:t>
            </w:r>
            <w:r>
              <w:rPr>
                <w:color w:val="000000"/>
                <w:sz w:val="20"/>
                <w:szCs w:val="20"/>
              </w:rPr>
              <w:t>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20</w:t>
            </w:r>
          </w:p>
        </w:tc>
      </w:tr>
      <w:tr>
        <w:trPr>
          <w:trHeight w:val="536" w:hRule="atLeast"/>
          <w:cantSplit w:val="true"/>
        </w:trPr>
        <w:tc>
          <w:tcPr>
            <w:tcW w:w="10349" w:type="dxa"/>
            <w:gridSpan w:val="10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Перемычки</w:t>
            </w:r>
          </w:p>
        </w:tc>
      </w:tr>
      <w:tr>
        <w:trPr>
          <w:trHeight w:val="536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S2</w:t>
            </w:r>
          </w:p>
        </w:tc>
        <w:tc>
          <w:tcPr>
            <w:tcW w:w="1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CRS0805JX000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RR 0805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-45..+85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40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20</w:t>
            </w:r>
          </w:p>
        </w:tc>
      </w:tr>
      <w:tr>
        <w:trPr>
          <w:trHeight w:val="430" w:hRule="atLeast"/>
          <w:cantSplit w:val="true"/>
        </w:trPr>
        <w:tc>
          <w:tcPr>
            <w:tcW w:w="10349" w:type="dxa"/>
            <w:gridSpan w:val="10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jc w:val="center"/>
              <w:rPr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bCs/>
                <w:color w:val="000000"/>
                <w:sz w:val="20"/>
                <w:szCs w:val="20"/>
                <w:lang w:val="ru-RU"/>
              </w:rPr>
            </w:pPr>
            <w:r>
              <w:rPr>
                <w:b/>
                <w:bCs/>
                <w:color w:val="000000"/>
                <w:sz w:val="20"/>
                <w:szCs w:val="20"/>
                <w:lang w:val="ru-RU"/>
              </w:rPr>
              <w:t>Разъемы</w:t>
            </w:r>
          </w:p>
          <w:p>
            <w:pPr>
              <w:pStyle w:val="Normal"/>
              <w:spacing w:lineRule="auto" w:line="24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>
          <w:trHeight w:val="536" w:hRule="atLeast"/>
          <w:cantSplit w:val="true"/>
        </w:trPr>
        <w:tc>
          <w:tcPr>
            <w:tcW w:w="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X1</w:t>
            </w:r>
          </w:p>
        </w:tc>
        <w:tc>
          <w:tcPr>
            <w:tcW w:w="14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PLS-2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2"/>
                <w:szCs w:val="20"/>
              </w:rPr>
            </w:pPr>
            <w:r>
              <w:rPr>
                <w:color w:val="000000"/>
                <w:sz w:val="22"/>
                <w:szCs w:val="20"/>
              </w:rPr>
              <w:t>PLS-2</w:t>
            </w:r>
          </w:p>
        </w:tc>
        <w:tc>
          <w:tcPr>
            <w:tcW w:w="7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-55..+1</w:t>
            </w:r>
            <w:r>
              <w:rPr>
                <w:color w:val="000000"/>
                <w:sz w:val="20"/>
                <w:szCs w:val="20"/>
                <w:lang w:val="en-US"/>
              </w:rPr>
              <w:t>50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35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</w:tr>
      <w:tr>
        <w:trPr>
          <w:trHeight w:val="536" w:hRule="atLeast"/>
          <w:cantSplit w:val="true"/>
        </w:trPr>
        <w:tc>
          <w:tcPr>
            <w:tcW w:w="42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85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X2</w:t>
            </w:r>
          </w:p>
        </w:tc>
        <w:tc>
          <w:tcPr>
            <w:tcW w:w="141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PWL-2R</w:t>
            </w:r>
          </w:p>
        </w:tc>
        <w:tc>
          <w:tcPr>
            <w:tcW w:w="9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2"/>
                <w:szCs w:val="20"/>
              </w:rPr>
            </w:pPr>
            <w:r>
              <w:rPr>
                <w:color w:val="000000"/>
                <w:sz w:val="22"/>
                <w:szCs w:val="20"/>
              </w:rPr>
              <w:t>PWL-2R</w:t>
            </w:r>
          </w:p>
        </w:tc>
        <w:tc>
          <w:tcPr>
            <w:tcW w:w="70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-55..+1</w:t>
            </w:r>
            <w:r>
              <w:rPr>
                <w:color w:val="000000"/>
                <w:sz w:val="20"/>
                <w:szCs w:val="20"/>
                <w:lang w:val="en-US"/>
              </w:rPr>
              <w:t>50</w:t>
            </w:r>
          </w:p>
        </w:tc>
        <w:tc>
          <w:tcPr>
            <w:tcW w:w="11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35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</w:tr>
      <w:tr>
        <w:trPr>
          <w:trHeight w:val="536" w:hRule="atLeast"/>
          <w:cantSplit w:val="true"/>
        </w:trPr>
        <w:tc>
          <w:tcPr>
            <w:tcW w:w="42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11</w:t>
            </w:r>
          </w:p>
        </w:tc>
        <w:tc>
          <w:tcPr>
            <w:tcW w:w="85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X3</w:t>
            </w:r>
          </w:p>
        </w:tc>
        <w:tc>
          <w:tcPr>
            <w:tcW w:w="141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PLD-10</w:t>
            </w:r>
          </w:p>
        </w:tc>
        <w:tc>
          <w:tcPr>
            <w:tcW w:w="9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2"/>
                <w:szCs w:val="20"/>
              </w:rPr>
            </w:pPr>
            <w:r>
              <w:rPr>
                <w:color w:val="000000"/>
                <w:sz w:val="22"/>
                <w:szCs w:val="20"/>
              </w:rPr>
              <w:t>PLD-10</w:t>
            </w:r>
          </w:p>
        </w:tc>
        <w:tc>
          <w:tcPr>
            <w:tcW w:w="70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-55..+1</w:t>
            </w:r>
            <w:r>
              <w:rPr>
                <w:color w:val="000000"/>
                <w:sz w:val="20"/>
                <w:szCs w:val="20"/>
                <w:lang w:val="en-US"/>
              </w:rPr>
              <w:t>50</w:t>
            </w:r>
          </w:p>
        </w:tc>
        <w:tc>
          <w:tcPr>
            <w:tcW w:w="11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color w:val="000000"/>
                <w:sz w:val="20"/>
                <w:szCs w:val="20"/>
              </w:rPr>
              <w:t>98% при 35</w:t>
            </w:r>
            <w:r>
              <w:rPr>
                <w:color w:val="000000"/>
                <w:sz w:val="20"/>
                <w:szCs w:val="20"/>
                <w:vertAlign w:val="superscript"/>
              </w:rPr>
              <w:t>0</w:t>
            </w:r>
            <w:r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 10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 учетом анализа элементной базы нормальные условия для устройства:</w:t>
      </w:r>
    </w:p>
    <w:p>
      <w:pPr>
        <w:pStyle w:val="ListParagraph"/>
        <w:numPr>
          <w:ilvl w:val="0"/>
          <w:numId w:val="3"/>
        </w:numPr>
        <w:rPr/>
      </w:pPr>
      <w:r>
        <w:rPr/>
        <w:t>диапазон температур: -</w:t>
      </w:r>
      <w:r>
        <w:rPr>
          <w:lang w:val="en-US"/>
        </w:rPr>
        <w:t>3</w:t>
      </w:r>
      <w:r>
        <w:rPr/>
        <w:t>5…+</w:t>
      </w:r>
      <w:r>
        <w:rPr>
          <w:lang w:val="en-US"/>
        </w:rPr>
        <w:t>70</w:t>
      </w:r>
      <w:r>
        <w:rPr>
          <w:vertAlign w:val="superscript"/>
        </w:rPr>
        <w:t>0</w:t>
      </w:r>
      <w:r>
        <w:rPr/>
        <w:t>С;</w:t>
      </w:r>
    </w:p>
    <w:p>
      <w:pPr>
        <w:pStyle w:val="ListParagraph"/>
        <w:numPr>
          <w:ilvl w:val="0"/>
          <w:numId w:val="3"/>
        </w:numPr>
        <w:rPr/>
      </w:pPr>
      <w:r>
        <w:rPr/>
        <w:t>относительная влажность воздуха: 98% при температуре 25</w:t>
      </w:r>
      <w:r>
        <w:rPr>
          <w:vertAlign w:val="superscript"/>
        </w:rPr>
        <w:t>0</w:t>
      </w:r>
      <w:r>
        <w:rPr/>
        <w:t>С;</w:t>
      </w:r>
    </w:p>
    <w:p>
      <w:pPr>
        <w:pStyle w:val="ListParagraph"/>
        <w:numPr>
          <w:ilvl w:val="0"/>
          <w:numId w:val="3"/>
        </w:numPr>
        <w:rPr/>
      </w:pPr>
      <w:r>
        <w:rPr/>
        <w:t>вибрация до 400 Гц с ускорением до 10</w:t>
      </w:r>
      <w:r>
        <w:rPr>
          <w:lang w:val="en-US"/>
        </w:rPr>
        <w:t>g</w:t>
      </w:r>
      <w:r>
        <w:rPr/>
        <w:t>;</w:t>
      </w:r>
    </w:p>
    <w:p>
      <w:pPr>
        <w:pStyle w:val="ListParagraph"/>
        <w:numPr>
          <w:ilvl w:val="0"/>
          <w:numId w:val="3"/>
        </w:numPr>
        <w:rPr/>
      </w:pPr>
      <w:r>
        <w:rPr/>
        <w:t>ударные перегрузки: до 10</w:t>
      </w:r>
      <w:r>
        <w:rPr>
          <w:lang w:val="en-US"/>
        </w:rPr>
        <w:t>g.</w:t>
      </w:r>
    </w:p>
    <w:p>
      <w:pPr>
        <w:pStyle w:val="Normal"/>
        <w:rPr/>
      </w:pPr>
      <w:r>
        <w:rPr/>
        <w:t>Из анализа элементной базы можно сделать вывод, что данный элементный состав устройства обеспечивает его функционирование в условиях, описанных в ТЗ (температура хранения/эксплуатации, влажность и т.п.).</w:t>
      </w:r>
    </w:p>
    <w:p>
      <w:pPr>
        <w:pStyle w:val="Heading2"/>
        <w:rPr/>
      </w:pPr>
      <w:bookmarkStart w:id="36" w:name="_Toc325070530"/>
      <w:bookmarkEnd w:id="36"/>
      <w:r>
        <w:rPr/>
        <w:t>3.6 Описание работы схемы с помощью временных диаграмм</w:t>
      </w:r>
    </w:p>
    <w:p>
      <w:pPr>
        <w:pStyle w:val="Style19"/>
        <w:ind w:left="0" w:right="0" w:hanging="0"/>
        <w:jc w:val="center"/>
        <w:rPr/>
      </w:pPr>
      <w:r>
        <w:rPr/>
        <w:t>МОДЕЛИРОВАНИЕ РАБОТЫ УСТРОЙСТВА</w:t>
      </w:r>
    </w:p>
    <w:p>
      <w:pPr>
        <w:pStyle w:val="Style19"/>
        <w:suppressAutoHyphens w:val="true"/>
        <w:spacing w:before="0" w:after="200"/>
        <w:ind w:left="0" w:right="0" w:hanging="0"/>
        <w:jc w:val="left"/>
        <w:rPr/>
      </w:pPr>
      <w:r>
        <w:rPr/>
        <w:tab/>
        <w:t>1. Расчет емкости конденсатора датчика.</w:t>
      </w:r>
    </w:p>
    <w:p>
      <w:pPr>
        <w:pStyle w:val="Normal"/>
        <w:rPr/>
      </w:pPr>
      <w:r>
        <w:rPr/>
        <w:tab/>
        <w:t xml:space="preserve">Датчик представляет собой открытый конденсатор, собранный из двух параллельно подключенных конденсаторов. Данная схема использована для увеличения емкости конденсатора и, следовательно, чувствительности датчика, при незначительном увеличении его габаритов в сравнении с вариантом, изготовленным из одного конденсатора. Стенки конденсаторов образуют пластины из стеклотекстолита фольгированного СТФ-1-15 шириной 40 мм и длиной 250 мм. Зазор между пластинами выбран наименьшим, при котором поверхностное натяжение бензина не препятствует его вытеканию из конденсатора, и составляет 1 мм. Таким образом, расчетная емкость полученного конденсатора на воздухе составляет </w:t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С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в</m:t>
            </m:r>
          </m:sub>
        </m:sSub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2</m:t>
        </m:r>
        <m:r>
          <m:rPr>
            <m:lit/>
            <m:nor/>
          </m:rPr>
          <w:rPr>
            <w:rFonts w:ascii="Cambria Math" w:hAnsi="Cambria Math"/>
          </w:rPr>
          <m:t xml:space="preserve">*</m:t>
        </m:r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ε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0</m:t>
            </m:r>
          </m:sub>
        </m:sSub>
        <m:r>
          <m:rPr>
            <m:lit/>
            <m:nor/>
          </m:rPr>
          <w:rPr>
            <w:rFonts w:ascii="Cambria Math" w:hAnsi="Cambria Math"/>
          </w:rPr>
          <m:t xml:space="preserve">*</m:t>
        </m:r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ε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в</m:t>
            </m:r>
          </m:sub>
        </m:sSub>
        <m:r>
          <m:rPr>
            <m:lit/>
            <m:nor/>
          </m:rPr>
          <w:rPr>
            <w:rFonts w:ascii="Cambria Math" w:hAnsi="Cambria Math"/>
          </w:rPr>
          <m:t xml:space="preserve">*</m:t>
        </m:r>
        <m:r>
          <m:rPr>
            <m:lit/>
            <m:nor/>
          </m:rPr>
          <w:rPr>
            <w:rFonts w:ascii="Cambria Math" w:hAnsi="Cambria Math"/>
          </w:rPr>
          <m:t xml:space="preserve"> 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a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*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b</m:t>
            </m:r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d</m:t>
            </m:r>
          </m:den>
        </m:f>
        <m:r>
          <m:rPr>
            <m:lit/>
            <m:nor/>
          </m:rPr>
          <w:rPr>
            <w:rFonts w:ascii="Cambria Math" w:hAnsi="Cambria Math"/>
          </w:rPr>
          <m:t xml:space="preserve"> </m:t>
        </m:r>
        <m:r>
          <w:rPr>
            <w:rFonts w:ascii="Cambria Math" w:hAnsi="Cambria Math"/>
          </w:rPr>
          <m:t xml:space="preserve">≈</m:t>
        </m:r>
        <m:r>
          <m:rPr>
            <m:lit/>
            <m:nor/>
          </m:rPr>
          <w:rPr>
            <w:rFonts w:ascii="Cambria Math" w:hAnsi="Cambria Math"/>
          </w:rPr>
          <m:t xml:space="preserve"> </m:t>
        </m:r>
        <m:r>
          <m:rPr>
            <m:lit/>
            <m:nor/>
          </m:rPr>
          <w:rPr>
            <w:rFonts w:ascii="Cambria Math" w:hAnsi="Cambria Math"/>
          </w:rPr>
          <m:t xml:space="preserve">177</m:t>
        </m:r>
        <m:r>
          <m:rPr>
            <m:lit/>
            <m:nor/>
          </m:rPr>
          <w:rPr>
            <w:rFonts w:ascii="Cambria Math" w:hAnsi="Cambria Math"/>
          </w:rPr>
          <m:t xml:space="preserve"> </m:t>
        </m:r>
        <m:r>
          <m:rPr>
            <m:lit/>
            <m:nor/>
          </m:rPr>
          <w:rPr>
            <w:rFonts w:ascii="Cambria Math" w:hAnsi="Cambria Math"/>
          </w:rPr>
          <m:t xml:space="preserve">п</m:t>
        </m:r>
        <m:r>
          <m:rPr>
            <m:lit/>
            <m:nor/>
          </m:rPr>
          <w:rPr>
            <w:rFonts w:ascii="Cambria Math" w:hAnsi="Cambria Math"/>
          </w:rPr>
          <m:t xml:space="preserve">Ф</m:t>
        </m:r>
      </m:oMath>
      <w:r>
        <w:rPr>
          <w:rStyle w:val="Style15"/>
          <w:i/>
        </w:rPr>
        <w:t>,</w:t>
      </w:r>
    </w:p>
    <w:p>
      <w:pPr>
        <w:pStyle w:val="Normal"/>
        <w:rPr/>
      </w:pPr>
      <w:r>
        <w:rPr/>
        <w:t xml:space="preserve">где </w:t>
      </w: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ε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0</m:t>
            </m:r>
          </m:sub>
        </m:sSub>
      </m:oMath>
      <w:r>
        <w:rPr/>
        <w:t xml:space="preserve"> – электрическая постоянная, </w:t>
      </w: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ε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в</m:t>
            </m:r>
          </m:sub>
        </m:sSub>
      </m:oMath>
      <w:r>
        <w:rPr/>
        <w:t xml:space="preserve"> – диэлектрическая проницаемость воздуха, </w:t>
      </w:r>
      <w:r>
        <w:rPr>
          <w:rStyle w:val="Style15"/>
          <w:lang w:val="en-US"/>
        </w:rPr>
        <w:t>a</w:t>
      </w:r>
      <w:r>
        <w:rPr/>
        <w:t xml:space="preserve"> и </w:t>
      </w:r>
      <w:r>
        <w:rPr>
          <w:rStyle w:val="Style15"/>
          <w:lang w:val="en-US"/>
        </w:rPr>
        <w:t>b</w:t>
      </w:r>
      <w:r>
        <w:rPr/>
        <w:t xml:space="preserve"> – ширина и длина пластин соответственно, </w:t>
      </w:r>
      <w:r>
        <w:rPr>
          <w:rStyle w:val="Style15"/>
          <w:lang w:val="en-US"/>
        </w:rPr>
        <w:t>d</w:t>
      </w:r>
      <w:r>
        <w:rPr/>
        <w:t xml:space="preserve"> – зазор между пластинами. Емкость конденсатора, полностью погруженного в бензин АИ-92 составляет</w:t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С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А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И</m:t>
            </m:r>
            <m:r>
              <w:rPr>
                <w:rFonts w:ascii="Cambria Math" w:hAnsi="Cambria Math"/>
              </w:rPr>
              <m:t xml:space="preserve">−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92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С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в</m:t>
            </m:r>
          </m:sub>
        </m:sSub>
        <m:r>
          <m:rPr>
            <m:lit/>
            <m:nor/>
          </m:rPr>
          <w:rPr>
            <w:rFonts w:ascii="Cambria Math" w:hAnsi="Cambria Math"/>
          </w:rPr>
          <m:t xml:space="preserve">*</m:t>
        </m:r>
        <m:r>
          <m:rPr>
            <m:lit/>
            <m:nor/>
          </m:rPr>
          <w:rPr>
            <w:rFonts w:ascii="Cambria Math" w:hAnsi="Cambria Math"/>
          </w:rPr>
          <m:t xml:space="preserve"> </m:t>
        </m:r>
        <m:f>
          <m:num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ε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А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И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92</m:t>
                </m:r>
              </m:sub>
            </m:sSub>
          </m:num>
          <m:den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ε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в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 </m:t>
        </m:r>
        <m:r>
          <w:rPr>
            <w:rFonts w:ascii="Cambria Math" w:hAnsi="Cambria Math"/>
          </w:rPr>
          <m:t xml:space="preserve">≈</m:t>
        </m:r>
        <m:r>
          <m:rPr>
            <m:lit/>
            <m:nor/>
          </m:rPr>
          <w:rPr>
            <w:rFonts w:ascii="Cambria Math" w:hAnsi="Cambria Math"/>
          </w:rPr>
          <m:t xml:space="preserve"> </m:t>
        </m:r>
        <m:r>
          <m:rPr>
            <m:lit/>
            <m:nor/>
          </m:rPr>
          <w:rPr>
            <w:rFonts w:ascii="Cambria Math" w:hAnsi="Cambria Math"/>
          </w:rPr>
          <m:t xml:space="preserve">407</m:t>
        </m:r>
        <m:r>
          <m:rPr>
            <m:lit/>
            <m:nor/>
          </m:rPr>
          <w:rPr>
            <w:rFonts w:ascii="Cambria Math" w:hAnsi="Cambria Math"/>
          </w:rPr>
          <m:t xml:space="preserve"> </m:t>
        </m:r>
        <m:r>
          <m:rPr>
            <m:lit/>
            <m:nor/>
          </m:rPr>
          <w:rPr>
            <w:rFonts w:ascii="Cambria Math" w:hAnsi="Cambria Math"/>
          </w:rPr>
          <m:t xml:space="preserve">п</m:t>
        </m:r>
        <m:r>
          <m:rPr>
            <m:lit/>
            <m:nor/>
          </m:rPr>
          <w:rPr>
            <w:rFonts w:ascii="Cambria Math" w:hAnsi="Cambria Math"/>
          </w:rPr>
          <m:t xml:space="preserve">Ф</m:t>
        </m:r>
      </m:oMath>
      <w:r>
        <w:rPr>
          <w:rStyle w:val="Style15"/>
          <w:i/>
        </w:rPr>
        <w:t>,</w:t>
      </w:r>
    </w:p>
    <w:p>
      <w:pPr>
        <w:pStyle w:val="Normal"/>
        <w:rPr/>
      </w:pPr>
      <w:r>
        <w:rPr/>
        <w:t xml:space="preserve">где </w:t>
      </w: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ε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А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И</m:t>
            </m:r>
            <m:r>
              <w:rPr>
                <w:rFonts w:ascii="Cambria Math" w:hAnsi="Cambria Math"/>
              </w:rPr>
              <m:t xml:space="preserve">−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92</m:t>
            </m:r>
          </m:sub>
        </m:sSub>
      </m:oMath>
      <w:r>
        <w:rPr/>
        <w:t xml:space="preserve"> – диэлектрическая проницаемость бензина АИ-92.</w:t>
      </w:r>
      <w:r>
        <w:rPr>
          <w:rStyle w:val="Style15"/>
          <w:lang w:eastAsia="ru-RU"/>
        </w:rPr>
        <w:t xml:space="preserve"> </w:t>
      </w:r>
      <w:r>
        <w:rPr/>
        <w:t xml:space="preserve"> </w:t>
      </w:r>
    </w:p>
    <w:p>
      <w:pPr>
        <w:pStyle w:val="Normal"/>
        <w:rPr>
          <w:rStyle w:val="Style15"/>
          <w:lang w:eastAsia="ru-RU"/>
        </w:rPr>
      </w:pPr>
      <w:r>
        <w:rPr/>
      </w:r>
    </w:p>
    <w:p>
      <w:pPr>
        <w:pStyle w:val="Normal"/>
        <w:rPr>
          <w:rStyle w:val="Style15"/>
          <w:lang w:eastAsia="ru-RU"/>
        </w:rPr>
      </w:pPr>
      <w:r>
        <w:rPr/>
      </w:r>
    </w:p>
    <w:p>
      <w:pPr>
        <w:pStyle w:val="Normal"/>
        <w:rPr>
          <w:rStyle w:val="Style15"/>
          <w:lang w:eastAsia="ru-RU"/>
        </w:rPr>
      </w:pPr>
      <w:r>
        <w:rPr/>
      </w:r>
    </w:p>
    <w:p>
      <w:pPr>
        <w:pStyle w:val="Normal"/>
        <w:rPr/>
      </w:pPr>
      <w:r>
        <w:rPr>
          <w:rStyle w:val="Style15"/>
          <w:lang w:eastAsia="ru-RU"/>
        </w:rPr>
        <w:drawing>
          <wp:inline distT="0" distB="0" distL="0" distR="0">
            <wp:extent cx="2531110" cy="1528445"/>
            <wp:effectExtent l="0" t="0" r="0" b="0"/>
            <wp:docPr id="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Рисунок </w:t>
      </w:r>
      <w:r>
        <w:rPr>
          <w:lang w:val="en-US"/>
        </w:rPr>
        <w:t>3.6.1</w:t>
      </w:r>
      <w:r>
        <w:rPr/>
        <w:t xml:space="preserve"> – схема моделирования датчика</w:t>
      </w:r>
    </w:p>
    <w:p>
      <w:pPr>
        <w:pStyle w:val="Normal"/>
        <w:widowControl/>
        <w:tabs>
          <w:tab w:val="left" w:pos="0" w:leader="none"/>
        </w:tabs>
        <w:bidi w:val="0"/>
        <w:spacing w:lineRule="auto" w:line="360"/>
        <w:ind w:left="0" w:right="0" w:hanging="0"/>
        <w:jc w:val="both"/>
        <w:rPr/>
      </w:pPr>
      <w:r>
        <w:rPr>
          <w:rStyle w:val="Style15"/>
          <w:lang w:eastAsia="ru-RU"/>
        </w:rPr>
        <w:drawing>
          <wp:inline distT="0" distB="0" distL="0" distR="0">
            <wp:extent cx="2864485" cy="1905000"/>
            <wp:effectExtent l="0" t="0" r="0" b="0"/>
            <wp:docPr id="5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Style15"/>
          <w:lang w:eastAsia="ru-RU"/>
        </w:rPr>
        <w:t xml:space="preserve">     </w:t>
      </w:r>
      <w:r>
        <w:rPr>
          <w:rStyle w:val="Style15"/>
          <w:lang w:eastAsia="ru-RU"/>
        </w:rPr>
        <w:drawing>
          <wp:inline distT="0" distB="0" distL="0" distR="0">
            <wp:extent cx="3048000" cy="1947545"/>
            <wp:effectExtent l="0" t="0" r="0" b="0"/>
            <wp:docPr id="6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ab/>
        <w:tab/>
        <w:tab/>
        <w:t>а</w:t>
        <w:tab/>
        <w:tab/>
        <w:tab/>
        <w:tab/>
        <w:tab/>
        <w:tab/>
        <w:tab/>
        <w:t>б</w:t>
      </w:r>
    </w:p>
    <w:p>
      <w:pPr>
        <w:pStyle w:val="Normal"/>
        <w:rPr/>
      </w:pPr>
      <w:r>
        <w:rPr/>
        <w:t xml:space="preserve">Рисунок </w:t>
      </w:r>
      <w:r>
        <w:rPr>
          <w:lang w:val="en-US"/>
        </w:rPr>
        <w:t>3.</w:t>
      </w:r>
      <w:r>
        <w:rPr/>
        <w:t>6.</w:t>
      </w:r>
      <w:r>
        <w:rPr>
          <w:lang w:val="en-US"/>
        </w:rPr>
        <w:t>2</w:t>
      </w:r>
      <w:r>
        <w:rPr/>
        <w:t xml:space="preserve"> – Графики заряда конденсатора.</w:t>
      </w:r>
    </w:p>
    <w:p>
      <w:pPr>
        <w:pStyle w:val="Normal"/>
        <w:rPr/>
      </w:pPr>
      <w:r>
        <w:rPr/>
        <w:tab/>
        <w:t xml:space="preserve">На рисунке </w:t>
      </w:r>
      <w:r>
        <w:rPr>
          <w:lang w:val="en-US"/>
        </w:rPr>
        <w:t>3.6.1</w:t>
      </w:r>
      <w:r>
        <w:rPr/>
        <w:t xml:space="preserve"> представлена схема моделирования измерительной части устройства в программе </w:t>
      </w:r>
      <w:r>
        <w:rPr>
          <w:rStyle w:val="Style15"/>
          <w:lang w:val="en-US"/>
        </w:rPr>
        <w:t>PSpice</w:t>
      </w:r>
      <w:r>
        <w:rPr/>
        <w:t xml:space="preserve">. Конденсатор С1 моделирует погружной датчик. На рисунке </w:t>
      </w:r>
      <w:r>
        <w:rPr>
          <w:lang w:val="en-US"/>
        </w:rPr>
        <w:t>3.6.2</w:t>
      </w:r>
      <w:r>
        <w:rPr/>
        <w:t xml:space="preserve">(а) представлен график напряжения на конденсаторе в сравнении с опорным напряжением на делителе во времени. Курсор установлен на пересечении кривых в момент времени 245 мкс. На рисунке </w:t>
      </w:r>
      <w:r>
        <w:rPr>
          <w:lang w:val="en-US"/>
        </w:rPr>
        <w:t>3.6.2</w:t>
      </w:r>
      <w:r>
        <w:rPr/>
        <w:t xml:space="preserve">(б) показано, как изменяется время заряда конденсатора С1 до опорного напряжения при последовательном изменении его емкости на 10 пФ.  </w:t>
      </w:r>
    </w:p>
    <w:p>
      <w:pPr>
        <w:pStyle w:val="Normal"/>
        <w:rPr/>
      </w:pPr>
      <w:r>
        <w:rPr/>
        <w:tab/>
        <w:t xml:space="preserve">Полученные результаты измерения времени заряда конденсатора до опорного напряжения составляют 245 мкс для пустого бака и 565 мкс для заполненного бензином АИ-92. Для повышения точности измерения целесообразно выбрать достаточно большую частоту работы контроллера, что гарантирует большую частоту дискретизации аналогового сигнала датчика и, следовательно, более точный замер времени. Выбранная мной частота составляет 1 МГц. Пересчет времени заряда конденсатора для полученных выше значений даст 245 и 565 тактов для пустого и полного бака соответственно. Это значит, что в идеальных условиях я получу 320 градаций наполненности бака. Такая точность на порядок превышает необходимую, поскольку индикация будет производиться всего 12 символами, соответствующими 12 градациям наполненности бака. </w:t>
      </w:r>
    </w:p>
    <w:p>
      <w:pPr>
        <w:pStyle w:val="Style19"/>
        <w:suppressAutoHyphens w:val="true"/>
        <w:spacing w:before="0" w:after="200"/>
        <w:ind w:left="0" w:right="0" w:hanging="0"/>
        <w:jc w:val="center"/>
        <w:rPr/>
      </w:pPr>
      <w:r>
        <w:rPr/>
        <w:t>ВЫВОД</w:t>
      </w:r>
    </w:p>
    <w:p>
      <w:pPr>
        <w:pStyle w:val="Style19"/>
        <w:suppressAutoHyphens w:val="true"/>
        <w:spacing w:before="0" w:after="200"/>
        <w:ind w:left="0" w:right="0" w:hanging="0"/>
        <w:jc w:val="left"/>
        <w:rPr/>
      </w:pPr>
      <w:r>
        <w:rPr/>
        <w:tab/>
        <w:t>Результаты моделирования подтверждают работоспособность выбранной схемы для измерения уровня топлива с заданной точностью.</w:t>
      </w:r>
    </w:p>
    <w:p>
      <w:pPr>
        <w:pStyle w:val="Style19"/>
        <w:suppressAutoHyphens w:val="true"/>
        <w:spacing w:before="0" w:after="200"/>
        <w:ind w:left="0" w:right="0" w:hanging="0"/>
        <w:jc w:val="left"/>
        <w:rPr/>
      </w:pPr>
      <w:r>
        <w:rPr/>
      </w:r>
    </w:p>
    <w:p>
      <w:pPr>
        <w:pStyle w:val="Heading2"/>
        <w:rPr/>
      </w:pPr>
      <w:bookmarkStart w:id="37" w:name="_Toc323300593"/>
      <w:bookmarkStart w:id="38" w:name="_Toc323300593"/>
      <w:r>
        <w:rPr/>
      </w:r>
      <w:r>
        <w:br w:type="page"/>
      </w:r>
    </w:p>
    <w:p>
      <w:pPr>
        <w:pStyle w:val="Heading1"/>
        <w:rPr/>
      </w:pPr>
      <w:bookmarkStart w:id="39" w:name="_Toc323300593"/>
      <w:bookmarkStart w:id="40" w:name="_Toc325070532"/>
      <w:bookmarkEnd w:id="39"/>
      <w:bookmarkEnd w:id="40"/>
      <w:r>
        <w:rPr/>
        <w:t>4. Конструкторская часть</w:t>
      </w:r>
    </w:p>
    <w:p>
      <w:pPr>
        <w:pStyle w:val="Heading2"/>
        <w:rPr/>
      </w:pPr>
      <w:bookmarkStart w:id="41" w:name="_Toc325070533"/>
      <w:bookmarkStart w:id="42" w:name="_Toc323300594"/>
      <w:bookmarkEnd w:id="41"/>
      <w:bookmarkEnd w:id="42"/>
      <w:r>
        <w:rPr/>
        <w:t>4.1 Предварительная разработка и компоновка конструкции устройства</w:t>
      </w:r>
    </w:p>
    <w:p>
      <w:pPr>
        <w:pStyle w:val="Normal"/>
        <w:rPr/>
      </w:pPr>
      <w:r>
        <w:rPr/>
        <w:t xml:space="preserve">Компоновка электронного устройства - процесс размещения ЭРЭ и деталей РЭА на плоскости или в пространстве с определением основных геометрических форм и размеров. </w:t>
      </w:r>
    </w:p>
    <w:p>
      <w:pPr>
        <w:pStyle w:val="Normal"/>
        <w:rPr/>
      </w:pPr>
      <w:r>
        <w:rPr/>
        <w:t>При компоновке должны быть учтены требования оптимальных функциональных связей, их устойчивость и стабильность, требования прочности и жесткости, помехозащищенности и нормального теплового режима, требования технологичности, эргономики, удобства эксплуатации и ремонта. Размещение комплектующих элементов должно обеспечивать равномерное и максимальное заполнение конструктивного объема с удобным доступом для осмотра, ремонта и замены.</w:t>
      </w:r>
    </w:p>
    <w:p>
      <w:pPr>
        <w:pStyle w:val="Normal"/>
        <w:rPr>
          <w:lang w:val="ru-RU"/>
        </w:rPr>
      </w:pPr>
      <w:r>
        <w:rPr>
          <w:lang w:val="ru-RU"/>
        </w:rPr>
        <w:t>Ввиду малого числа элементов внешнего блока измерителя, а также соображений простоты и дешевизны изготовления, схема внешнего блока реализуется на одной плате. Сам внешний блок реализуется в виде пластикового корпуса, в котором расположена плата, выведен наружу разъем подключения погружного датчика и элемент пользовательского интерфейса — кнопка.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242570</wp:posOffset>
            </wp:positionH>
            <wp:positionV relativeFrom="paragraph">
              <wp:posOffset>96520</wp:posOffset>
            </wp:positionV>
            <wp:extent cx="5728335" cy="4991100"/>
            <wp:effectExtent l="0" t="0" r="0" b="0"/>
            <wp:wrapTopAndBottom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 </w:t>
      </w:r>
      <w:r>
        <w:rPr>
          <w:sz w:val="22"/>
        </w:rPr>
        <w:t>Рисунок 4.1.</w:t>
      </w:r>
      <w:r>
        <w:rPr>
          <w:sz w:val="22"/>
          <w:lang w:val="en-US"/>
        </w:rPr>
        <w:t>2</w:t>
      </w:r>
      <w:r>
        <w:rPr>
          <w:sz w:val="22"/>
        </w:rPr>
        <w:t xml:space="preserve">. Внешний вид </w:t>
      </w:r>
      <w:r>
        <w:rPr>
          <w:sz w:val="22"/>
          <w:lang w:val="ru-RU"/>
        </w:rPr>
        <w:t xml:space="preserve">измерителя уровня топлива </w:t>
      </w:r>
      <w:r>
        <w:rPr>
          <w:sz w:val="22"/>
          <w:lang w:val="ru-RU"/>
        </w:rPr>
        <w:t>в сборе</w:t>
      </w:r>
    </w:p>
    <w:p>
      <w:pPr>
        <w:pStyle w:val="Normal"/>
        <w:spacing w:lineRule="auto" w:line="240"/>
        <w:ind w:left="0" w:right="0" w:hanging="0"/>
        <w:jc w:val="center"/>
        <w:rPr>
          <w:sz w:val="22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1237615</wp:posOffset>
            </wp:positionH>
            <wp:positionV relativeFrom="paragraph">
              <wp:posOffset>54610</wp:posOffset>
            </wp:positionV>
            <wp:extent cx="4076065" cy="3817620"/>
            <wp:effectExtent l="0" t="0" r="0" b="0"/>
            <wp:wrapTopAndBottom/>
            <wp:docPr id="8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2"/>
        </w:rPr>
        <w:t>Рисунок 4.1.</w:t>
      </w:r>
      <w:r>
        <w:rPr>
          <w:sz w:val="22"/>
          <w:lang w:val="en-US"/>
        </w:rPr>
        <w:t>2</w:t>
      </w:r>
      <w:r>
        <w:rPr>
          <w:sz w:val="22"/>
        </w:rPr>
        <w:t xml:space="preserve">. Внешний вид </w:t>
      </w:r>
      <w:r>
        <w:rPr>
          <w:sz w:val="22"/>
          <w:lang w:val="ru-RU"/>
        </w:rPr>
        <w:t>внешнего блока измерителя уровня топлива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Heading2"/>
        <w:rPr/>
      </w:pPr>
      <w:bookmarkStart w:id="43" w:name="_Toc325070534"/>
      <w:bookmarkEnd w:id="43"/>
      <w:r>
        <w:rPr/>
        <w:t>4.2 Описание конструкции блока</w:t>
      </w:r>
    </w:p>
    <w:p>
      <w:pPr>
        <w:pStyle w:val="Normal"/>
        <w:ind w:left="0" w:right="0" w:firstLine="708"/>
        <w:rPr/>
      </w:pPr>
      <w:r>
        <w:rPr/>
        <w:t>Измеритель уровня топлива представляет собой устройство, состоящее из погружного датчика и наружного блока. Погружной датчик предназначен для монтажа внутрь бензобака. Наружный блок предназначен для монтажа на поверхность бензобака возле горловины. Блоки стыкуются между собой при помощи кабеля.</w:t>
      </w:r>
    </w:p>
    <w:p>
      <w:pPr>
        <w:pStyle w:val="Normal"/>
        <w:ind w:left="0" w:right="0" w:firstLine="708"/>
        <w:rPr/>
      </w:pPr>
      <w:r>
        <w:rPr/>
        <w:t>Конструкция устройства представлена на сборочном чертеже устройства (ИУ4.</w:t>
      </w:r>
      <w:r>
        <w:rPr/>
        <w:t>2205-12</w:t>
      </w:r>
      <w:r>
        <w:rPr/>
        <w:t xml:space="preserve">.00.00 СБ), </w:t>
      </w:r>
      <w:r>
        <w:rPr/>
        <w:t>приведенном на рисунке 4.2.1</w:t>
      </w:r>
      <w:r>
        <w:rPr/>
        <w:t>.</w:t>
      </w:r>
    </w:p>
    <w:p>
      <w:pPr>
        <w:pStyle w:val="Normal"/>
        <w:ind w:left="0" w:right="0" w:firstLine="708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6300470" cy="4670425"/>
            <wp:effectExtent l="0" t="0" r="0" b="0"/>
            <wp:wrapSquare wrapText="largest"/>
            <wp:docPr id="9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6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0" w:right="0" w:hanging="0"/>
        <w:jc w:val="center"/>
        <w:rPr>
          <w:sz w:val="22"/>
        </w:rPr>
      </w:pPr>
      <w:r>
        <w:rPr>
          <w:sz w:val="22"/>
        </w:rPr>
        <w:t xml:space="preserve">Рисунок 4.2.1 - </w:t>
      </w:r>
      <w:r>
        <w:rPr>
          <w:sz w:val="22"/>
        </w:rPr>
        <w:t>Сборочный состав устройства</w:t>
      </w:r>
    </w:p>
    <w:p>
      <w:pPr>
        <w:pStyle w:val="Normal"/>
        <w:ind w:left="0" w:right="0" w:firstLine="708"/>
        <w:rPr/>
      </w:pPr>
      <w:r>
        <w:rPr/>
      </w:r>
    </w:p>
    <w:p>
      <w:pPr>
        <w:pStyle w:val="Normal"/>
        <w:ind w:left="0" w:right="0" w:firstLine="708"/>
        <w:rPr/>
      </w:pPr>
      <w:r>
        <w:rPr/>
        <w:t xml:space="preserve">Сборочный чертёж внешней части устройства представлен на рисунке 4.2.2. </w:t>
      </w:r>
      <w:r>
        <w:rPr/>
        <w:t xml:space="preserve">Основой </w:t>
      </w:r>
      <w:r>
        <w:rPr/>
        <w:t xml:space="preserve">его </w:t>
      </w:r>
      <w:r>
        <w:rPr/>
        <w:t xml:space="preserve">конструкции является пластиковый корпус, состоящий из нижней и верхней части. </w:t>
      </w:r>
      <w:r>
        <w:rPr>
          <w:lang w:val="ru-RU"/>
        </w:rPr>
        <w:t xml:space="preserve">Для  защиты от попадания внутрь корпуса топлива и воды применены резиновые прокладки, устанавливаемые между платой и частями корпуса. </w:t>
      </w:r>
    </w:p>
    <w:p>
      <w:pPr>
        <w:pStyle w:val="Normal"/>
        <w:ind w:left="0" w:right="0" w:firstLine="708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782955</wp:posOffset>
            </wp:positionV>
            <wp:extent cx="6300470" cy="4283075"/>
            <wp:effectExtent l="0" t="0" r="0" b="0"/>
            <wp:wrapSquare wrapText="largest"/>
            <wp:docPr id="1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>Для корректной установки элементов питания (2 батареек типа ААА) поз. 11 в нижней части корпуса применяется гравировка на пластмассе с указанием полярности установки батареек.</w:t>
      </w:r>
    </w:p>
    <w:p>
      <w:pPr>
        <w:pStyle w:val="Normal"/>
        <w:spacing w:lineRule="auto" w:line="240"/>
        <w:ind w:left="0" w:right="0" w:hanging="0"/>
        <w:jc w:val="center"/>
        <w:rPr>
          <w:sz w:val="22"/>
        </w:rPr>
      </w:pPr>
      <w:r>
        <w:rPr>
          <w:sz w:val="22"/>
        </w:rPr>
        <w:t>Рисунок 4.2.2. Нижняя часть корпуса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firstLine="708"/>
        <w:rPr/>
      </w:pPr>
      <w:r>
        <w:rPr/>
        <w:t xml:space="preserve">В нижнюю часть корпуса прибора устанавливается электронная ячейка (поз. </w:t>
      </w:r>
      <w:r>
        <w:rPr/>
        <w:t>2</w:t>
      </w:r>
      <w:r>
        <w:rPr/>
        <w:t xml:space="preserve">), которая </w:t>
      </w:r>
      <w:r>
        <w:rPr/>
        <w:t>приклеивается к нижней стенке корпуса.</w:t>
      </w:r>
      <w:r>
        <w:rPr/>
        <w:t xml:space="preserve"> </w:t>
      </w:r>
      <w:r>
        <w:rPr/>
        <w:t>Затем устанавливается нижняя прокладка (поз. 6), электронная ячейка (поз. 1), верхняя прокладка (поз. 4) и верхняя часть корпуса (поз. 3). Все стягивается тремя винтами (поз. 7).</w:t>
      </w:r>
    </w:p>
    <w:p>
      <w:pPr>
        <w:pStyle w:val="Normal"/>
        <w:ind w:left="0" w:right="0" w:hanging="0"/>
        <w:jc w:val="center"/>
        <w:rPr/>
      </w:pPr>
      <w:r>
        <w:rPr/>
        <w:t xml:space="preserve"> 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44" w:name="_Toc325070535"/>
      <w:bookmarkStart w:id="45" w:name="_Toc323300595"/>
      <w:bookmarkEnd w:id="44"/>
      <w:bookmarkEnd w:id="45"/>
      <w:r>
        <w:rPr/>
        <w:t>4.3 Анализ и выбор конструкции и материала  ячейки</w:t>
      </w:r>
    </w:p>
    <w:p>
      <w:pPr>
        <w:pStyle w:val="Normal"/>
        <w:rPr/>
      </w:pPr>
      <w:r>
        <w:rPr/>
        <w:t xml:space="preserve">По количеству слоёв проводящего материала ПП бывают односторонние, двусторонние </w:t>
      </w:r>
      <w:r>
        <w:rPr/>
        <w:t>и м</w:t>
      </w:r>
      <w:r>
        <w:rPr/>
        <w:t xml:space="preserve">ногослойные. </w:t>
      </w:r>
      <w:r>
        <w:rPr/>
        <w:t>Поскольку</w:t>
      </w:r>
      <w:r>
        <w:rPr/>
        <w:t xml:space="preserve"> </w:t>
      </w:r>
      <w:r>
        <w:rPr/>
        <w:t>форма и количество ЭРЭ позволяет получить плату с габаритными размерами, удовлетворяющими ТЗ при использовании  односторонней печатной платы, использоваться будет односторонняя ПП.</w:t>
      </w:r>
    </w:p>
    <w:p>
      <w:pPr>
        <w:pStyle w:val="Normal"/>
        <w:rPr/>
      </w:pPr>
      <w:r>
        <w:rPr/>
        <w:t>П</w:t>
      </w:r>
      <w:r>
        <w:rPr/>
        <w:t xml:space="preserve">П разделяют по гибкости на </w:t>
      </w:r>
      <w:r>
        <w:rPr/>
        <w:t xml:space="preserve">жёсткие </w:t>
      </w:r>
      <w:r>
        <w:rPr/>
        <w:t xml:space="preserve">и </w:t>
      </w:r>
      <w:r>
        <w:rPr/>
        <w:t xml:space="preserve">гибкие. </w:t>
      </w:r>
      <w:r>
        <w:rPr/>
        <w:t>Поскольку</w:t>
      </w:r>
      <w:r>
        <w:rPr/>
        <w:t xml:space="preserve"> плата с элементами являет собой ячейку ТЭЗ и должна выдерживать ударные и вибрационные нагрузки, использу</w:t>
      </w:r>
      <w:r>
        <w:rPr/>
        <w:t>ется</w:t>
      </w:r>
      <w:r>
        <w:rPr/>
        <w:t xml:space="preserve"> жестк</w:t>
      </w:r>
      <w:r>
        <w:rPr/>
        <w:t>ая</w:t>
      </w:r>
      <w:r>
        <w:rPr/>
        <w:t xml:space="preserve"> печатн</w:t>
      </w:r>
      <w:r>
        <w:rPr/>
        <w:t>ая</w:t>
      </w:r>
      <w:r>
        <w:rPr/>
        <w:t xml:space="preserve"> плат</w:t>
      </w:r>
      <w:r>
        <w:rPr/>
        <w:t>а</w:t>
      </w:r>
      <w:r>
        <w:rPr/>
        <w:t>.</w:t>
      </w:r>
    </w:p>
    <w:p>
      <w:pPr>
        <w:pStyle w:val="Normal"/>
        <w:rPr/>
      </w:pPr>
      <w:r>
        <w:rPr/>
        <w:t xml:space="preserve">Исходя из вышеприведенных решений, а также соображений экономичности выбран материал ПП: СФ-1-35Г-1 </w:t>
      </w:r>
      <w:r>
        <w:rPr>
          <w:lang w:val="en-US"/>
        </w:rPr>
        <w:t xml:space="preserve">II </w:t>
      </w:r>
      <w:r>
        <w:rPr>
          <w:lang w:val="ru-RU"/>
        </w:rPr>
        <w:t>кл.</w:t>
      </w:r>
      <w:r>
        <w:rPr/>
        <w:t xml:space="preserve"> по ГОСТ 10316-78 — г</w:t>
      </w:r>
      <w:r>
        <w:rPr/>
        <w:t xml:space="preserve">етинакс </w:t>
      </w:r>
      <w:r>
        <w:rPr/>
        <w:t>толщиной 1 мм</w:t>
      </w:r>
      <w:r>
        <w:rPr/>
        <w:t>, облицованный с одной стороны медной электролитической гальваностойкой фольгой толщиной 35 мкм</w:t>
      </w:r>
      <w:r>
        <w:rPr/>
        <w:t>.</w:t>
      </w:r>
    </w:p>
    <w:p>
      <w:pPr>
        <w:pStyle w:val="Normal"/>
        <w:rPr/>
      </w:pPr>
      <w:r>
        <w:rPr/>
        <w:t xml:space="preserve">Готовая плата соответствует требованиям ГОСТ 23752-79 и ГОСТ 23751-86, </w:t>
      </w:r>
      <w:r>
        <w:rPr/>
        <w:t xml:space="preserve">относится к </w:t>
      </w:r>
      <w:r>
        <w:rPr/>
        <w:t>1-о</w:t>
      </w:r>
      <w:r>
        <w:rPr/>
        <w:t>му</w:t>
      </w:r>
      <w:r>
        <w:rPr/>
        <w:t xml:space="preserve"> класс</w:t>
      </w:r>
      <w:r>
        <w:rPr/>
        <w:t>у</w:t>
      </w:r>
      <w:r>
        <w:rPr/>
        <w:t xml:space="preserve"> жесткости и 3</w:t>
      </w:r>
      <w:r>
        <w:rPr>
          <w:bCs/>
          <w:iCs/>
        </w:rPr>
        <w:t>-</w:t>
      </w:r>
      <w:r>
        <w:rPr>
          <w:bCs/>
          <w:iCs/>
        </w:rPr>
        <w:t>ему</w:t>
      </w:r>
      <w:r>
        <w:rPr>
          <w:bCs/>
          <w:iCs/>
        </w:rPr>
        <w:t xml:space="preserve"> класс точности.</w:t>
      </w:r>
      <w:r>
        <w:rPr/>
        <w:t xml:space="preserve"> </w:t>
      </w:r>
    </w:p>
    <w:p>
      <w:pPr>
        <w:pStyle w:val="Normal"/>
        <w:rPr/>
      </w:pPr>
      <w:r>
        <w:rPr/>
        <w:t xml:space="preserve">Шаг координатной сетки </w:t>
      </w:r>
      <w:r>
        <w:rPr/>
        <w:t>0,635</w:t>
      </w:r>
      <w:r>
        <w:rPr/>
        <w:t xml:space="preserve"> мм.</w:t>
      </w:r>
    </w:p>
    <w:p>
      <w:pPr>
        <w:pStyle w:val="Normal"/>
        <w:rPr/>
      </w:pPr>
      <w:r>
        <w:rPr/>
        <w:t>Выбранный материал имеет следующие параметры (характеристики указаны для состояния материала после  выдержки в условиях 96 ч/40°С/93%):</w:t>
      </w:r>
    </w:p>
    <w:p>
      <w:pPr>
        <w:pStyle w:val="ListParagraph"/>
        <w:numPr>
          <w:ilvl w:val="0"/>
          <w:numId w:val="10"/>
        </w:numPr>
        <w:jc w:val="left"/>
        <w:rPr/>
      </w:pPr>
      <w:r>
        <w:rPr/>
        <w:t>поверхностное электрическое сопротивление (Ом): 5·10</w:t>
      </w:r>
      <w:r>
        <w:rPr>
          <w:vertAlign w:val="superscript"/>
        </w:rPr>
        <w:t>10</w:t>
      </w:r>
      <w:r>
        <w:rPr/>
        <w:t>;</w:t>
      </w:r>
    </w:p>
    <w:p>
      <w:pPr>
        <w:pStyle w:val="ListParagraph"/>
        <w:numPr>
          <w:ilvl w:val="0"/>
          <w:numId w:val="10"/>
        </w:numPr>
        <w:jc w:val="left"/>
        <w:rPr/>
      </w:pPr>
      <w:r>
        <w:rPr/>
        <w:t>удельное объемное электрическое сопротивление (Ом х м): 1·10</w:t>
      </w:r>
      <w:r>
        <w:rPr>
          <w:vertAlign w:val="superscript"/>
        </w:rPr>
        <w:t>10</w:t>
      </w:r>
      <w:r>
        <w:rPr/>
        <w:t>;</w:t>
      </w:r>
    </w:p>
    <w:p>
      <w:pPr>
        <w:pStyle w:val="ListParagraph"/>
        <w:numPr>
          <w:ilvl w:val="0"/>
          <w:numId w:val="10"/>
        </w:numPr>
        <w:jc w:val="left"/>
        <w:rPr/>
      </w:pPr>
      <w:r>
        <w:rPr/>
        <w:t>тангенс угла диэлектрических потерь при частоте 1 МГц: 0,035;</w:t>
      </w:r>
    </w:p>
    <w:p>
      <w:pPr>
        <w:pStyle w:val="ListParagraph"/>
        <w:numPr>
          <w:ilvl w:val="0"/>
          <w:numId w:val="10"/>
        </w:numPr>
        <w:jc w:val="left"/>
        <w:rPr/>
      </w:pPr>
      <w:r>
        <w:rPr/>
        <w:t>диэлектрическая проницаемость при частоте 1МГц: 5,5;</w:t>
      </w:r>
    </w:p>
    <w:p>
      <w:pPr>
        <w:pStyle w:val="ListParagraph"/>
        <w:numPr>
          <w:ilvl w:val="0"/>
          <w:numId w:val="10"/>
        </w:numPr>
        <w:jc w:val="left"/>
        <w:rPr/>
      </w:pPr>
      <w:r>
        <w:rPr/>
        <w:t>время устойчивости к воздействию теплового удара при t= 260</w:t>
      </w:r>
      <w:r>
        <w:rPr>
          <w:vertAlign w:val="superscript"/>
        </w:rPr>
        <w:t>о</w:t>
      </w:r>
      <w:r>
        <w:rPr/>
        <w:t>С (с): 30.</w:t>
      </w:r>
    </w:p>
    <w:p>
      <w:pPr>
        <w:pStyle w:val="Normal"/>
        <w:rPr/>
      </w:pPr>
      <w:r>
        <w:rPr>
          <w:bCs/>
          <w:iCs/>
        </w:rPr>
        <w:t>Адресация</w:t>
      </w:r>
      <w:r>
        <w:rPr/>
        <w:t xml:space="preserve"> ЭРЭ выполняется белой эпоксидной маркировочной краской МКЭЧ ОСТ 4ГО.054.205 У1 шрифтом 2 по ТУ 15-203.200-95.</w:t>
      </w:r>
    </w:p>
    <w:p>
      <w:pPr>
        <w:pStyle w:val="Heading2"/>
        <w:rPr/>
      </w:pPr>
      <w:bookmarkStart w:id="46" w:name="_Toc325070536"/>
      <w:bookmarkStart w:id="47" w:name="_Toc323300596"/>
      <w:r>
        <w:rPr/>
        <w:t xml:space="preserve">4.4 </w:t>
      </w:r>
      <w:bookmarkEnd w:id="46"/>
      <w:bookmarkEnd w:id="47"/>
      <w:r>
        <w:rPr>
          <w:szCs w:val="28"/>
        </w:rPr>
        <w:t>Анализ и выбор материала корпуса прибора</w:t>
      </w:r>
    </w:p>
    <w:p>
      <w:pPr>
        <w:pStyle w:val="Normal"/>
        <w:rPr/>
      </w:pPr>
      <w:r>
        <w:rPr/>
        <w:t>Согласно требованиям ТЗ внешняя часть измерителя монтируется вне бензобака и должна быть защищена от механических и химических воздействий извне. Этой цели удовлетворяет корпус, представленный на рисунке 4.</w:t>
      </w:r>
      <w:r>
        <w:rPr>
          <w:lang w:val="en-US"/>
        </w:rPr>
        <w:t>2</w:t>
      </w:r>
      <w:r>
        <w:rPr/>
        <w:t>.</w:t>
      </w:r>
      <w:r>
        <w:rPr>
          <w:lang w:val="en-US"/>
        </w:rPr>
        <w:t>2</w:t>
      </w:r>
      <w:r>
        <w:rPr/>
        <w:t xml:space="preserve">. Данный корпус изготовлен из </w:t>
      </w:r>
      <w:r>
        <w:rPr/>
        <w:t>полиамида 610 литьевого ГОСТ 10589-87 -</w:t>
      </w:r>
      <w:r>
        <w:rPr/>
        <w:t xml:space="preserve"> </w:t>
      </w:r>
      <w:r>
        <w:rPr/>
        <w:t>прозрачной пластмассы, стойкой к воздействию горюче-смазочных материалов при требуемом по ТЗ диапазоне температур и влажности. Корпус является закрытым, негерметичным. Корпус выполнен литьем пластмассы под давлением.</w:t>
      </w:r>
    </w:p>
    <w:p>
      <w:pPr>
        <w:pStyle w:val="Normal"/>
        <w:rPr>
          <w:lang w:val="ru-RU"/>
        </w:rPr>
      </w:pPr>
      <w:r>
        <w:rPr>
          <w:lang w:val="ru-RU"/>
        </w:rPr>
        <w:t>Прозрачность материала корпуса позволяет избежать необходимости применения вставок других материалов для изготовления прозрачного окна для наблюдения показаний индикатора. Это в свою очередь избавляет конструкцию от напряжений, связанных с различной упругостью и температурным расширением материалов составных частей. Также прозрачный корпус позволяет легко проверять наличие на месте питающего элемента и диагностировать некоторые возможные неисправности.</w:t>
      </w:r>
    </w:p>
    <w:p>
      <w:pPr>
        <w:pStyle w:val="Normal"/>
        <w:rPr/>
      </w:pPr>
      <w:r>
        <w:rPr/>
        <w:t xml:space="preserve">Выбранный </w:t>
      </w:r>
      <w:r>
        <w:rPr/>
        <w:t>материал</w:t>
      </w:r>
      <w:r>
        <w:rPr/>
        <w:t xml:space="preserve"> имеет следующие параметры:</w:t>
      </w:r>
    </w:p>
    <w:p>
      <w:pPr>
        <w:pStyle w:val="ListParagraph"/>
        <w:numPr>
          <w:ilvl w:val="0"/>
          <w:numId w:val="2"/>
        </w:numPr>
        <w:rPr/>
      </w:pPr>
      <w:r>
        <w:rPr/>
        <w:t>Плотность при 23 °С:</w:t>
        <w:tab/>
        <w:tab/>
        <w:tab/>
        <w:tab/>
        <w:tab/>
        <w:tab/>
        <w:t>1,</w:t>
      </w:r>
      <w:r>
        <w:rPr/>
        <w:t>1</w:t>
      </w:r>
      <w:r>
        <w:rPr/>
        <w:t xml:space="preserve"> г/см3;</w:t>
      </w:r>
    </w:p>
    <w:p>
      <w:pPr>
        <w:pStyle w:val="ListParagraph"/>
        <w:numPr>
          <w:ilvl w:val="0"/>
          <w:numId w:val="2"/>
        </w:numPr>
        <w:rPr/>
      </w:pPr>
      <w:r>
        <w:rPr/>
        <w:t>Прочность при растяжении:</w:t>
        <w:tab/>
        <w:tab/>
        <w:tab/>
        <w:tab/>
        <w:tab/>
      </w:r>
      <w:r>
        <w:rPr/>
        <w:t>130</w:t>
      </w:r>
      <w:r>
        <w:rPr/>
        <w:t xml:space="preserve"> МПа</w:t>
      </w:r>
    </w:p>
    <w:p>
      <w:pPr>
        <w:pStyle w:val="ListParagraph"/>
        <w:numPr>
          <w:ilvl w:val="0"/>
          <w:numId w:val="2"/>
        </w:numPr>
        <w:rPr/>
      </w:pPr>
      <w:r>
        <w:rPr/>
        <w:t>Прочность при изгибе:</w:t>
        <w:tab/>
        <w:tab/>
        <w:tab/>
        <w:tab/>
        <w:tab/>
        <w:tab/>
      </w:r>
      <w:r>
        <w:rPr/>
        <w:t>90</w:t>
      </w:r>
      <w:r>
        <w:rPr/>
        <w:t xml:space="preserve"> МПа</w:t>
      </w:r>
    </w:p>
    <w:p>
      <w:pPr>
        <w:pStyle w:val="ListParagraph"/>
        <w:numPr>
          <w:ilvl w:val="0"/>
          <w:numId w:val="2"/>
        </w:numPr>
        <w:rPr/>
      </w:pPr>
      <w:r>
        <w:rPr/>
        <w:t>Модуль упругости:</w:t>
        <w:tab/>
        <w:tab/>
        <w:tab/>
        <w:tab/>
        <w:tab/>
        <w:tab/>
        <w:tab/>
      </w:r>
      <w:r>
        <w:rPr/>
        <w:t>7000-9000</w:t>
      </w:r>
      <w:r>
        <w:rPr/>
        <w:t xml:space="preserve"> МПа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Твердость по </w:t>
      </w:r>
      <w:r>
        <w:rPr/>
        <w:t>Бриннелю, МПА</w:t>
      </w:r>
      <w:r>
        <w:rPr/>
        <w:t>:</w:t>
        <w:tab/>
        <w:tab/>
        <w:tab/>
        <w:tab/>
        <w:tab/>
        <w:t>10</w:t>
      </w:r>
      <w:r>
        <w:rPr/>
        <w:t>0-150</w:t>
      </w:r>
    </w:p>
    <w:p>
      <w:pPr>
        <w:pStyle w:val="ListParagraph"/>
        <w:numPr>
          <w:ilvl w:val="0"/>
          <w:numId w:val="2"/>
        </w:numPr>
        <w:rPr/>
      </w:pPr>
      <w:r>
        <w:rPr/>
        <w:t>Температура начала деформации при 1,82 МПа:</w:t>
        <w:tab/>
        <w:tab/>
        <w:tab/>
      </w:r>
      <w:r>
        <w:rPr/>
        <w:t>190-200</w:t>
      </w:r>
      <w:r>
        <w:rPr/>
        <w:t xml:space="preserve"> °С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Температура начала деформации при </w:t>
      </w:r>
      <w:r>
        <w:rPr/>
        <w:t>0,45</w:t>
      </w:r>
      <w:r>
        <w:rPr/>
        <w:t xml:space="preserve"> МПа:</w:t>
        <w:tab/>
        <w:tab/>
        <w:tab/>
      </w:r>
      <w:r>
        <w:rPr/>
        <w:t>200-205</w:t>
      </w:r>
      <w:r>
        <w:rPr/>
        <w:t xml:space="preserve"> °С</w:t>
      </w:r>
    </w:p>
    <w:p>
      <w:pPr>
        <w:pStyle w:val="ListParagraph"/>
        <w:numPr>
          <w:ilvl w:val="0"/>
          <w:numId w:val="2"/>
        </w:numPr>
        <w:rPr/>
      </w:pPr>
      <w:r>
        <w:rPr/>
        <w:t>Водопоглощение за 24 ч в воде при 23 °С:</w:t>
        <w:tab/>
        <w:tab/>
        <w:tab/>
        <w:t>0,3 %</w:t>
      </w:r>
    </w:p>
    <w:p>
      <w:pPr>
        <w:pStyle w:val="ListParagraph"/>
        <w:numPr>
          <w:ilvl w:val="0"/>
          <w:numId w:val="2"/>
        </w:numPr>
        <w:rPr/>
      </w:pPr>
      <w:r>
        <w:rPr/>
        <w:t>Усадка при 23 °С:</w:t>
        <w:tab/>
        <w:tab/>
        <w:tab/>
        <w:tab/>
        <w:tab/>
        <w:tab/>
        <w:tab/>
        <w:t>0,</w:t>
      </w:r>
      <w:r>
        <w:rPr/>
        <w:t>8</w:t>
      </w:r>
      <w:r>
        <w:rPr/>
        <w:t>-</w:t>
      </w:r>
      <w:r>
        <w:rPr/>
        <w:t>1</w:t>
      </w:r>
      <w:r>
        <w:rPr/>
        <w:t>,</w:t>
      </w:r>
      <w:r>
        <w:rPr/>
        <w:t>5</w:t>
      </w:r>
      <w:r>
        <w:rPr/>
        <w:t xml:space="preserve"> %</w:t>
      </w:r>
    </w:p>
    <w:p>
      <w:pPr>
        <w:pStyle w:val="ListParagraph"/>
        <w:numPr>
          <w:ilvl w:val="0"/>
          <w:numId w:val="2"/>
        </w:numPr>
        <w:rPr/>
      </w:pPr>
      <w:r>
        <w:rPr>
          <w:iCs/>
        </w:rPr>
        <w:t>рабочая температура:</w:t>
        <w:tab/>
        <w:tab/>
        <w:tab/>
        <w:tab/>
        <w:tab/>
        <w:tab/>
      </w:r>
      <w:r>
        <w:rPr/>
        <w:t>-40..+90 °C.</w:t>
      </w:r>
    </w:p>
    <w:p>
      <w:pPr>
        <w:pStyle w:val="ListParagraph"/>
        <w:numPr>
          <w:ilvl w:val="0"/>
          <w:numId w:val="2"/>
        </w:numPr>
        <w:rPr/>
      </w:pPr>
      <w:r>
        <w:rPr/>
        <w:t>удельное электрическое сопротивление (поверхностное):</w:t>
        <w:tab/>
        <w:t>10</w:t>
      </w:r>
      <w:r>
        <w:rPr>
          <w:vertAlign w:val="superscript"/>
        </w:rPr>
        <w:t>12</w:t>
      </w:r>
      <w:r>
        <w:rPr>
          <w:i/>
          <w:iCs/>
        </w:rPr>
        <w:t xml:space="preserve"> </w:t>
      </w:r>
      <w:r>
        <w:rPr>
          <w:iCs/>
        </w:rPr>
        <w:t>Ом/см;</w:t>
      </w:r>
    </w:p>
    <w:p>
      <w:pPr>
        <w:pStyle w:val="ListParagraph"/>
        <w:numPr>
          <w:ilvl w:val="0"/>
          <w:numId w:val="2"/>
        </w:numPr>
        <w:rPr/>
      </w:pPr>
      <w:r>
        <w:rPr/>
        <w:t>удельное электрическое сопротивление (объёмное):</w:t>
        <w:tab/>
        <w:tab/>
        <w:t xml:space="preserve"> 10</w:t>
      </w:r>
      <w:r>
        <w:rPr>
          <w:vertAlign w:val="superscript"/>
        </w:rPr>
        <w:t>12</w:t>
      </w:r>
      <w:r>
        <w:rPr>
          <w:i/>
          <w:iCs/>
        </w:rPr>
        <w:t xml:space="preserve"> </w:t>
      </w:r>
      <w:r>
        <w:rPr>
          <w:iCs/>
        </w:rPr>
        <w:t>Ом/см;</w:t>
      </w:r>
    </w:p>
    <w:p>
      <w:pPr>
        <w:pStyle w:val="Normal"/>
        <w:spacing w:lineRule="auto" w:line="240"/>
        <w:ind w:left="0" w:right="0" w:hanging="0"/>
        <w:jc w:val="left"/>
        <w:rPr>
          <w:rFonts w:ascii="Cambria" w:hAnsi="Cambria"/>
          <w:b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</w:r>
      <w:r>
        <w:br w:type="page"/>
      </w:r>
    </w:p>
    <w:p>
      <w:pPr>
        <w:pStyle w:val="Heading2"/>
        <w:rPr/>
      </w:pPr>
      <w:bookmarkStart w:id="48" w:name="_Toc325070537"/>
      <w:bookmarkStart w:id="49" w:name="_Toc323300597"/>
      <w:r>
        <w:rPr>
          <w:szCs w:val="28"/>
        </w:rPr>
        <w:t xml:space="preserve">4.4 </w:t>
      </w:r>
      <w:bookmarkStart w:id="50" w:name="_Toc168938892"/>
      <w:bookmarkStart w:id="51" w:name="_Toc323300598"/>
      <w:bookmarkStart w:id="52" w:name="_Toc325070538"/>
      <w:bookmarkEnd w:id="48"/>
      <w:bookmarkEnd w:id="49"/>
      <w:bookmarkEnd w:id="50"/>
      <w:bookmarkEnd w:id="51"/>
      <w:bookmarkEnd w:id="52"/>
      <w:r>
        <w:rPr/>
        <w:t>Выбор соединений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В данном устройстве применены следующие виды  соединений:</w:t>
      </w:r>
    </w:p>
    <w:p>
      <w:pPr>
        <w:pStyle w:val="Normal"/>
        <w:rPr/>
      </w:pPr>
      <w:r>
        <w:rPr>
          <w:b w:val="false"/>
          <w:bCs w:val="false"/>
        </w:rPr>
        <w:t xml:space="preserve">а) </w:t>
      </w:r>
      <w:r>
        <w:rPr>
          <w:b w:val="false"/>
          <w:bCs w:val="false"/>
        </w:rPr>
        <w:t xml:space="preserve">Винтовое соединение. </w:t>
      </w:r>
      <w:r>
        <w:rPr/>
        <w:t>Винтовое соединение применяется для разъемного соединения обеих частей корпуса и платы. Винты могут быть откручены пользователем устройства для установки или замены питающего элемента.</w:t>
      </w:r>
    </w:p>
    <w:p>
      <w:pPr>
        <w:pStyle w:val="Normal"/>
        <w:rPr/>
      </w:pPr>
      <w:r>
        <w:rPr>
          <w:b w:val="false"/>
          <w:bCs w:val="false"/>
        </w:rPr>
        <w:t xml:space="preserve">б) </w:t>
      </w:r>
      <w:r>
        <w:rPr>
          <w:b w:val="false"/>
          <w:bCs w:val="false"/>
        </w:rPr>
        <w:t xml:space="preserve">Соединение </w:t>
      </w:r>
      <w:bookmarkStart w:id="53" w:name="_Toc325070539"/>
      <w:bookmarkStart w:id="54" w:name="_Toc323300599"/>
      <w:bookmarkEnd w:id="53"/>
      <w:bookmarkEnd w:id="54"/>
      <w:r>
        <w:rPr>
          <w:b w:val="false"/>
          <w:bCs w:val="false"/>
        </w:rPr>
        <w:t>заформовкой. Заформовка применяется для фиксации бонок в верхней части корпуса. Данное соединение должно быть неразборным и достаточно надёжным, что может быть обеспеченно данным видом соединения.</w:t>
      </w:r>
    </w:p>
    <w:p>
      <w:pPr>
        <w:pStyle w:val="Normal"/>
        <w:rPr/>
      </w:pPr>
      <w:r>
        <w:rPr>
          <w:b w:val="false"/>
          <w:bCs w:val="false"/>
        </w:rPr>
        <w:t>в</w:t>
      </w:r>
      <w:r>
        <w:rPr>
          <w:b w:val="false"/>
          <w:bCs w:val="false"/>
        </w:rPr>
        <w:t>) Соединение пайкой. Данное соединение применяется как для механического закрепления ЭРЭ на плате, так и для создания электрического контакта между выводами ЭРЭ и проводящим рисунком ПП.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г) Соединение разъёмное штыревое. Применено для соединения погружного датчика с внешним блоком. Обеспечивает электричемкий контакт и механическую фиксацию шнура в разъёме корпуса.</w:t>
      </w:r>
    </w:p>
    <w:p>
      <w:pPr>
        <w:pStyle w:val="Heading2"/>
        <w:rPr/>
      </w:pPr>
      <w:bookmarkStart w:id="55" w:name="_Toc325070540"/>
      <w:bookmarkStart w:id="56" w:name="_Toc168938901"/>
      <w:bookmarkStart w:id="57" w:name="_Toc159809135"/>
      <w:bookmarkStart w:id="58" w:name="_Toc323300600"/>
      <w:bookmarkEnd w:id="56"/>
      <w:bookmarkEnd w:id="57"/>
      <w:bookmarkEnd w:id="58"/>
      <w:r>
        <w:rPr>
          <w:szCs w:val="28"/>
        </w:rPr>
        <w:t xml:space="preserve">4.5 </w:t>
      </w:r>
      <w:bookmarkEnd w:id="55"/>
      <w:r>
        <w:rPr>
          <w:szCs w:val="28"/>
        </w:rPr>
        <w:t>Обеспечение устойчивости к внешним воздействиям</w:t>
      </w:r>
    </w:p>
    <w:p>
      <w:pPr>
        <w:pStyle w:val="Heading3"/>
        <w:rPr/>
      </w:pPr>
      <w:bookmarkStart w:id="59" w:name="_Toc325070541"/>
      <w:r>
        <w:rPr/>
        <w:t xml:space="preserve">4.5.1 </w:t>
      </w:r>
      <w:bookmarkEnd w:id="59"/>
      <w:r>
        <w:rPr/>
        <w:t>Тепловое воздействие</w:t>
      </w:r>
    </w:p>
    <w:p>
      <w:pPr>
        <w:pStyle w:val="Normal"/>
        <w:rPr/>
      </w:pPr>
      <w:r>
        <w:rPr/>
        <w:t xml:space="preserve">Для выбора способа защиты от перегрева </w:t>
      </w:r>
      <w:r>
        <w:rPr/>
        <w:t>необходимо рассчитать</w:t>
      </w:r>
      <w:r>
        <w:rPr/>
        <w:t xml:space="preserve"> суммарную рассеиваемую мощность </w:t>
      </w:r>
      <w:r>
        <w:rPr/>
        <w:t>устройства</w:t>
      </w:r>
      <w:r>
        <w:rPr/>
        <w:t>. Полная рассеиваемая мощность есть сумма мощностей рассеивания всех ЭРЭ:</w:t>
      </w:r>
    </w:p>
    <w:p>
      <w:pPr>
        <w:pStyle w:val="MTDisplayEquation1"/>
        <w:rPr/>
      </w:pPr>
      <w:r>
        <w:rPr/>
        <w:tab/>
      </w:r>
      <w:r>
        <w:rPr/>
        <w:object>
          <v:shape id="ole_rId12" style="width:81pt;height:29.25pt" o:ole="">
            <v:imagedata r:id="rId13" o:title=""/>
          </v:shape>
          <o:OLEObject Type="Embed" ProgID="" ShapeID="ole_rId12" DrawAspect="Content" ObjectID="_756342989" r:id="rId12"/>
        </w:object>
      </w:r>
      <w:r>
        <w:rPr/>
        <w:tab/>
        <w:t>(4.1)</w:t>
      </w:r>
    </w:p>
    <w:p>
      <w:pPr>
        <w:pStyle w:val="MTDisplayEquation1"/>
        <w:rPr/>
      </w:pPr>
      <w:r>
        <w:rPr/>
        <w:t>Расчет  максимальных рассеиваемых мощностей ЭРЭ:</w:t>
      </w:r>
    </w:p>
    <w:p>
      <w:pPr>
        <w:pStyle w:val="MTDisplayEquation1"/>
        <w:rPr/>
      </w:pPr>
      <w:r>
        <w:rPr/>
        <w:t xml:space="preserve">а) резисторы </w:t>
      </w:r>
      <w:r>
        <w:rPr>
          <w:lang w:val="en-US"/>
        </w:rPr>
        <w:t xml:space="preserve">R1..R7 </w:t>
      </w:r>
      <w:r>
        <w:rPr>
          <w:lang w:val="ru-RU"/>
        </w:rPr>
        <w:t xml:space="preserve">и индикатор </w:t>
      </w:r>
      <w:r>
        <w:rPr>
          <w:lang w:val="en-US"/>
        </w:rPr>
        <w:t>DPY1</w:t>
      </w:r>
      <w:r>
        <w:rPr>
          <w:lang w:val="en-US"/>
        </w:rPr>
        <w:t xml:space="preserve"> – </w:t>
      </w:r>
      <w:r>
        <w:rPr>
          <w:lang w:val="ru-RU"/>
        </w:rPr>
        <w:t>при постоянно включенных 7 сегментах индикатора:</w:t>
      </w:r>
    </w:p>
    <w:p>
      <w:pPr>
        <w:pStyle w:val="MTDisplayEquation1"/>
        <w:jc w:val="center"/>
        <w:rPr>
          <w:lang w:val="ru-RU"/>
        </w:rPr>
      </w:pPr>
      <w:r>
        <w:rPr>
          <w:lang w:val="ru-RU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1.</m:t>
            </m:r>
            <m:r>
              <w:rPr>
                <w:rFonts w:ascii="Cambria Math" w:hAnsi="Cambria Math"/>
              </w:rPr>
              <m:t xml:space="preserve">.7,</m:t>
            </m:r>
            <m:r>
              <w:rPr>
                <w:rFonts w:ascii="Cambria Math" w:hAnsi="Cambria Math"/>
              </w:rPr>
              <m:t xml:space="preserve">DPY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7</m:t>
        </m:r>
        <m:r>
          <w:rPr>
            <w:rFonts w:ascii="Cambria Math" w:hAnsi="Cambria Math"/>
          </w:rPr>
          <m:t xml:space="preserve">⋅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В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мА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140</m:t>
        </m:r>
        <m:r>
          <w:rPr>
            <w:rFonts w:ascii="Cambria Math" w:hAnsi="Cambria Math"/>
          </w:rPr>
          <m:t xml:space="preserve">мВт</m:t>
        </m:r>
      </m:oMath>
    </w:p>
    <w:p>
      <w:pPr>
        <w:pStyle w:val="MTDisplayEquation1"/>
        <w:rPr/>
      </w:pPr>
      <w:r>
        <w:rPr/>
        <w:t>б</w:t>
      </w:r>
      <w:r>
        <w:rPr/>
        <w:t xml:space="preserve">) резисторы </w:t>
      </w:r>
      <w:r>
        <w:rPr>
          <w:lang w:val="en-US"/>
        </w:rPr>
        <w:t>R</w:t>
      </w:r>
      <w:r>
        <w:rPr>
          <w:lang w:val="ru-RU"/>
        </w:rPr>
        <w:t>8</w:t>
      </w:r>
      <w:r>
        <w:rPr>
          <w:lang w:val="en-US"/>
        </w:rPr>
        <w:t>..R</w:t>
      </w:r>
      <w:r>
        <w:rPr>
          <w:lang w:val="ru-RU"/>
        </w:rPr>
        <w:t>9</w:t>
      </w:r>
      <w:r>
        <w:rPr>
          <w:lang w:val="ru-RU"/>
        </w:rPr>
        <w:t>:</w:t>
      </w:r>
    </w:p>
    <w:p>
      <w:pPr>
        <w:pStyle w:val="MTDisplayEquation1"/>
        <w:jc w:val="center"/>
        <w:rPr>
          <w:lang w:val="ru-RU"/>
        </w:rPr>
      </w:pPr>
      <w:r>
        <w:rPr>
          <w:lang w:val="ru-RU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8.</m:t>
            </m:r>
            <m:r>
              <w:rPr>
                <w:rFonts w:ascii="Cambria Math" w:hAnsi="Cambria Math"/>
              </w:rPr>
              <m:t xml:space="preserve">.9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⋅</m:t>
        </m:r>
        <m:d>
          <m:dPr>
            <m:begChr m:val="("/>
            <m:endChr m:val=")"/>
          </m:dPr>
          <m:e>
            <m:f>
              <m:num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2,5</m:t>
                        </m:r>
                        <m:r>
                          <w:rPr>
                            <w:rFonts w:ascii="Cambria Math" w:hAnsi="Cambria Math"/>
                          </w:rPr>
                          <m:t xml:space="preserve">В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 xml:space="preserve">20</m:t>
                </m:r>
                <m:r>
                  <w:rPr>
                    <w:rFonts w:ascii="Cambria Math" w:hAnsi="Cambria Math"/>
                  </w:rPr>
                  <m:t xml:space="preserve">кОм</m:t>
                </m:r>
              </m:den>
            </m:f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0,15</m:t>
        </m:r>
        <m:r>
          <w:rPr>
            <w:rFonts w:ascii="Cambria Math" w:hAnsi="Cambria Math"/>
          </w:rPr>
          <m:t xml:space="preserve">мВт</m:t>
        </m:r>
      </m:oMath>
    </w:p>
    <w:p>
      <w:pPr>
        <w:pStyle w:val="MTDisplayEquation1"/>
        <w:widowControl/>
        <w:tabs>
          <w:tab w:val="center" w:pos="4840" w:leader="none"/>
          <w:tab w:val="right" w:pos="9680" w:leader="none"/>
        </w:tabs>
        <w:bidi w:val="0"/>
        <w:spacing w:lineRule="auto" w:line="360"/>
        <w:ind w:left="0" w:right="0" w:firstLine="850"/>
        <w:jc w:val="left"/>
        <w:rPr>
          <w:lang w:val="ru-RU"/>
        </w:rPr>
      </w:pPr>
      <w:r>
        <w:rPr>
          <w:lang w:val="ru-RU"/>
        </w:rPr>
        <w:t>Мощность, рассеиваемая на этих резисторах, мала в сравнении с остальными, поэтому далее она не учитывается.</w:t>
      </w:r>
    </w:p>
    <w:p>
      <w:pPr>
        <w:pStyle w:val="MTDisplayEquation1"/>
        <w:rPr/>
      </w:pPr>
      <w:r>
        <w:rPr/>
        <w:t>в</w:t>
      </w:r>
      <w:r>
        <w:rPr/>
        <w:t xml:space="preserve">) резисторы </w:t>
      </w:r>
      <w:r>
        <w:rPr>
          <w:lang w:val="en-US"/>
        </w:rPr>
        <w:t>R1</w:t>
      </w:r>
      <w:r>
        <w:rPr>
          <w:lang w:val="ru-RU"/>
        </w:rPr>
        <w:t>0</w:t>
      </w:r>
      <w:r>
        <w:rPr>
          <w:lang w:val="en-US"/>
        </w:rPr>
        <w:t xml:space="preserve">..R7 – </w:t>
      </w:r>
      <w:r>
        <w:rPr>
          <w:lang w:val="ru-RU"/>
        </w:rPr>
        <w:t xml:space="preserve">при </w:t>
      </w:r>
      <w:r>
        <w:rPr>
          <w:lang w:val="ru-RU"/>
        </w:rPr>
        <w:t xml:space="preserve">максимальной </w:t>
      </w:r>
      <w:r>
        <w:rPr>
          <w:lang w:val="ru-RU"/>
        </w:rPr>
        <w:t>емкости конденсатора</w:t>
      </w:r>
      <w:r>
        <w:rPr>
          <w:lang w:val="ru-RU"/>
        </w:rPr>
        <w:t xml:space="preserve"> (при </w:t>
      </w:r>
      <w:r>
        <w:rPr>
          <w:lang w:val="ru-RU"/>
        </w:rPr>
        <w:t>использовании бензина АИ95</w:t>
      </w:r>
      <w:r>
        <w:rPr>
          <w:lang w:val="ru-RU"/>
        </w:rPr>
        <w:t xml:space="preserve"> - </w:t>
      </w:r>
      <w:r>
        <w:rPr>
          <w:lang w:val="ru-RU"/>
        </w:rPr>
        <w:t>420 пФ</w:t>
      </w:r>
      <w:r>
        <w:rPr>
          <w:lang w:val="ru-RU"/>
        </w:rPr>
        <w:t>)</w:t>
      </w:r>
      <w:r>
        <w:rPr>
          <w:lang w:val="ru-RU"/>
        </w:rPr>
        <w:t>:</w:t>
      </w:r>
    </w:p>
    <w:p>
      <w:pPr>
        <w:pStyle w:val="MTDisplayEquation1"/>
        <w:jc w:val="center"/>
        <w:rPr>
          <w:lang w:val="ru-RU"/>
        </w:rPr>
      </w:pPr>
      <w:r>
        <w:rPr>
          <w:lang w:val="ru-RU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10.</m:t>
            </m:r>
            <m:r>
              <w:rPr>
                <w:rFonts w:ascii="Cambria Math" w:hAnsi="Cambria Math"/>
              </w:rPr>
              <m:t xml:space="preserve">.11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420</m:t>
            </m:r>
            <m:r>
              <w:rPr>
                <w:rFonts w:ascii="Cambria Math" w:hAnsi="Cambria Math"/>
              </w:rPr>
              <m:t xml:space="preserve">пФ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3</m:t>
            </m:r>
            <m:r>
              <w:rPr>
                <w:rFonts w:ascii="Cambria Math" w:hAnsi="Cambria Math"/>
              </w:rPr>
              <m:t xml:space="preserve">В</m:t>
            </m:r>
          </m:num>
          <m:den>
            <m:r>
              <w:rPr>
                <w:rFonts w:ascii="Cambria Math" w:hAnsi="Cambria Math"/>
              </w:rPr>
              <m:t xml:space="preserve">565</m:t>
            </m:r>
            <m:r>
              <w:rPr>
                <w:rFonts w:ascii="Cambria Math" w:hAnsi="Cambria Math"/>
              </w:rPr>
              <m:t xml:space="preserve">мкс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4,5</m:t>
        </m:r>
        <m:r>
          <w:rPr>
            <w:rFonts w:ascii="Cambria Math" w:hAnsi="Cambria Math"/>
          </w:rPr>
          <m:t xml:space="preserve">мВт</m:t>
        </m:r>
      </m:oMath>
    </w:p>
    <w:p>
      <w:pPr>
        <w:pStyle w:val="MTDisplayEquation1"/>
        <w:rPr/>
      </w:pPr>
      <w:r>
        <w:rPr/>
        <w:t>г</w:t>
      </w:r>
      <w:r>
        <w:rPr/>
        <w:t xml:space="preserve">) </w:t>
      </w:r>
      <w:r>
        <w:rPr>
          <w:lang w:val="ru-RU"/>
        </w:rPr>
        <w:t xml:space="preserve">микроконтроллер </w:t>
      </w:r>
      <w:r>
        <w:rPr>
          <w:lang w:val="en-US"/>
        </w:rPr>
        <w:t xml:space="preserve">MCU1 </w:t>
      </w:r>
      <w:r>
        <w:rPr>
          <w:lang w:val="ru-RU"/>
        </w:rPr>
        <w:t>при непрерывном измерении</w:t>
      </w:r>
      <w:r>
        <w:rPr>
          <w:lang w:val="ru-RU"/>
        </w:rPr>
        <w:t>:</w:t>
      </w:r>
    </w:p>
    <w:p>
      <w:pPr>
        <w:pStyle w:val="MTDisplayEquation1"/>
        <w:jc w:val="center"/>
        <w:rPr>
          <w:lang w:val="ru-RU"/>
        </w:rPr>
      </w:pPr>
      <w:r>
        <w:rPr>
          <w:lang w:val="ru-RU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MCU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45</m:t>
        </m:r>
        <m:r>
          <w:rPr>
            <w:rFonts w:ascii="Cambria Math" w:hAnsi="Cambria Math"/>
          </w:rPr>
          <m:t xml:space="preserve">мВт</m:t>
        </m:r>
      </m:oMath>
    </w:p>
    <w:p>
      <w:pPr>
        <w:pStyle w:val="MTDisplayEquation1"/>
        <w:ind w:left="0" w:right="0" w:firstLine="709"/>
        <w:rPr/>
      </w:pPr>
      <w:r>
        <w:rPr/>
        <w:t>Результаты расчета максимальных</w:t>
      </w:r>
      <w:r>
        <w:rPr/>
        <w:t xml:space="preserve"> рассеиваемых мощностей для </w:t>
      </w:r>
      <w:r>
        <w:rPr/>
        <w:t>выше приведенных</w:t>
      </w:r>
      <w:r>
        <w:rPr/>
        <w:t xml:space="preserve"> ЭРЭ </w:t>
      </w:r>
      <w:r>
        <w:rPr/>
        <w:t>представлены в таблице 4.5.1.</w:t>
      </w:r>
    </w:p>
    <w:p>
      <w:pPr>
        <w:pStyle w:val="MTDisplayEquation1"/>
        <w:spacing w:lineRule="auto" w:line="240"/>
        <w:ind w:left="0" w:right="0" w:hanging="0"/>
        <w:jc w:val="right"/>
        <w:rPr>
          <w:sz w:val="22"/>
        </w:rPr>
      </w:pPr>
      <w:r>
        <w:rPr>
          <w:sz w:val="22"/>
        </w:rPr>
        <w:t>Таблица 4.5.1 – Мощность, рассеиваемая ЭРЭ</w:t>
      </w:r>
    </w:p>
    <w:tbl>
      <w:tblPr>
        <w:tblW w:w="99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88"/>
        <w:gridCol w:w="4912"/>
      </w:tblGrid>
      <w:tr>
        <w:trPr/>
        <w:tc>
          <w:tcPr>
            <w:tcW w:w="4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jc w:val="center"/>
              <w:rPr/>
            </w:pPr>
            <w:r>
              <w:rPr/>
              <w:t>Наименование ЭРЭ</w:t>
            </w:r>
          </w:p>
        </w:tc>
        <w:tc>
          <w:tcPr>
            <w:tcW w:w="4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jc w:val="center"/>
              <w:rPr/>
            </w:pPr>
            <w:r>
              <w:rPr/>
              <w:t>Максимальная рассеваемая</w:t>
            </w:r>
          </w:p>
          <w:p>
            <w:pPr>
              <w:pStyle w:val="MTDisplayEquation1"/>
              <w:spacing w:lineRule="auto" w:line="240"/>
              <w:ind w:left="0" w:right="0" w:hanging="0"/>
              <w:jc w:val="center"/>
              <w:rPr/>
            </w:pPr>
            <w:r>
              <w:rPr/>
              <w:t>мощность, мВт</w:t>
            </w:r>
          </w:p>
        </w:tc>
      </w:tr>
      <w:tr>
        <w:trPr/>
        <w:tc>
          <w:tcPr>
            <w:tcW w:w="4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/>
            </w:pPr>
            <w:r>
              <w:rPr>
                <w:lang w:val="ru-RU"/>
              </w:rPr>
              <w:t>Р</w:t>
            </w:r>
            <w:r>
              <w:rPr>
                <w:lang w:val="en-US"/>
              </w:rPr>
              <w:t xml:space="preserve">езисторы R1..R7 </w:t>
            </w:r>
            <w:r>
              <w:rPr>
                <w:lang w:val="ru-RU"/>
              </w:rPr>
              <w:t xml:space="preserve">и индикатор </w:t>
            </w:r>
            <w:r>
              <w:rPr>
                <w:lang w:val="en-US"/>
              </w:rPr>
              <w:t>DPY1</w:t>
            </w:r>
          </w:p>
        </w:tc>
        <w:tc>
          <w:tcPr>
            <w:tcW w:w="4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</w:tr>
      <w:tr>
        <w:trPr/>
        <w:tc>
          <w:tcPr>
            <w:tcW w:w="4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/>
            </w:pPr>
            <w:r>
              <w:rPr>
                <w:lang w:val="ru-RU"/>
              </w:rPr>
              <w:t>Р</w:t>
            </w:r>
            <w:r>
              <w:rPr>
                <w:lang w:val="en-US"/>
              </w:rPr>
              <w:t>езисторы R1</w:t>
            </w:r>
            <w:r>
              <w:rPr>
                <w:lang w:val="ru-RU"/>
              </w:rPr>
              <w:t>0</w:t>
            </w:r>
            <w:r>
              <w:rPr>
                <w:lang w:val="en-US"/>
              </w:rPr>
              <w:t>..R7</w:t>
            </w:r>
          </w:p>
        </w:tc>
        <w:tc>
          <w:tcPr>
            <w:tcW w:w="4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/>
            </w:pPr>
            <w:r>
              <w:rPr/>
              <w:t>4,5</w:t>
            </w:r>
          </w:p>
        </w:tc>
      </w:tr>
      <w:tr>
        <w:trPr/>
        <w:tc>
          <w:tcPr>
            <w:tcW w:w="4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/>
            </w:pPr>
            <w:r>
              <w:rPr>
                <w:color w:val="000000"/>
                <w:szCs w:val="20"/>
                <w:lang w:val="ru-RU"/>
              </w:rPr>
              <w:t xml:space="preserve">Микроконтроллер </w:t>
            </w:r>
            <w:r>
              <w:rPr>
                <w:color w:val="000000"/>
                <w:szCs w:val="20"/>
                <w:lang w:val="en-US"/>
              </w:rPr>
              <w:t>MCU1</w:t>
            </w:r>
          </w:p>
        </w:tc>
        <w:tc>
          <w:tcPr>
            <w:tcW w:w="49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/>
            </w:pPr>
            <w:r>
              <w:rPr/>
              <w:t>45</w:t>
            </w:r>
          </w:p>
        </w:tc>
      </w:tr>
      <w:tr>
        <w:trPr/>
        <w:tc>
          <w:tcPr>
            <w:tcW w:w="498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/>
            </w:pPr>
            <w:r>
              <w:rPr/>
            </w:r>
          </w:p>
        </w:tc>
        <w:tc>
          <w:tcPr>
            <w:tcW w:w="491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/>
            </w:pPr>
            <w:r>
              <w:rPr/>
            </w:r>
          </w:p>
        </w:tc>
      </w:tr>
      <w:tr>
        <w:trPr/>
        <w:tc>
          <w:tcPr>
            <w:tcW w:w="498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/>
            </w:pPr>
            <w:r>
              <w:rPr/>
              <w:tab/>
              <w:t>Суммарная максимальная мощность</w:t>
            </w:r>
          </w:p>
        </w:tc>
        <w:tc>
          <w:tcPr>
            <w:tcW w:w="491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MTDisplayEquation1"/>
              <w:spacing w:lineRule="auto" w:line="240"/>
              <w:ind w:left="0" w:right="0" w:hanging="0"/>
              <w:rPr/>
            </w:pPr>
            <w:r>
              <w:rPr/>
              <w:t>190</w:t>
            </w:r>
          </w:p>
        </w:tc>
      </w:tr>
    </w:tbl>
    <w:p>
      <w:pPr>
        <w:pStyle w:val="MTDisplayEquation1"/>
        <w:rPr/>
      </w:pPr>
      <w:r>
        <w:rPr/>
      </w:r>
    </w:p>
    <w:p>
      <w:pPr>
        <w:pStyle w:val="MTDisplayEquation1"/>
        <w:rPr/>
      </w:pPr>
      <w:r>
        <w:rPr/>
        <w:t xml:space="preserve">Конденсаторы и печатные проводники тепло практически не рассеивают и в расчете </w:t>
      </w:r>
      <w:r>
        <w:rPr/>
        <w:t>они не учтены</w:t>
      </w:r>
      <w:r>
        <w:rPr/>
        <w:t xml:space="preserve">. </w:t>
      </w:r>
    </w:p>
    <w:p>
      <w:pPr>
        <w:pStyle w:val="Normal"/>
        <w:rPr/>
      </w:pPr>
      <w:r>
        <w:rPr/>
        <w:t xml:space="preserve">Расчет показал, что в условиях, обеспечивающих максимально возможную рассеиваемую мощность, ее значение составляет </w:t>
      </w:r>
      <w:r>
        <w:rPr/>
        <w:t xml:space="preserve">порядка </w:t>
      </w:r>
      <w:r>
        <w:rPr/>
        <w:t>0,2</w:t>
      </w:r>
      <w:r>
        <w:rPr/>
        <w:t xml:space="preserve"> Вт. </w:t>
      </w:r>
      <w:r>
        <w:rPr/>
        <w:t>Следовательно, устройство</w:t>
      </w:r>
      <w:r>
        <w:rPr/>
        <w:t xml:space="preserve"> не требует специальной системы охлаждения. Теплонагруженные элементы охлаждаются за счет естественной конвекции воздуха, теплопроводности </w:t>
      </w:r>
      <w:r>
        <w:rPr/>
        <w:t>печатной платы и корпуса</w:t>
      </w:r>
      <w:r>
        <w:rPr/>
        <w:t xml:space="preserve"> и излучения. </w:t>
      </w:r>
    </w:p>
    <w:p>
      <w:pPr>
        <w:pStyle w:val="Normal"/>
        <w:rPr/>
      </w:pPr>
      <w:r>
        <w:rPr/>
        <w:t>Все элементы схемы, а также материал корпуса были подобраны в соответствии с ограничениями ТЗ (рабочая температура и температура хранения до 45</w:t>
      </w:r>
      <w:r>
        <w:rPr>
          <w:rFonts w:ascii="Symbol" w:hAnsi="Symbol"/>
        </w:rPr>
        <w:t></w:t>
      </w:r>
      <w:r>
        <w:rPr/>
        <w:t>С).</w:t>
      </w:r>
    </w:p>
    <w:p>
      <w:pPr>
        <w:pStyle w:val="Heading3"/>
        <w:rPr/>
      </w:pPr>
      <w:bookmarkStart w:id="60" w:name="_Toc325070542"/>
      <w:r>
        <w:rPr/>
        <w:t xml:space="preserve">4.5.2 </w:t>
      </w:r>
      <w:bookmarkEnd w:id="60"/>
      <w:r>
        <w:rPr/>
        <w:t>Охлаждение</w:t>
      </w:r>
    </w:p>
    <w:p>
      <w:pPr>
        <w:pStyle w:val="Normal"/>
        <w:rPr/>
      </w:pPr>
      <w:r>
        <w:rPr/>
        <w:t>Устройство</w:t>
      </w:r>
      <w:r>
        <w:rPr/>
        <w:t xml:space="preserve"> защищен</w:t>
      </w:r>
      <w:r>
        <w:rPr/>
        <w:t>о</w:t>
      </w:r>
      <w:r>
        <w:rPr/>
        <w:t xml:space="preserve"> от переохлаждения правильным согласованием материалов, из которых изготовлена печатная плата </w:t>
      </w:r>
      <w:r>
        <w:rPr/>
        <w:t>и элементы корпуса</w:t>
      </w:r>
      <w:r>
        <w:rPr/>
        <w:t>.</w:t>
      </w:r>
    </w:p>
    <w:p>
      <w:pPr>
        <w:pStyle w:val="Normal"/>
        <w:rPr/>
      </w:pPr>
      <w:r>
        <w:rPr/>
        <w:t>Все элементы схемы, а также материал корпуса были подобраны в соответствии с ограничениями ТЗ (рабочая температура  до -10</w:t>
      </w:r>
      <w:r>
        <w:rPr>
          <w:rFonts w:ascii="Symbol" w:hAnsi="Symbol"/>
        </w:rPr>
        <w:t></w:t>
      </w:r>
      <w:r>
        <w:rPr/>
        <w:t>С, температура хранения до -20</w:t>
      </w:r>
      <w:r>
        <w:rPr>
          <w:rFonts w:ascii="Symbol" w:hAnsi="Symbol"/>
        </w:rPr>
        <w:t></w:t>
      </w:r>
      <w:r>
        <w:rPr/>
        <w:t>С), чем обеспечивается защита от холода.</w:t>
      </w:r>
    </w:p>
    <w:p>
      <w:pPr>
        <w:pStyle w:val="Heading3"/>
        <w:rPr/>
      </w:pPr>
      <w:bookmarkStart w:id="61" w:name="_Toc325070543"/>
      <w:r>
        <w:rPr/>
        <w:t>4.5.3 Вибраци</w:t>
      </w:r>
      <w:r>
        <w:rPr/>
        <w:t>я</w:t>
      </w:r>
      <w:bookmarkEnd w:id="61"/>
      <w:r>
        <w:rPr/>
        <w:t xml:space="preserve"> и удары</w:t>
      </w:r>
    </w:p>
    <w:p>
      <w:pPr>
        <w:pStyle w:val="Normal"/>
        <w:rPr/>
      </w:pPr>
      <w:r>
        <w:rPr/>
        <w:t>Минимизация искривлений печатных плат обеспечена равномерным распределением нагрузки на них и высокой плотностью установки компонентов.</w:t>
      </w:r>
    </w:p>
    <w:p>
      <w:pPr>
        <w:pStyle w:val="Normal"/>
        <w:rPr/>
      </w:pPr>
      <w:r>
        <w:rPr/>
        <w:t>Все элементы схемы, а также материал корпуса были подобраны в соответствии с ограничениями ТЗ на возможные вибрации и удары.</w:t>
      </w:r>
    </w:p>
    <w:p>
      <w:pPr>
        <w:pStyle w:val="Heading3"/>
        <w:rPr/>
      </w:pPr>
      <w:bookmarkStart w:id="62" w:name="_Toc325070544"/>
      <w:bookmarkStart w:id="63" w:name="_Toc159809139"/>
      <w:bookmarkEnd w:id="62"/>
      <w:bookmarkEnd w:id="63"/>
      <w:r>
        <w:rPr/>
        <w:t>4.5.4 Влажность</w:t>
      </w:r>
    </w:p>
    <w:p>
      <w:pPr>
        <w:pStyle w:val="Normal"/>
        <w:rPr/>
      </w:pPr>
      <w:r>
        <w:rPr/>
        <w:t>Материал корпуса подобран в соответствии с требованиями ТЗ по необходимому сопротивлению воздействия влажности.</w:t>
      </w:r>
    </w:p>
    <w:p>
      <w:pPr>
        <w:pStyle w:val="Normal"/>
        <w:rPr/>
      </w:pPr>
      <w:r>
        <w:rPr/>
        <w:t>Поскольку корпус не герметичен, его содержимое — плата и ЭРЭ — нуждаются в самостоятельном обеспечении сопротивления влажности. С этой целью собранная ячейка полностью покрывается лаком УР-231 (ТУ 6-21-14-90), который подходит под требования ТЗ.</w:t>
      </w:r>
    </w:p>
    <w:p>
      <w:pPr>
        <w:pStyle w:val="Heading3"/>
        <w:rPr/>
      </w:pPr>
      <w:bookmarkStart w:id="64" w:name="_Toc325070545"/>
      <w:bookmarkEnd w:id="64"/>
      <w:r>
        <w:rPr/>
        <w:t>4.5.5 Электромагнитные помехи</w:t>
      </w:r>
    </w:p>
    <w:p>
      <w:pPr>
        <w:pStyle w:val="Normal"/>
        <w:rPr>
          <w:lang w:val="ru-RU"/>
        </w:rPr>
      </w:pPr>
      <w:r>
        <w:rPr>
          <w:lang w:val="ru-RU"/>
        </w:rPr>
        <w:t>Погружной датчик представляет собой открытый конденсатор, который располагается внутри металлического бензобака, являющегося хорошим электромагнитным экраном. Благодаря этому возможные наводки на конденсатор датчика становятся незначительными.</w:t>
      </w:r>
    </w:p>
    <w:p>
      <w:pPr>
        <w:pStyle w:val="Normal"/>
        <w:rPr>
          <w:lang w:val="ru-RU"/>
        </w:rPr>
      </w:pPr>
      <w:r>
        <w:rPr>
          <w:lang w:val="ru-RU"/>
        </w:rPr>
        <w:t>Шнур, соединяющий конденсатор датчика с внешним блоком, содержит два проводника, идущих близко друг к другу, что позволяет игнорировать возможные наводки ввиду того, что наведенные помехи будут одинаковы на обоих проводниках, и не повлияют на разность напряжений и токов в них.</w:t>
      </w:r>
    </w:p>
    <w:p>
      <w:pPr>
        <w:pStyle w:val="Normal"/>
        <w:rPr>
          <w:lang w:val="ru-RU"/>
        </w:rPr>
      </w:pPr>
      <w:r>
        <w:rPr>
          <w:lang w:val="ru-RU"/>
        </w:rPr>
        <w:t>Плата внешнего блока имеет малые габаритные размеры и не содержит индуктивных элементов, благодаря чему воздействие возможных помех не внесет ощутимых изменений в работу устройства.</w:t>
      </w:r>
    </w:p>
    <w:p>
      <w:pPr>
        <w:pStyle w:val="12"/>
        <w:rPr/>
      </w:pPr>
      <w:bookmarkStart w:id="65" w:name="_Toc325070546"/>
      <w:bookmarkStart w:id="66" w:name="_Toc323300601"/>
      <w:bookmarkEnd w:id="65"/>
      <w:bookmarkEnd w:id="66"/>
      <w:r>
        <w:rPr/>
        <w:t>4.6 Расчеты</w:t>
      </w:r>
    </w:p>
    <w:p>
      <w:pPr>
        <w:pStyle w:val="Heading3"/>
        <w:rPr/>
      </w:pPr>
      <w:bookmarkStart w:id="67" w:name="_Toc325070547"/>
      <w:bookmarkStart w:id="68" w:name="_Toc323300602"/>
      <w:r>
        <w:rPr/>
        <w:t xml:space="preserve">4.6.1 Расчет </w:t>
      </w:r>
      <w:bookmarkEnd w:id="68"/>
      <w:bookmarkEnd w:id="67"/>
      <w:r>
        <w:rPr/>
        <w:t>ПП</w:t>
      </w:r>
    </w:p>
    <w:p>
      <w:pPr>
        <w:pStyle w:val="22"/>
        <w:rPr/>
      </w:pPr>
      <w:r>
        <w:rPr/>
        <w:t xml:space="preserve">4.6.1.1 </w:t>
      </w:r>
      <w:bookmarkStart w:id="69" w:name="_Toc325070548"/>
      <w:r>
        <w:rPr/>
        <w:t>Расчет печатного монтажа</w:t>
      </w:r>
      <w:bookmarkEnd w:id="69"/>
      <w:r>
        <w:rPr/>
        <w:t xml:space="preserve"> </w:t>
      </w:r>
    </w:p>
    <w:p>
      <w:pPr>
        <w:pStyle w:val="Normal"/>
        <w:rPr/>
      </w:pPr>
      <w:r>
        <w:rPr/>
        <w:t xml:space="preserve">Разрабатываемая плата относится к </w:t>
      </w:r>
      <w:r>
        <w:rPr/>
        <w:t>2</w:t>
      </w:r>
      <w:r>
        <w:rPr/>
        <w:t xml:space="preserve"> классу точности. Это позволяет изготавливать плату устройства на наиболее распространенном оборудовании без затрат на избыточную точность.</w:t>
      </w:r>
    </w:p>
    <w:p>
      <w:pPr>
        <w:pStyle w:val="Normal"/>
        <w:rPr/>
      </w:pPr>
      <w:r>
        <w:rPr/>
        <w:t>Выбранному классу точности при вышеприведенных параметрах платы соответствуют следующие величины:</w:t>
      </w:r>
    </w:p>
    <w:p>
      <w:pPr>
        <w:pStyle w:val="Normal"/>
        <w:rPr/>
      </w:pPr>
      <w:r>
        <w:rPr>
          <w:rFonts w:eastAsia="MS Mincho"/>
          <w:i/>
          <w:iCs/>
          <w:lang w:val="en-US" w:eastAsia="ja-JP"/>
        </w:rPr>
        <w:t>t</w:t>
      </w:r>
      <w:r>
        <w:rPr>
          <w:rFonts w:eastAsia="MS Mincho"/>
          <w:i/>
          <w:iCs/>
          <w:lang w:eastAsia="ja-JP"/>
        </w:rPr>
        <w:t xml:space="preserve"> = 0,25</w:t>
      </w:r>
      <w:r>
        <w:rPr>
          <w:rFonts w:eastAsia="MS Mincho"/>
          <w:lang w:eastAsia="ja-JP"/>
        </w:rPr>
        <w:t xml:space="preserve"> </w:t>
      </w:r>
      <w:r>
        <w:rPr>
          <w:rFonts w:eastAsia="MS Mincho"/>
          <w:i/>
          <w:iCs/>
          <w:lang w:eastAsia="ja-JP"/>
        </w:rPr>
        <w:t>мм</w:t>
      </w:r>
      <w:r>
        <w:rPr>
          <w:rFonts w:eastAsia="MS Mincho"/>
          <w:lang w:eastAsia="ja-JP"/>
        </w:rPr>
        <w:t xml:space="preserve"> — минимальная ширина проводников;</w:t>
      </w:r>
    </w:p>
    <w:p>
      <w:pPr>
        <w:pStyle w:val="Normal"/>
        <w:rPr/>
      </w:pPr>
      <w:r>
        <w:rPr>
          <w:rFonts w:eastAsia="MS Mincho"/>
          <w:i/>
          <w:iCs/>
          <w:lang w:val="en-US" w:eastAsia="ja-JP"/>
        </w:rPr>
        <w:t>S</w:t>
      </w:r>
      <w:r>
        <w:rPr>
          <w:rFonts w:eastAsia="MS Mincho"/>
          <w:i/>
          <w:iCs/>
          <w:lang w:eastAsia="ja-JP"/>
        </w:rPr>
        <w:t xml:space="preserve"> = 0,25 мм</w:t>
      </w:r>
      <w:r>
        <w:rPr>
          <w:rFonts w:eastAsia="MS Mincho"/>
          <w:lang w:eastAsia="ja-JP"/>
        </w:rPr>
        <w:t xml:space="preserve"> — минимальная ширина зазора между проводниками;</w:t>
      </w:r>
    </w:p>
    <w:p>
      <w:pPr>
        <w:pStyle w:val="Normal"/>
        <w:rPr/>
      </w:pPr>
      <w:r>
        <w:rPr>
          <w:rFonts w:eastAsia="MS Mincho"/>
          <w:i/>
          <w:iCs/>
          <w:lang w:val="en-US" w:eastAsia="ja-JP"/>
        </w:rPr>
        <w:t>b</w:t>
      </w:r>
      <w:r>
        <w:rPr>
          <w:rFonts w:eastAsia="MS Mincho"/>
          <w:i/>
          <w:iCs/>
          <w:lang w:eastAsia="ja-JP"/>
        </w:rPr>
        <w:t xml:space="preserve"> = 0,</w:t>
      </w:r>
      <w:r>
        <w:rPr>
          <w:rFonts w:eastAsia="MS Mincho"/>
          <w:i/>
          <w:iCs/>
          <w:lang w:eastAsia="ja-JP"/>
        </w:rPr>
        <w:t>2</w:t>
      </w:r>
      <w:r>
        <w:rPr>
          <w:rFonts w:eastAsia="MS Mincho"/>
          <w:i/>
          <w:iCs/>
          <w:lang w:eastAsia="ja-JP"/>
        </w:rPr>
        <w:t xml:space="preserve"> мм</w:t>
      </w:r>
      <w:r>
        <w:rPr>
          <w:rFonts w:eastAsia="MS Mincho"/>
          <w:lang w:eastAsia="ja-JP"/>
        </w:rPr>
        <w:t xml:space="preserve"> — </w:t>
      </w:r>
      <w:r>
        <w:rPr>
          <w:rFonts w:eastAsia="MS Mincho"/>
          <w:lang w:eastAsia="ja-JP"/>
        </w:rPr>
        <w:t xml:space="preserve">гарантированный </w:t>
      </w:r>
      <w:r>
        <w:rPr>
          <w:rFonts w:eastAsia="MS Mincho"/>
          <w:lang w:eastAsia="ja-JP"/>
        </w:rPr>
        <w:t>поясок;</w:t>
      </w:r>
    </w:p>
    <w:p>
      <w:pPr>
        <w:pStyle w:val="Normal"/>
        <w:rPr/>
      </w:pPr>
      <w:r>
        <w:rPr>
          <w:i/>
        </w:rPr>
        <w:t>Δ</w:t>
      </w:r>
      <w:r>
        <w:rPr>
          <w:i/>
          <w:lang w:val="en-US"/>
        </w:rPr>
        <w:t>t</w:t>
      </w:r>
      <w:r>
        <w:rPr>
          <w:rFonts w:eastAsia="MS Mincho"/>
          <w:i/>
          <w:iCs/>
          <w:lang w:eastAsia="ja-JP"/>
        </w:rPr>
        <w:t xml:space="preserve"> = 0,</w:t>
      </w:r>
      <w:r>
        <w:rPr>
          <w:rFonts w:eastAsia="MS Mincho"/>
          <w:i/>
          <w:iCs/>
          <w:lang w:eastAsia="ja-JP"/>
        </w:rPr>
        <w:t>10</w:t>
      </w:r>
      <w:r>
        <w:rPr>
          <w:rFonts w:eastAsia="MS Mincho"/>
          <w:i/>
          <w:iCs/>
          <w:lang w:eastAsia="ja-JP"/>
        </w:rPr>
        <w:t xml:space="preserve"> мм</w:t>
      </w:r>
      <w:r>
        <w:rPr>
          <w:rFonts w:eastAsia="MS Mincho"/>
          <w:lang w:eastAsia="ja-JP"/>
        </w:rPr>
        <w:t xml:space="preserve"> — </w:t>
      </w:r>
      <w:r>
        <w:rPr>
          <w:rFonts w:eastAsia="MS Mincho"/>
          <w:lang w:eastAsia="ja-JP"/>
        </w:rPr>
        <w:t>д</w:t>
      </w:r>
      <w:r>
        <w:rPr>
          <w:rFonts w:eastAsia="MS Mincho"/>
          <w:lang w:eastAsia="ja-JP"/>
        </w:rPr>
        <w:t>опуск на ширину проводника</w:t>
      </w:r>
      <w:r>
        <w:rPr>
          <w:rFonts w:eastAsia="MS Mincho"/>
          <w:i w:val="false"/>
          <w:iCs w:val="false"/>
          <w:lang w:eastAsia="ja-JP"/>
        </w:rPr>
        <w:t>;</w:t>
      </w:r>
    </w:p>
    <w:p>
      <w:pPr>
        <w:pStyle w:val="Normal"/>
        <w:rPr/>
      </w:pPr>
      <w:r>
        <w:rPr>
          <w:rFonts w:eastAsia="MS Mincho"/>
          <w:i/>
          <w:iCs w:val="false"/>
          <w:lang w:eastAsia="ja-JP"/>
        </w:rPr>
        <w:t>Δ</w:t>
      </w:r>
      <w:r>
        <w:rPr>
          <w:rFonts w:eastAsia="MS Mincho"/>
          <w:i/>
          <w:iCs w:val="false"/>
          <w:lang w:val="en-US" w:eastAsia="ja-JP"/>
        </w:rPr>
        <w:t>d</w:t>
      </w:r>
      <w:r>
        <w:rPr>
          <w:rFonts w:eastAsia="MS Mincho"/>
          <w:i/>
          <w:iCs w:val="false"/>
          <w:vertAlign w:val="subscript"/>
          <w:lang w:val="en-US" w:eastAsia="ja-JP"/>
        </w:rPr>
        <w:t>до 1</w:t>
      </w:r>
      <w:r>
        <w:rPr>
          <w:rFonts w:eastAsia="MS Mincho"/>
          <w:i/>
          <w:iCs/>
          <w:lang w:eastAsia="ja-JP"/>
        </w:rPr>
        <w:t xml:space="preserve"> = 0,</w:t>
      </w:r>
      <w:r>
        <w:rPr>
          <w:rFonts w:eastAsia="MS Mincho"/>
          <w:i/>
          <w:iCs/>
          <w:lang w:eastAsia="ja-JP"/>
        </w:rPr>
        <w:t>10</w:t>
      </w:r>
      <w:r>
        <w:rPr>
          <w:rFonts w:eastAsia="MS Mincho"/>
          <w:i/>
          <w:iCs/>
          <w:lang w:eastAsia="ja-JP"/>
        </w:rPr>
        <w:t xml:space="preserve"> мм</w:t>
      </w:r>
      <w:r>
        <w:rPr>
          <w:rFonts w:eastAsia="MS Mincho"/>
          <w:i w:val="false"/>
          <w:iCs w:val="false"/>
          <w:lang w:eastAsia="ja-JP"/>
        </w:rPr>
        <w:t xml:space="preserve"> — </w:t>
      </w:r>
      <w:r>
        <w:rPr>
          <w:rFonts w:eastAsia="MS Mincho"/>
          <w:i w:val="false"/>
          <w:iCs w:val="false"/>
          <w:lang w:eastAsia="ja-JP"/>
        </w:rPr>
        <w:t>д</w:t>
      </w:r>
      <w:r>
        <w:rPr>
          <w:rFonts w:eastAsia="MS Mincho"/>
          <w:i w:val="false"/>
          <w:iCs w:val="false"/>
          <w:lang w:eastAsia="ja-JP"/>
        </w:rPr>
        <w:t>опуск на диаметр отверстя до 1 мм</w:t>
      </w:r>
      <w:r>
        <w:rPr>
          <w:rFonts w:eastAsia="MS Mincho"/>
          <w:i/>
          <w:iCs/>
          <w:lang w:eastAsia="ja-JP"/>
        </w:rPr>
        <w:t>;</w:t>
      </w:r>
    </w:p>
    <w:p>
      <w:pPr>
        <w:pStyle w:val="Normal"/>
        <w:rPr/>
      </w:pPr>
      <w:r>
        <w:rPr>
          <w:rFonts w:eastAsia="MS Mincho"/>
          <w:i/>
          <w:iCs w:val="false"/>
          <w:lang w:eastAsia="ja-JP"/>
        </w:rPr>
        <w:t>Δ</w:t>
      </w:r>
      <w:r>
        <w:rPr>
          <w:rFonts w:eastAsia="MS Mincho"/>
          <w:i/>
          <w:iCs w:val="false"/>
          <w:lang w:val="en-US" w:eastAsia="ja-JP"/>
        </w:rPr>
        <w:t>d</w:t>
      </w:r>
      <w:r>
        <w:rPr>
          <w:rFonts w:eastAsia="MS Mincho"/>
          <w:i/>
          <w:iCs w:val="false"/>
          <w:vertAlign w:val="subscript"/>
          <w:lang w:val="en-US" w:eastAsia="ja-JP"/>
        </w:rPr>
        <w:t>св.1</w:t>
      </w:r>
      <w:r>
        <w:rPr>
          <w:rFonts w:eastAsia="MS Mincho"/>
          <w:i/>
          <w:iCs/>
          <w:lang w:eastAsia="ja-JP"/>
        </w:rPr>
        <w:t xml:space="preserve"> = 0,1</w:t>
      </w:r>
      <w:r>
        <w:rPr>
          <w:rFonts w:eastAsia="MS Mincho"/>
          <w:i/>
          <w:iCs/>
          <w:lang w:eastAsia="ja-JP"/>
        </w:rPr>
        <w:t>5</w:t>
      </w:r>
      <w:r>
        <w:rPr>
          <w:rFonts w:eastAsia="MS Mincho"/>
          <w:i/>
          <w:iCs/>
          <w:lang w:eastAsia="ja-JP"/>
        </w:rPr>
        <w:t xml:space="preserve"> мм</w:t>
      </w:r>
      <w:r>
        <w:rPr>
          <w:rFonts w:eastAsia="MS Mincho"/>
          <w:i w:val="false"/>
          <w:iCs w:val="false"/>
          <w:lang w:eastAsia="ja-JP"/>
        </w:rPr>
        <w:t xml:space="preserve"> — </w:t>
      </w:r>
      <w:r>
        <w:rPr>
          <w:rFonts w:eastAsia="MS Mincho"/>
          <w:i w:val="false"/>
          <w:iCs w:val="false"/>
          <w:lang w:eastAsia="ja-JP"/>
        </w:rPr>
        <w:t>д</w:t>
      </w:r>
      <w:r>
        <w:rPr>
          <w:rFonts w:eastAsia="MS Mincho"/>
          <w:i w:val="false"/>
          <w:iCs w:val="false"/>
          <w:lang w:eastAsia="ja-JP"/>
        </w:rPr>
        <w:t>опуск на диаметр отверстя свыше 1 мм;</w:t>
      </w:r>
    </w:p>
    <w:p>
      <w:pPr>
        <w:pStyle w:val="Normal"/>
        <w:rPr/>
      </w:pPr>
      <w:r>
        <w:rPr/>
        <w:t>Разрабатываетмая плата — односторонняя и не содержит металлизированных отверстий. Исходя из принятых параметров платы целесообразно назначить химический способ получения проводящего рисунка.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Минимальный диаметр монтажного отверстия определяется из соотношения: </w:t>
      </w:r>
    </w:p>
    <w:p>
      <w:pPr>
        <w:pStyle w:val="MTDisplayEquation1"/>
        <w:rPr/>
      </w:pPr>
      <w:r>
        <w:rPr/>
        <w:tab/>
        <w:t xml:space="preserve">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м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о</m:t>
            </m:r>
            <m:r>
              <w:rPr>
                <w:rFonts w:ascii="Cambria Math" w:hAnsi="Cambria Math"/>
              </w:rPr>
              <m:t xml:space="preserve">.</m:t>
            </m:r>
          </m:sub>
        </m:sSub>
        <m:r>
          <w:rPr>
            <w:rFonts w:ascii="Cambria Math" w:hAnsi="Cambria Math"/>
          </w:rPr>
          <m:t xml:space="preserve">≥</m:t>
        </m:r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в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д</m:t>
            </m:r>
          </m:sub>
        </m:sSub>
      </m:oMath>
      <w:r>
        <w:rPr/>
        <w:tab/>
        <w:t>(4.2)</w:t>
      </w:r>
    </w:p>
    <w:p>
      <w:pPr>
        <w:pStyle w:val="Normal"/>
        <w:rPr/>
      </w:pPr>
      <w:r>
        <w:rPr/>
        <w:t xml:space="preserve">где </w:t>
      </w:r>
      <w:r>
        <w:rPr/>
        <w:object>
          <v:shape id="ole_rId14" style="width:12.75pt;height:18pt" o:ole="">
            <v:imagedata r:id="rId15" o:title=""/>
          </v:shape>
          <o:OLEObject Type="Embed" ProgID="" ShapeID="ole_rId14" DrawAspect="Content" ObjectID="_1803997370" r:id="rId14"/>
        </w:object>
      </w:r>
      <w:r>
        <w:rPr/>
        <w:t xml:space="preserve"> - диаметр вывода ЭРЭ, микросхемы или соединителя,</w:t>
      </w:r>
    </w:p>
    <w:p>
      <w:pPr>
        <w:pStyle w:val="Normal"/>
        <w:rPr/>
      </w:pPr>
      <w:r>
        <w:rPr/>
        <w:object>
          <v:shape id="ole_rId16" style="width:11.25pt;height:12.75pt" o:ole="">
            <v:imagedata r:id="rId17" o:title=""/>
          </v:shape>
          <o:OLEObject Type="Embed" ProgID="" ShapeID="ole_rId16" DrawAspect="Content" ObjectID="_476583872" r:id="rId16"/>
        </w:object>
      </w:r>
      <w:r>
        <w:rPr/>
        <w:t xml:space="preserve"> </w:t>
      </w:r>
      <w:r>
        <w:rPr/>
        <w:t>- зазор между выводом и монтажным отверстием,</w:t>
      </w:r>
    </w:p>
    <w:p>
      <w:pPr>
        <w:pStyle w:val="Normal"/>
        <w:rPr/>
      </w:pPr>
      <w:r>
        <w:rPr/>
        <w:object>
          <v:shape id="ole_rId18" style="width:12.75pt;height:18pt" o:ole="">
            <v:imagedata r:id="rId19" o:title=""/>
          </v:shape>
          <o:OLEObject Type="Embed" ProgID="" ShapeID="ole_rId18" DrawAspect="Content" ObjectID="_546981037" r:id="rId18"/>
        </w:object>
      </w:r>
      <w:r>
        <w:rPr/>
        <w:t xml:space="preserve"> </w:t>
      </w:r>
      <w:r>
        <w:rPr/>
        <w:t>- максимальная погрешность диаметра отверстия.</w:t>
      </w:r>
    </w:p>
    <w:p>
      <w:pPr>
        <w:pStyle w:val="Normal"/>
        <w:rPr/>
      </w:pPr>
      <w:r>
        <w:rPr/>
        <w:t xml:space="preserve">Подставив имеющиеся значения в (4.2), получим </w:t>
      </w:r>
      <w:r>
        <w:rPr/>
        <w:t>минимальные  диаметры монтажных отверстий для каждого значения диаметра вывода, представленные в таблице 4.6.1.</w:t>
      </w:r>
    </w:p>
    <w:p>
      <w:pPr>
        <w:pStyle w:val="Normal"/>
        <w:jc w:val="right"/>
        <w:rPr>
          <w:i w:val="false"/>
          <w:i w:val="false"/>
          <w:iCs w:val="false"/>
        </w:rPr>
      </w:pPr>
      <w:r>
        <w:rPr>
          <w:i w:val="false"/>
          <w:iCs w:val="false"/>
        </w:rPr>
        <w:t>Таблица 4.6.1.</w:t>
      </w:r>
      <w:r>
        <w:rPr>
          <w:i w:val="false"/>
          <w:iCs w:val="false"/>
        </w:rPr>
        <w:t>1.1</w:t>
      </w:r>
      <w:r>
        <w:rPr>
          <w:i w:val="false"/>
          <w:iCs w:val="false"/>
        </w:rPr>
        <w:t xml:space="preserve"> -  Диаметры монтажных отверстий </w:t>
      </w:r>
      <w:r>
        <w:rPr>
          <w:i w:val="false"/>
          <w:iCs w:val="false"/>
        </w:rPr>
        <w:t>под ЭРЭ</w:t>
      </w:r>
    </w:p>
    <w:tbl>
      <w:tblPr>
        <w:tblW w:w="7988" w:type="dxa"/>
        <w:jc w:val="left"/>
        <w:tblInd w:w="142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863"/>
        <w:gridCol w:w="1525"/>
        <w:gridCol w:w="2287"/>
        <w:gridCol w:w="2313"/>
      </w:tblGrid>
      <w:tr>
        <w:trPr/>
        <w:tc>
          <w:tcPr>
            <w:tcW w:w="18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/>
              <w:t xml:space="preserve">ЭРЭ </w:t>
            </w:r>
            <w:r>
              <w:rPr/>
              <w:t>монтирующиеся в отверстия</w:t>
            </w:r>
          </w:p>
        </w:tc>
        <w:tc>
          <w:tcPr>
            <w:tcW w:w="1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/>
              <w:t>Диаметр вывода d</w:t>
            </w:r>
            <w:r>
              <w:rPr>
                <w:vertAlign w:val="subscript"/>
              </w:rPr>
              <w:t>в</w:t>
            </w:r>
            <w:r>
              <w:rPr>
                <w:position w:val="0"/>
                <w:sz w:val="24"/>
                <w:vertAlign w:val="baseline"/>
              </w:rPr>
              <w:t>, мм</w:t>
            </w:r>
          </w:p>
        </w:tc>
        <w:tc>
          <w:tcPr>
            <w:tcW w:w="22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>
                <w:position w:val="0"/>
                <w:sz w:val="24"/>
                <w:vertAlign w:val="baseline"/>
              </w:rPr>
              <w:t>Минимальный диаметр монтажного отверстия d</w:t>
            </w:r>
            <w:r>
              <w:rPr>
                <w:vertAlign w:val="subscript"/>
              </w:rPr>
              <w:t>м.о.мин</w:t>
            </w:r>
            <w:r>
              <w:rPr>
                <w:position w:val="0"/>
                <w:sz w:val="24"/>
                <w:vertAlign w:val="baseline"/>
              </w:rPr>
              <w:t>, мм</w:t>
            </w:r>
          </w:p>
        </w:tc>
        <w:tc>
          <w:tcPr>
            <w:tcW w:w="2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/>
              <w:t>Выбранный диаметр монтажного отверстия d</w:t>
            </w:r>
            <w:r>
              <w:rPr>
                <w:vertAlign w:val="subscript"/>
              </w:rPr>
              <w:t>м.о.</w:t>
            </w:r>
            <w:r>
              <w:rPr>
                <w:position w:val="0"/>
                <w:sz w:val="24"/>
                <w:vertAlign w:val="baseline"/>
              </w:rPr>
              <w:t>, мм</w:t>
            </w:r>
          </w:p>
        </w:tc>
      </w:tr>
      <w:tr>
        <w:trPr/>
        <w:tc>
          <w:tcPr>
            <w:tcW w:w="18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DPY1</w:t>
            </w:r>
          </w:p>
        </w:tc>
        <w:tc>
          <w:tcPr>
            <w:tcW w:w="152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0,6</w:t>
            </w:r>
          </w:p>
        </w:tc>
        <w:tc>
          <w:tcPr>
            <w:tcW w:w="228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0,</w:t>
            </w:r>
            <w:r>
              <w:rPr/>
              <w:t>9</w:t>
            </w:r>
          </w:p>
        </w:tc>
        <w:tc>
          <w:tcPr>
            <w:tcW w:w="23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0,9</w:t>
            </w:r>
          </w:p>
        </w:tc>
      </w:tr>
      <w:tr>
        <w:trPr/>
        <w:tc>
          <w:tcPr>
            <w:tcW w:w="18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X1, X3</w:t>
            </w:r>
          </w:p>
        </w:tc>
        <w:tc>
          <w:tcPr>
            <w:tcW w:w="152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0,8</w:t>
            </w:r>
          </w:p>
        </w:tc>
        <w:tc>
          <w:tcPr>
            <w:tcW w:w="228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1,1</w:t>
            </w:r>
            <w:r>
              <w:rPr/>
              <w:t>5</w:t>
            </w:r>
          </w:p>
        </w:tc>
        <w:tc>
          <w:tcPr>
            <w:tcW w:w="23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</w:t>
            </w:r>
            <w:r>
              <w:rPr/>
              <w:t>2</w:t>
            </w:r>
          </w:p>
        </w:tc>
      </w:tr>
      <w:tr>
        <w:trPr/>
        <w:tc>
          <w:tcPr>
            <w:tcW w:w="186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 xml:space="preserve">X2, </w:t>
            </w:r>
            <w:r>
              <w:rPr/>
              <w:t>S1</w:t>
            </w:r>
          </w:p>
        </w:tc>
        <w:tc>
          <w:tcPr>
            <w:tcW w:w="152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1</w:t>
            </w:r>
          </w:p>
        </w:tc>
        <w:tc>
          <w:tcPr>
            <w:tcW w:w="228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1,3</w:t>
            </w:r>
            <w:r>
              <w:rPr/>
              <w:t>5</w:t>
            </w:r>
          </w:p>
        </w:tc>
        <w:tc>
          <w:tcPr>
            <w:tcW w:w="23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</w:t>
            </w:r>
            <w:r>
              <w:rPr/>
              <w:t>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rPr/>
      </w:pPr>
      <w:r>
        <w:rPr/>
        <w:t>Расчет эффективного диаметра контактной площадки производится по формуле: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1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min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f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d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max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 xml:space="preserve">2</m:t>
                </m:r>
              </m:den>
            </m:f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отв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п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</m:sub>
            </m:sSub>
          </m:e>
        </m:d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св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0,96</m:t>
        </m:r>
      </m:oMath>
      <w:r>
        <w:rPr/>
        <w:t>, где</w:t>
      </w:r>
    </w:p>
    <w:p>
      <w:pPr>
        <w:pStyle w:val="Normal"/>
        <w:jc w:val="left"/>
        <w:rPr/>
      </w:pPr>
      <w:r>
        <w:rPr/>
        <w:t>b</w:t>
      </w:r>
      <w:r>
        <w:rPr>
          <w:vertAlign w:val="subscript"/>
        </w:rPr>
        <w:t>м</w:t>
      </w:r>
      <w:r>
        <w:rPr>
          <w:position w:val="0"/>
          <w:sz w:val="24"/>
          <w:vertAlign w:val="baseline"/>
        </w:rPr>
        <w:t xml:space="preserve"> = 0,2 мм,</w:t>
      </w:r>
    </w:p>
    <w:p>
      <w:pPr>
        <w:pStyle w:val="Normal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св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м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о</m:t>
            </m:r>
            <m:r>
              <w:rPr>
                <w:rFonts w:ascii="Cambria Math" w:hAnsi="Cambria Math"/>
              </w:rPr>
              <m:t xml:space="preserve">.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0.15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1.4</m:t>
        </m:r>
      </m:oMath>
      <w:r>
        <w:rPr/>
        <w:t xml:space="preserve"> </w:t>
      </w:r>
    </w:p>
    <w:p>
      <w:pPr>
        <w:pStyle w:val="Normal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св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d</m:t>
        </m:r>
      </m:oMath>
    </w:p>
    <w:p>
      <w:pPr>
        <w:pStyle w:val="Normal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отв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о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δ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0,13</m:t>
        </m:r>
      </m:oMath>
      <w:r>
        <w:rPr/>
        <w:t xml:space="preserve"> </w:t>
      </w:r>
      <w:r>
        <w:rPr/>
        <w:t xml:space="preserve">- </w:t>
      </w:r>
      <w:r>
        <w:rPr/>
        <w:t>смещение центра монтажного отверстия относительно координатной сетки,</w:t>
      </w:r>
    </w:p>
    <w:p>
      <w:pPr>
        <w:pStyle w:val="Normal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к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п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ш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э</m:t>
            </m:r>
          </m:sub>
        </m:sSub>
        <m:r>
          <w:rPr>
            <w:rFonts w:ascii="Cambria Math" w:hAnsi="Cambria Math"/>
          </w:rPr>
          <m:t xml:space="preserve">+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r>
                  <w:rPr>
                    <w:rFonts w:ascii="Cambria Math" w:hAnsi="Cambria Math"/>
                  </w:rPr>
                  <m:t xml:space="preserve">п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r>
                  <w:rPr>
                    <w:rFonts w:ascii="Cambria Math" w:hAnsi="Cambria Math"/>
                  </w:rPr>
                  <m:t xml:space="preserve">з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0,15</m:t>
        </m:r>
      </m:oMath>
      <w:r>
        <w:rPr/>
        <w:t xml:space="preserve"> </w:t>
      </w:r>
      <w:r>
        <w:rPr/>
        <w:t xml:space="preserve">- </w:t>
      </w:r>
      <w:r>
        <w:rPr/>
        <w:t>смещение центра контактной площадки относительно координатной сетки,</w:t>
      </w:r>
    </w:p>
    <w:p>
      <w:pPr>
        <w:pStyle w:val="Normal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min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1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min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5</m:t>
        </m:r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ф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min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0,05</m:t>
        </m:r>
      </m:oMath>
    </w:p>
    <w:p>
      <w:pPr>
        <w:pStyle w:val="Normal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min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ΔЭ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ΔD</m:t>
            </m:r>
          </m:e>
          <m:sub>
            <m:r>
              <w:rPr>
                <w:rFonts w:ascii="Cambria Math" w:hAnsi="Cambria Math"/>
              </w:rPr>
              <m:t xml:space="preserve">ш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min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0,09</m:t>
        </m:r>
      </m:oMath>
    </w:p>
    <w:p>
      <w:pPr>
        <w:pStyle w:val="Normal"/>
        <w:jc w:val="right"/>
        <w:rPr>
          <w:i w:val="false"/>
          <w:i w:val="false"/>
          <w:iCs w:val="false"/>
        </w:rPr>
      </w:pPr>
      <w:r>
        <w:rPr>
          <w:i w:val="false"/>
          <w:iCs w:val="false"/>
        </w:rPr>
        <w:t>Таблица 4.6.</w:t>
      </w:r>
      <w:r>
        <w:rPr>
          <w:i w:val="false"/>
          <w:iCs w:val="false"/>
        </w:rPr>
        <w:t>1.1.2</w:t>
      </w:r>
      <w:r>
        <w:rPr>
          <w:i w:val="false"/>
          <w:iCs w:val="false"/>
        </w:rPr>
        <w:t xml:space="preserve"> -  Диаметры </w:t>
      </w:r>
      <w:r>
        <w:rPr>
          <w:i w:val="false"/>
          <w:iCs w:val="false"/>
        </w:rPr>
        <w:t>контактных площадок под ЭРЭ</w:t>
      </w:r>
    </w:p>
    <w:tbl>
      <w:tblPr>
        <w:tblW w:w="8781" w:type="dxa"/>
        <w:jc w:val="left"/>
        <w:tblInd w:w="119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675"/>
        <w:gridCol w:w="1188"/>
        <w:gridCol w:w="1868"/>
        <w:gridCol w:w="2178"/>
        <w:gridCol w:w="1872"/>
      </w:tblGrid>
      <w:tr>
        <w:trPr/>
        <w:tc>
          <w:tcPr>
            <w:tcW w:w="1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/>
              <w:t xml:space="preserve">ЭРЭ </w:t>
            </w:r>
            <w:r>
              <w:rPr/>
              <w:t>монтирующиеся в отверстия</w:t>
            </w:r>
          </w:p>
        </w:tc>
        <w:tc>
          <w:tcPr>
            <w:tcW w:w="11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/>
              <w:t xml:space="preserve">Диаметр </w:t>
            </w:r>
            <w:r>
              <w:rPr/>
              <w:t>отверстия</w:t>
            </w:r>
            <w:r>
              <w:rPr/>
              <w:t xml:space="preserve"> </w:t>
            </w:r>
          </w:p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>
                <w:position w:val="0"/>
                <w:sz w:val="24"/>
                <w:vertAlign w:val="baseline"/>
              </w:rPr>
              <w:t>d</w:t>
            </w:r>
            <w:r>
              <w:rPr>
                <w:vertAlign w:val="subscript"/>
              </w:rPr>
              <w:t>м.о.</w:t>
            </w:r>
            <w:r>
              <w:rPr>
                <w:position w:val="0"/>
                <w:sz w:val="24"/>
                <w:vertAlign w:val="baseline"/>
              </w:rPr>
              <w:t>, мм</w:t>
            </w: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>
                <w:position w:val="0"/>
                <w:sz w:val="24"/>
                <w:vertAlign w:val="baseline"/>
              </w:rPr>
              <w:t xml:space="preserve">Минимальный диаметр </w:t>
            </w:r>
            <w:r>
              <w:rPr>
                <w:position w:val="0"/>
                <w:sz w:val="24"/>
                <w:vertAlign w:val="baseline"/>
              </w:rPr>
              <w:t>КП</w:t>
            </w:r>
          </w:p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>
                <w:position w:val="0"/>
                <w:sz w:val="24"/>
                <w:vertAlign w:val="baseline"/>
              </w:rPr>
              <w:t>D</w:t>
            </w:r>
            <w:r>
              <w:rPr>
                <w:vertAlign w:val="subscript"/>
              </w:rPr>
              <w:t>min</w:t>
            </w:r>
            <w:r>
              <w:rPr>
                <w:position w:val="0"/>
                <w:sz w:val="24"/>
                <w:vertAlign w:val="baseline"/>
              </w:rPr>
              <w:t>, мм</w:t>
            </w:r>
          </w:p>
        </w:tc>
        <w:tc>
          <w:tcPr>
            <w:tcW w:w="2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>
                <w:position w:val="0"/>
                <w:sz w:val="24"/>
                <w:vertAlign w:val="baseline"/>
              </w:rPr>
              <w:t>Максимальный</w:t>
            </w:r>
            <w:r>
              <w:rPr>
                <w:position w:val="0"/>
                <w:sz w:val="24"/>
                <w:vertAlign w:val="baseline"/>
              </w:rPr>
              <w:t xml:space="preserve"> диаметр </w:t>
            </w:r>
            <w:r>
              <w:rPr>
                <w:position w:val="0"/>
                <w:sz w:val="24"/>
                <w:vertAlign w:val="baseline"/>
              </w:rPr>
              <w:t>КП</w:t>
            </w:r>
          </w:p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>
                <w:position w:val="0"/>
                <w:sz w:val="24"/>
                <w:vertAlign w:val="baseline"/>
              </w:rPr>
              <w:t>D</w:t>
            </w:r>
            <w:r>
              <w:rPr>
                <w:vertAlign w:val="subscript"/>
              </w:rPr>
              <w:t>max</w:t>
            </w:r>
            <w:r>
              <w:rPr>
                <w:position w:val="0"/>
                <w:sz w:val="24"/>
                <w:vertAlign w:val="baseline"/>
              </w:rPr>
              <w:t>, мм</w:t>
            </w:r>
          </w:p>
        </w:tc>
        <w:tc>
          <w:tcPr>
            <w:tcW w:w="1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/>
              <w:t>Д</w:t>
            </w:r>
            <w:r>
              <w:rPr/>
              <w:t xml:space="preserve">иаметр </w:t>
            </w:r>
            <w:r>
              <w:rPr/>
              <w:t>КП фотошаблона</w:t>
            </w:r>
            <w:r>
              <w:rPr/>
              <w:t xml:space="preserve"> </w:t>
            </w:r>
          </w:p>
          <w:p>
            <w:pPr>
              <w:pStyle w:val="TableContents"/>
              <w:widowControl/>
              <w:bidi w:val="0"/>
              <w:spacing w:lineRule="auto" w:line="240"/>
              <w:ind w:left="0" w:right="0" w:hanging="0"/>
              <w:jc w:val="center"/>
              <w:rPr/>
            </w:pPr>
            <w:r>
              <w:rPr/>
              <w:t>D</w:t>
            </w:r>
            <w:r>
              <w:rPr>
                <w:b w:val="false"/>
                <w:bCs w:val="false"/>
                <w:vertAlign w:val="subscript"/>
              </w:rPr>
              <w:t>ш</w:t>
            </w:r>
            <w:r>
              <w:rPr>
                <w:position w:val="0"/>
                <w:sz w:val="24"/>
                <w:vertAlign w:val="baseline"/>
              </w:rPr>
              <w:t>, мм</w:t>
            </w:r>
          </w:p>
        </w:tc>
      </w:tr>
      <w:tr>
        <w:trPr/>
        <w:tc>
          <w:tcPr>
            <w:tcW w:w="167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DPY1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0,</w:t>
            </w:r>
            <w:r>
              <w:rPr/>
              <w:t>9</w:t>
            </w:r>
          </w:p>
        </w:tc>
        <w:tc>
          <w:tcPr>
            <w:tcW w:w="18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1,1</w:t>
            </w:r>
          </w:p>
        </w:tc>
        <w:tc>
          <w:tcPr>
            <w:tcW w:w="217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1,19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1,15</w:t>
            </w:r>
          </w:p>
        </w:tc>
      </w:tr>
      <w:tr>
        <w:trPr/>
        <w:tc>
          <w:tcPr>
            <w:tcW w:w="167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X1, X3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1,2</w:t>
            </w:r>
          </w:p>
        </w:tc>
        <w:tc>
          <w:tcPr>
            <w:tcW w:w="18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</w:t>
            </w:r>
            <w:r>
              <w:rPr/>
              <w:t>45</w:t>
            </w:r>
          </w:p>
        </w:tc>
        <w:tc>
          <w:tcPr>
            <w:tcW w:w="217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</w:t>
            </w:r>
            <w:r>
              <w:rPr/>
              <w:t>54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</w:t>
            </w:r>
            <w:r>
              <w:rPr/>
              <w:t>50</w:t>
            </w:r>
          </w:p>
        </w:tc>
      </w:tr>
      <w:tr>
        <w:trPr/>
        <w:tc>
          <w:tcPr>
            <w:tcW w:w="167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 xml:space="preserve">X2, </w:t>
            </w:r>
            <w:r>
              <w:rPr/>
              <w:t>S1</w:t>
            </w:r>
          </w:p>
        </w:tc>
        <w:tc>
          <w:tcPr>
            <w:tcW w:w="118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both"/>
              <w:rPr/>
            </w:pPr>
            <w:r>
              <w:rPr/>
              <w:t>1,</w:t>
            </w:r>
            <w:r>
              <w:rPr/>
              <w:t>4</w:t>
            </w:r>
          </w:p>
        </w:tc>
        <w:tc>
          <w:tcPr>
            <w:tcW w:w="186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</w:t>
            </w:r>
            <w:r>
              <w:rPr/>
              <w:t>65</w:t>
            </w:r>
          </w:p>
        </w:tc>
        <w:tc>
          <w:tcPr>
            <w:tcW w:w="217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</w:t>
            </w:r>
            <w:r>
              <w:rPr/>
              <w:t>74</w:t>
            </w:r>
          </w:p>
        </w:tc>
        <w:tc>
          <w:tcPr>
            <w:tcW w:w="1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bidi w:val="0"/>
              <w:spacing w:lineRule="auto" w:line="360"/>
              <w:ind w:left="0" w:right="0" w:hanging="0"/>
              <w:jc w:val="left"/>
              <w:rPr/>
            </w:pPr>
            <w:r>
              <w:rPr/>
              <w:t>1,</w:t>
            </w:r>
            <w:r>
              <w:rPr/>
              <w:t>70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min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min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1.5</m:t>
        </m:r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пм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0,25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1,5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0,035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0,3</m:t>
        </m:r>
      </m:oMath>
    </w:p>
    <w:p>
      <w:pPr>
        <w:pStyle w:val="Normal"/>
        <w:jc w:val="left"/>
        <w:rPr/>
      </w:pPr>
      <w:r>
        <w:rPr/>
        <w:t xml:space="preserve">При t = 0,5: </w:t>
      </w:r>
    </w:p>
    <w:p>
      <w:pPr>
        <w:pStyle w:val="Normal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ΔЭ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Δt</m:t>
            </m:r>
          </m:e>
          <m:sub>
            <m:r>
              <w:rPr>
                <w:rFonts w:ascii="Cambria Math" w:hAnsi="Cambria Math"/>
              </w:rPr>
              <m:t xml:space="preserve">ш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0,6</m:t>
        </m:r>
      </m:oMath>
    </w:p>
    <w:p>
      <w:pPr>
        <w:pStyle w:val="Normal"/>
        <w:rPr/>
      </w:pPr>
      <w:r>
        <w:rPr/>
        <w:t>Ширина проводника t=0,5 мм подходит под ограничения ТЗ.</w:t>
      </w:r>
    </w:p>
    <w:p>
      <w:pPr>
        <w:pStyle w:val="Normal"/>
        <w:rPr/>
      </w:pPr>
      <w:r>
        <w:rPr/>
        <w:t xml:space="preserve">Минимальное расстояние которое может быть получено между проводником и монтажным отверстием с контактной площадкой и между двумя проводниками возьмем равным рассчитанной ширине проводника: 0,4 мм. </w:t>
      </w:r>
      <w:r>
        <w:rPr/>
        <w:t>Разработанная плата не содержит узких мест с расстоянием между элементами проводящего рисунка между собой и краями платы меньше 0,5 мм, что подходит под выбранный класс точности и метод изготовления.</w:t>
      </w:r>
    </w:p>
    <w:p>
      <w:pPr>
        <w:pStyle w:val="22"/>
        <w:rPr/>
      </w:pPr>
      <w:bookmarkStart w:id="70" w:name="_Toc325070549"/>
      <w:bookmarkEnd w:id="70"/>
      <w:r>
        <w:rPr/>
        <w:t>4.6.1.2 Расчет по постоянному току</w:t>
      </w:r>
    </w:p>
    <w:p>
      <w:pPr>
        <w:pStyle w:val="Normal"/>
        <w:rPr/>
      </w:pPr>
      <w:r>
        <w:rPr/>
        <w:t>П</w:t>
      </w:r>
      <w:r>
        <w:rPr/>
        <w:t>адени</w:t>
      </w:r>
      <w:r>
        <w:rPr/>
        <w:t>е</w:t>
      </w:r>
      <w:r>
        <w:rPr/>
        <w:t xml:space="preserve"> напряжения на проводнике:</w:t>
      </w:r>
    </w:p>
    <w:p>
      <w:pPr>
        <w:pStyle w:val="MTDisplayEquation1"/>
        <w:rPr/>
      </w:pPr>
      <w:r>
        <w:rPr/>
        <w:tab/>
      </w:r>
      <w:r>
        <w:rPr/>
        <w:object>
          <v:shape id="ole_rId20" style="width:60pt;height:35.25pt" o:ole="">
            <v:imagedata r:id="rId21" o:title=""/>
          </v:shape>
          <o:OLEObject Type="Embed" ProgID="" ShapeID="ole_rId20" DrawAspect="Content" ObjectID="_641176418" r:id="rId20"/>
        </w:object>
      </w:r>
      <w:r>
        <w:rPr/>
        <w:tab/>
        <w:t>(4.5)</w:t>
      </w:r>
    </w:p>
    <w:p>
      <w:pPr>
        <w:pStyle w:val="Normal"/>
        <w:rPr/>
      </w:pPr>
      <w:r>
        <w:rPr/>
        <w:t xml:space="preserve">где ρ - удельное сопротивление проводника,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0,017</m:t>
        </m:r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Ом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мм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м</m:t>
            </m:r>
          </m:den>
        </m:f>
      </m:oMath>
    </w:p>
    <w:p>
      <w:pPr>
        <w:pStyle w:val="Normal"/>
        <w:rPr/>
      </w:pPr>
      <w:r>
        <w:rPr>
          <w:i/>
          <w:iCs/>
        </w:rPr>
        <w:t>h</w:t>
      </w:r>
      <w:r>
        <w:rPr>
          <w:i/>
          <w:iCs/>
          <w:vertAlign w:val="subscript"/>
        </w:rPr>
        <w:t>ф</w:t>
      </w:r>
      <w:r>
        <w:rPr>
          <w:b w:val="false"/>
          <w:bCs w:val="false"/>
          <w:i/>
          <w:position w:val="0"/>
          <w:sz w:val="24"/>
          <w:vertAlign w:val="baseline"/>
        </w:rPr>
        <w:t xml:space="preserve"> </w:t>
      </w:r>
      <w:r>
        <w:rPr>
          <w:i/>
          <w:position w:val="0"/>
          <w:sz w:val="24"/>
          <w:vertAlign w:val="baseline"/>
        </w:rPr>
        <w:t>-</w:t>
      </w:r>
      <w:r>
        <w:rPr/>
        <w:t xml:space="preserve"> толщина фольги, мм</w:t>
      </w:r>
    </w:p>
    <w:p>
      <w:pPr>
        <w:pStyle w:val="Normal"/>
        <w:rPr/>
      </w:pPr>
      <w:r>
        <w:rPr>
          <w:b w:val="false"/>
          <w:bCs w:val="false"/>
          <w:i/>
          <w:iCs/>
          <w:position w:val="0"/>
          <w:sz w:val="24"/>
          <w:vertAlign w:val="baseline"/>
        </w:rPr>
        <w:t xml:space="preserve">bпр - </w:t>
      </w:r>
      <w:r>
        <w:rPr>
          <w:position w:val="0"/>
          <w:sz w:val="24"/>
          <w:vertAlign w:val="baseline"/>
        </w:rPr>
        <w:t>ширина</w:t>
      </w:r>
      <w:r>
        <w:rPr/>
        <w:t xml:space="preserve"> проводника, мм</w:t>
      </w:r>
    </w:p>
    <w:p>
      <w:pPr>
        <w:pStyle w:val="Normal"/>
        <w:rPr/>
      </w:pPr>
      <w:r>
        <w:rPr>
          <w:i/>
        </w:rPr>
        <w:t>l-</w:t>
      </w:r>
      <w:r>
        <w:rPr/>
        <w:t xml:space="preserve"> длина проводника, м</w:t>
      </w:r>
    </w:p>
    <w:p>
      <w:pPr>
        <w:pStyle w:val="Normal"/>
        <w:rPr/>
      </w:pPr>
      <w:r>
        <w:rPr>
          <w:i/>
          <w:iCs/>
        </w:rPr>
        <w:t>I</w:t>
      </w:r>
      <w:r>
        <w:rPr/>
        <w:t xml:space="preserve"> – ток, А</w:t>
      </w:r>
    </w:p>
    <w:p>
      <w:pPr>
        <w:pStyle w:val="MTDisplayEquation1"/>
        <w:widowControl/>
        <w:tabs>
          <w:tab w:val="center" w:pos="4840" w:leader="none"/>
          <w:tab w:val="right" w:pos="9680" w:leader="none"/>
        </w:tabs>
        <w:bidi w:val="0"/>
        <w:spacing w:lineRule="auto" w:line="360"/>
        <w:ind w:left="0" w:right="0" w:firstLine="720"/>
        <w:jc w:val="both"/>
        <w:rPr/>
      </w:pPr>
      <w:r>
        <w:rPr/>
        <w:t xml:space="preserve">Наибольшее падение напряжения во всей схеме имеет место на проводниках питания контроллера MCU1, поскольку эти проводники — самые длинные на всей плате, и через них течет самый большой ток (один и тот же). Максимально возможное падение напряжния на проводнике положительного полюса питания: </w:t>
      </w:r>
    </w:p>
    <w:p>
      <w:pPr>
        <w:pStyle w:val="MTDisplayEquation1"/>
        <w:widowControl/>
        <w:tabs>
          <w:tab w:val="center" w:pos="4840" w:leader="none"/>
          <w:tab w:val="right" w:pos="9680" w:leader="none"/>
        </w:tabs>
        <w:bidi w:val="0"/>
        <w:spacing w:lineRule="auto" w:line="360"/>
        <w:ind w:left="0" w:right="0" w:firstLine="720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U</m:t>
            </m:r>
          </m:e>
          <m:sub>
            <m:r>
              <w:rPr>
                <w:rFonts w:ascii="Cambria Math" w:hAnsi="Cambria Math"/>
              </w:rPr>
              <m:t xml:space="preserve">п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0,03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0,017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0,006</m:t>
            </m:r>
          </m:num>
          <m:den>
            <m:r>
              <w:rPr>
                <w:rFonts w:ascii="Cambria Math" w:hAnsi="Cambria Math"/>
              </w:rPr>
              <m:t xml:space="preserve">0,035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0,5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0,00017</m:t>
        </m:r>
        <m:r>
          <w:rPr>
            <w:rFonts w:ascii="Cambria Math" w:hAnsi="Cambria Math"/>
          </w:rPr>
          <m:t xml:space="preserve">B</m:t>
        </m:r>
      </m:oMath>
    </w:p>
    <w:p>
      <w:pPr>
        <w:pStyle w:val="MTDisplayEquation1"/>
        <w:widowControl/>
        <w:tabs>
          <w:tab w:val="center" w:pos="4840" w:leader="none"/>
          <w:tab w:val="right" w:pos="9680" w:leader="none"/>
        </w:tabs>
        <w:bidi w:val="0"/>
        <w:spacing w:lineRule="auto" w:line="360"/>
        <w:ind w:left="0" w:right="0" w:firstLine="720"/>
        <w:jc w:val="both"/>
        <w:rPr/>
      </w:pPr>
      <w:r>
        <w:rPr/>
        <w:t xml:space="preserve">Максимально возможное падение напряжния на проводнике отрицательного полюса питания: </w:t>
      </w:r>
    </w:p>
    <w:p>
      <w:pPr>
        <w:pStyle w:val="MTDisplayEquation1"/>
        <w:widowControl/>
        <w:tabs>
          <w:tab w:val="center" w:pos="4840" w:leader="none"/>
          <w:tab w:val="right" w:pos="9680" w:leader="none"/>
        </w:tabs>
        <w:bidi w:val="0"/>
        <w:spacing w:lineRule="auto" w:line="360"/>
        <w:ind w:left="0" w:right="0" w:firstLine="720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U</m:t>
            </m:r>
          </m:e>
          <m:sub>
            <m:r>
              <w:rPr>
                <w:rFonts w:ascii="Cambria Math" w:hAnsi="Cambria Math"/>
              </w:rPr>
              <m:t xml:space="preserve">п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0,03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0,017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0,005</m:t>
            </m:r>
          </m:num>
          <m:den>
            <m:r>
              <w:rPr>
                <w:rFonts w:ascii="Cambria Math" w:hAnsi="Cambria Math"/>
              </w:rPr>
              <m:t xml:space="preserve">0,035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0,5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0,00015</m:t>
        </m:r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rPr/>
      </w:pPr>
      <w:r>
        <w:rPr/>
        <w:t>Учитывая то, что все остальные проводники короче двух расчитанных, и проводят меньший ток, иожно заключить, что падение напряжения на проводниках рисунка печатной платы пренебрежимо мало, и ширина проводников, а также толщина медной фольги выбраны правильно.</w:t>
      </w:r>
    </w:p>
    <w:p>
      <w:pPr>
        <w:pStyle w:val="Normal"/>
        <w:rPr/>
      </w:pPr>
      <w:r>
        <w:rPr/>
      </w:r>
    </w:p>
    <w:p>
      <w:pPr>
        <w:pStyle w:val="22"/>
        <w:rPr/>
      </w:pPr>
      <w:bookmarkStart w:id="71" w:name="_Toc325070550"/>
      <w:bookmarkEnd w:id="71"/>
      <w:r>
        <w:rPr/>
        <w:t>4.6.1.3 Печатная плата</w:t>
      </w:r>
    </w:p>
    <w:p>
      <w:pPr>
        <w:pStyle w:val="Normal"/>
        <w:rPr/>
      </w:pPr>
      <w:r>
        <w:rPr/>
        <w:t>Проводящий рисунок разведенной печатной платы представлен на рисунке 4.6.1.3.1. Разводка соответствует принятым и расчитанным выше параметрам.</w:t>
      </w:r>
    </w:p>
    <w:p>
      <w:pPr>
        <w:pStyle w:val="Normal"/>
        <w:spacing w:lineRule="auto" w:line="24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51200" cy="2899410"/>
            <wp:effectExtent l="0" t="0" r="0" b="0"/>
            <wp:wrapTopAndBottom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2"/>
        </w:rPr>
        <w:t>Рис</w:t>
      </w:r>
      <w:r>
        <w:rPr>
          <w:sz w:val="22"/>
        </w:rPr>
        <w:t>унок</w:t>
      </w:r>
      <w:r>
        <w:rPr>
          <w:sz w:val="22"/>
        </w:rPr>
        <w:t xml:space="preserve"> 4.6.1.3.1 — Разведенная ПП устройства</w:t>
      </w:r>
    </w:p>
    <w:p>
      <w:pPr>
        <w:pStyle w:val="Normal"/>
        <w:spacing w:lineRule="auto" w:line="240"/>
        <w:ind w:left="0" w:right="0" w:hanging="0"/>
        <w:jc w:val="center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22"/>
        <w:numPr>
          <w:ilvl w:val="3"/>
          <w:numId w:val="12"/>
        </w:numPr>
        <w:rPr/>
      </w:pPr>
      <w:bookmarkStart w:id="72" w:name="_Toc325070551"/>
      <w:bookmarkEnd w:id="72"/>
      <w:r>
        <w:rPr/>
        <w:t>Сборочный чертеж электронной ячейки</w:t>
      </w:r>
    </w:p>
    <w:p>
      <w:pPr>
        <w:pStyle w:val="Normal"/>
        <w:widowControl/>
        <w:bidi w:val="0"/>
        <w:spacing w:lineRule="auto" w:line="360"/>
        <w:ind w:left="0" w:right="0" w:firstLine="720"/>
        <w:jc w:val="both"/>
        <w:rPr/>
      </w:pPr>
      <w:r>
        <w:rPr/>
        <w:t>Принятые параметры печатной платы и представленная выше разводка ПП позволяют составить сборочный чертеж ПП, представленный на рисунке 4.6.1.4.1.</w:t>
      </w:r>
    </w:p>
    <w:p>
      <w:pPr>
        <w:pStyle w:val="Normal"/>
        <w:rPr/>
      </w:pPr>
      <w:r>
        <w:rPr/>
        <w:drawing>
          <wp:inline distT="0" distB="0" distL="0" distR="0">
            <wp:extent cx="6060440" cy="3790950"/>
            <wp:effectExtent l="0" t="0" r="0" b="0"/>
            <wp:docPr id="12" name="Рисунок 2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7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0" w:right="0" w:hanging="0"/>
        <w:jc w:val="center"/>
        <w:rPr>
          <w:sz w:val="22"/>
        </w:rPr>
      </w:pPr>
      <w:r>
        <w:rPr>
          <w:sz w:val="22"/>
        </w:rPr>
        <w:t>Рисунок 4.6.1.4.1. Электронная ячейка в сборе (вид сверху)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/>
      </w:pPr>
      <w:r>
        <w:rPr/>
        <w:drawing>
          <wp:inline distT="0" distB="0" distL="0" distR="0">
            <wp:extent cx="6010275" cy="3194685"/>
            <wp:effectExtent l="0" t="0" r="0" b="0"/>
            <wp:docPr id="13" name="Рисунок 2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7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0" w:right="0" w:hanging="0"/>
        <w:jc w:val="center"/>
        <w:rPr>
          <w:sz w:val="22"/>
        </w:rPr>
      </w:pPr>
      <w:r>
        <w:rPr>
          <w:sz w:val="22"/>
        </w:rPr>
        <w:t>Рисунок 4.6.1.4.2. Электронная ячейка в сборе (вид снизу)</w:t>
      </w:r>
    </w:p>
    <w:p>
      <w:pPr>
        <w:pStyle w:val="Heading3"/>
        <w:rPr/>
      </w:pPr>
      <w:bookmarkStart w:id="73" w:name="_Toc325070552"/>
      <w:bookmarkEnd w:id="73"/>
      <w:r>
        <w:rPr/>
        <w:t>4.6.2 Предварительный расчет надежности электронного узла</w:t>
      </w:r>
    </w:p>
    <w:p>
      <w:pPr>
        <w:pStyle w:val="Normal"/>
        <w:rPr/>
      </w:pPr>
      <w:r>
        <w:rPr/>
        <w:t xml:space="preserve">По </w:t>
      </w:r>
      <w:r>
        <w:rPr/>
        <w:t>техническ</w:t>
      </w:r>
      <w:r>
        <w:rPr/>
        <w:t>ому</w:t>
      </w:r>
      <w:r>
        <w:rPr/>
        <w:t xml:space="preserve"> задани</w:t>
      </w:r>
      <w:r>
        <w:rPr/>
        <w:t>ю</w:t>
      </w:r>
      <w:r>
        <w:rPr/>
        <w:t xml:space="preserve"> вероятность безотказной работы  в течение 1000 ч должна быть не менее 0,95 в соответствии с </w:t>
      </w:r>
      <w:r>
        <w:rPr/>
        <w:t>ГОСТ 27.002-89</w:t>
      </w:r>
      <w:r>
        <w:rPr/>
        <w:t>.</w:t>
      </w:r>
    </w:p>
    <w:p>
      <w:pPr>
        <w:pStyle w:val="Normal"/>
        <w:rPr/>
      </w:pPr>
      <w:r>
        <w:rPr/>
        <w:t xml:space="preserve">Рассматриваемое устройство содержит большое число неремонтируемых компонентов интенсивность отказов которых является постоянной во времени величиной, поэтому в данном случае имеет место экспоненциальное распределение отказов ЭА. </w:t>
      </w:r>
    </w:p>
    <w:p>
      <w:pPr>
        <w:pStyle w:val="Normal"/>
        <w:rPr/>
      </w:pPr>
      <w:r>
        <w:rPr/>
        <w:t>Вероятность безотказной работы при этом распределении выглядит следующим образом:</w:t>
      </w:r>
    </w:p>
    <w:p>
      <w:pPr>
        <w:pStyle w:val="Normal"/>
        <w:rPr/>
      </w:pPr>
      <w:r>
        <w:rPr>
          <w:lang w:val="en-US"/>
        </w:rPr>
        <w:t>P</w:t>
      </w:r>
      <w:r>
        <w:rPr/>
        <w:t>(</w:t>
      </w:r>
      <w:r>
        <w:rPr>
          <w:lang w:val="en-US"/>
        </w:rPr>
        <w:t>t</w:t>
      </w:r>
      <w:r>
        <w:rPr/>
        <w:t xml:space="preserve">) = </w:t>
      </w:r>
      <w:r>
        <w:rPr>
          <w:lang w:val="en-US"/>
        </w:rPr>
        <w:t>exp</w:t>
      </w:r>
      <w:r>
        <w:rPr/>
        <w:t>(-Λ</w:t>
      </w:r>
      <w:r>
        <w:rPr>
          <w:lang w:val="en-US"/>
        </w:rPr>
        <w:t>t</w:t>
      </w:r>
      <w:r>
        <w:rPr/>
        <w:t>),</w:t>
      </w:r>
    </w:p>
    <w:p>
      <w:pPr>
        <w:pStyle w:val="Normal"/>
        <w:rPr/>
      </w:pPr>
      <w:r>
        <w:rPr/>
        <w:t>где Λ = ∑Λ</w:t>
      </w:r>
      <w:r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 xml:space="preserve"> </w:t>
      </w:r>
      <w:r>
        <w:rPr/>
        <w:t>– суммарная интенсивность отказов всех модулей системы.</w:t>
      </w:r>
    </w:p>
    <w:p>
      <w:pPr>
        <w:pStyle w:val="Normal"/>
        <w:rPr/>
      </w:pPr>
      <w:r>
        <w:rPr/>
        <w:t>В табл. 3.6.1 приведены имеющиеся в устройстве компоненты и их интенсивности отказов.</w:t>
      </w:r>
    </w:p>
    <w:p>
      <w:pPr>
        <w:pStyle w:val="Normal"/>
        <w:jc w:val="right"/>
        <w:rPr/>
      </w:pPr>
      <w:r>
        <w:rPr/>
        <w:t>Таблица 4.6.2.1 Интенсивности отказов компонентов</w:t>
      </w:r>
    </w:p>
    <w:tbl>
      <w:tblPr>
        <w:tblW w:w="9344" w:type="dxa"/>
        <w:jc w:val="left"/>
        <w:tblInd w:w="68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2"/>
        <w:gridCol w:w="3334"/>
        <w:gridCol w:w="1798"/>
      </w:tblGrid>
      <w:tr>
        <w:trPr>
          <w:trHeight w:val="579" w:hRule="atLeast"/>
        </w:trPr>
        <w:tc>
          <w:tcPr>
            <w:tcW w:w="42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D8D8D8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Компоненты и ЭРЭ</w:t>
            </w:r>
          </w:p>
        </w:tc>
        <w:tc>
          <w:tcPr>
            <w:tcW w:w="33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D8D8D8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/>
            </w:pPr>
            <w:r>
              <w:rPr>
                <w:b/>
                <w:sz w:val="20"/>
                <w:szCs w:val="20"/>
              </w:rPr>
              <w:t>Интенсивность отказов, λ·</w:t>
            </w:r>
            <w:r>
              <w:rPr>
                <w:b/>
                <w:sz w:val="20"/>
                <w:szCs w:val="20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α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Л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ε</m:t>
              </m:r>
              <m:r>
                <w:rPr>
                  <w:rFonts w:ascii="Cambria Math" w:hAnsi="Cambria Math"/>
                </w:rPr>
                <m:t xml:space="preserve">⋅</m:t>
              </m:r>
              <m:r>
                <w:rPr>
                  <w:rFonts w:ascii="Cambria Math" w:hAnsi="Cambria Math"/>
                </w:rPr>
                <m:t xml:space="preserve">5,67</m:t>
              </m:r>
              <m:f>
                <m:num>
                  <m:d>
                    <m:dPr>
                      <m:begChr m:val="["/>
                      <m:endChr m:val="]"/>
                    </m:dPr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f>
                                <m:num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+</m:t>
                                  </m:r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Δt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+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273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100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p>
                        <m:e>
                          <m:d>
                            <m:dPr>
                              <m:begChr m:val="("/>
                              <m:endChr m:val=")"/>
                            </m:dPr>
                            <m:e>
                              <m:f>
                                <m:num>
                                  <m:sSub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+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273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100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4</m:t>
                          </m:r>
                        </m:sup>
                      </m:sSup>
                    </m:e>
                  </m:d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Δt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0,243</m:t>
              </m:r>
              <m:d>
                <m:dPr>
                  <m:begChr m:val="["/>
                  <m:endChr m:val="]"/>
                </m:dPr>
                <m:e>
                  <m:sSup>
                    <m:e>
                      <m:d>
                        <m:dPr>
                          <m:begChr m:val="("/>
                          <m:endChr m:val=")"/>
                        </m:dPr>
                        <m:e>
                          <m:f>
                            <m:num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277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 xml:space="preserve">100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sSup>
                    <m:e>
                      <m:d>
                        <m:dPr>
                          <m:begChr m:val="("/>
                          <m:endChr m:val=")"/>
                        </m:dPr>
                        <m:e>
                          <m:f>
                            <m:num>
                              <m:sSub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273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 xml:space="preserve">100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</m:sup>
                  </m:sSup>
                </m:e>
              </m:d>
            </m:oMath>
            <w:r>
              <w:rPr>
                <w:b/>
                <w:sz w:val="20"/>
                <w:szCs w:val="20"/>
              </w:rPr>
              <w:t>1/ч</w:t>
            </w:r>
          </w:p>
        </w:tc>
        <w:tc>
          <w:tcPr>
            <w:tcW w:w="17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D8D8D8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Количество</w:t>
            </w:r>
          </w:p>
        </w:tc>
      </w:tr>
      <w:tr>
        <w:trPr>
          <w:trHeight w:val="53" w:hRule="atLeast"/>
        </w:trPr>
        <w:tc>
          <w:tcPr>
            <w:tcW w:w="42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widowControl/>
              <w:bidi w:val="0"/>
              <w:spacing w:lineRule="auto" w:line="360"/>
              <w:ind w:left="0" w:right="0" w:hanging="0"/>
              <w:jc w:val="left"/>
              <w:rPr>
                <w:sz w:val="22"/>
                <w:szCs w:val="22"/>
                <w:lang w:val="en-US" w:eastAsia="en-US"/>
              </w:rPr>
            </w:pPr>
            <w:r>
              <w:rPr>
                <w:sz w:val="22"/>
                <w:szCs w:val="22"/>
                <w:lang w:val="en-US" w:eastAsia="en-US"/>
              </w:rPr>
              <w:t>Микросхемы в пластмассовом корпусе</w:t>
            </w:r>
          </w:p>
        </w:tc>
        <w:tc>
          <w:tcPr>
            <w:tcW w:w="33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0,15</w:t>
            </w:r>
          </w:p>
        </w:tc>
        <w:tc>
          <w:tcPr>
            <w:tcW w:w="17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" w:hRule="atLeast"/>
        </w:trPr>
        <w:tc>
          <w:tcPr>
            <w:tcW w:w="42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Резисторы</w:t>
            </w:r>
          </w:p>
        </w:tc>
        <w:tc>
          <w:tcPr>
            <w:tcW w:w="33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0,01</w:t>
            </w:r>
          </w:p>
        </w:tc>
        <w:tc>
          <w:tcPr>
            <w:tcW w:w="17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</w:tr>
      <w:tr>
        <w:trPr>
          <w:trHeight w:val="53" w:hRule="atLeast"/>
        </w:trPr>
        <w:tc>
          <w:tcPr>
            <w:tcW w:w="42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Светодиоды</w:t>
            </w:r>
          </w:p>
        </w:tc>
        <w:tc>
          <w:tcPr>
            <w:tcW w:w="33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0,01</w:t>
            </w:r>
          </w:p>
        </w:tc>
        <w:tc>
          <w:tcPr>
            <w:tcW w:w="17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</w:tr>
      <w:tr>
        <w:trPr>
          <w:trHeight w:val="53" w:hRule="atLeast"/>
        </w:trPr>
        <w:tc>
          <w:tcPr>
            <w:tcW w:w="42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Соединения контактные</w:t>
            </w:r>
          </w:p>
        </w:tc>
        <w:tc>
          <w:tcPr>
            <w:tcW w:w="33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0,05</w:t>
            </w:r>
          </w:p>
        </w:tc>
        <w:tc>
          <w:tcPr>
            <w:tcW w:w="17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>
        <w:trPr>
          <w:trHeight w:val="227" w:hRule="atLeast"/>
        </w:trPr>
        <w:tc>
          <w:tcPr>
            <w:tcW w:w="42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Пайка </w:t>
            </w:r>
            <w:r>
              <w:rPr>
                <w:sz w:val="22"/>
                <w:szCs w:val="22"/>
              </w:rPr>
              <w:t>паяльником</w:t>
            </w:r>
          </w:p>
        </w:tc>
        <w:tc>
          <w:tcPr>
            <w:tcW w:w="33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</w:t>
            </w:r>
          </w:p>
        </w:tc>
        <w:tc>
          <w:tcPr>
            <w:tcW w:w="17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</w:t>
            </w:r>
          </w:p>
        </w:tc>
      </w:tr>
      <w:tr>
        <w:trPr>
          <w:trHeight w:val="227" w:hRule="atLeast"/>
        </w:trPr>
        <w:tc>
          <w:tcPr>
            <w:tcW w:w="421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Пайка </w:t>
            </w:r>
            <w:r>
              <w:rPr>
                <w:sz w:val="22"/>
                <w:szCs w:val="22"/>
              </w:rPr>
              <w:t>в печи</w:t>
            </w:r>
          </w:p>
        </w:tc>
        <w:tc>
          <w:tcPr>
            <w:tcW w:w="3334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0,15</w:t>
            </w:r>
          </w:p>
        </w:tc>
        <w:tc>
          <w:tcPr>
            <w:tcW w:w="1798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Расч</w:t>
      </w:r>
      <w:r>
        <w:rPr/>
        <w:t>ет</w:t>
      </w:r>
      <w:r>
        <w:rPr/>
        <w:t xml:space="preserve"> суммарн</w:t>
      </w:r>
      <w:r>
        <w:rPr/>
        <w:t>ой</w:t>
      </w:r>
      <w:r>
        <w:rPr/>
        <w:t xml:space="preserve"> интенсивност</w:t>
      </w:r>
      <w:r>
        <w:rPr/>
        <w:t>и</w:t>
      </w:r>
      <w:r>
        <w:rPr/>
        <w:t xml:space="preserve"> отказов:</w:t>
      </w:r>
    </w:p>
    <w:p>
      <w:pPr>
        <w:pStyle w:val="Normal"/>
        <w:rPr>
          <w:vertAlign w:val="superscript"/>
        </w:rPr>
      </w:pPr>
      <w:r>
        <w:rPr>
          <w:vertAlign w:val="superscript"/>
        </w:rPr>
      </w:r>
      <m:oMath xmlns:m="http://schemas.openxmlformats.org/officeDocument/2006/math">
        <m:r>
          <w:rPr>
            <w:rFonts w:ascii="Cambria Math" w:hAnsi="Cambria Math"/>
          </w:rPr>
          <m:t xml:space="preserve">Λ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0,15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11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0,01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7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0,01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8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0,05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25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0,2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36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0,15</m:t>
            </m:r>
          </m:e>
        </m:d>
        <m:r>
          <w:rPr>
            <w:rFonts w:ascii="Cambria Math" w:hAnsi="Cambria Math"/>
          </w:rPr>
          <m:t xml:space="preserve">⋅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6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10,53</m:t>
        </m:r>
        <m:r>
          <w:rPr>
            <w:rFonts w:ascii="Cambria Math" w:hAnsi="Cambria Math"/>
          </w:rPr>
          <m:t xml:space="preserve">⋅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6</m:t>
            </m:r>
          </m:sup>
        </m:sSup>
      </m:oMath>
    </w:p>
    <w:p>
      <w:pPr>
        <w:pStyle w:val="Normal"/>
        <w:rPr/>
      </w:pPr>
      <w:r>
        <w:rPr/>
        <w:t>Тогда вероятность безотказной работы в течение 1000 ч будет равна:</w:t>
      </w:r>
    </w:p>
    <w:p>
      <w:pPr>
        <w:pStyle w:val="Normal"/>
        <w:rPr>
          <w:lang w:val="en-US"/>
        </w:rPr>
      </w:pPr>
      <w:r>
        <w:rPr>
          <w:lang w:val="en-US"/>
        </w:rPr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exp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Λt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exp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10,53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6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1000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0,9895</m:t>
        </m:r>
      </m:oMath>
    </w:p>
    <w:p>
      <w:pPr>
        <w:pStyle w:val="Normal"/>
        <w:rPr/>
      </w:pPr>
      <w:r>
        <w:rPr/>
        <w:t>Исходя из полученных данных, вероятность безотказной работы в течение 1000ч удовлетворяет условиям, заданным в техническом задании (0,9895&gt;0,9</w:t>
      </w:r>
      <w:r>
        <w:rPr/>
        <w:t>5</w:t>
      </w:r>
      <w:r>
        <w:rPr/>
        <w:t>).</w:t>
      </w:r>
    </w:p>
    <w:p>
      <w:pPr>
        <w:pStyle w:val="Normal"/>
        <w:spacing w:lineRule="auto" w:line="240"/>
        <w:ind w:left="0" w:right="0" w:hanging="0"/>
        <w:jc w:val="left"/>
        <w:rPr>
          <w:rFonts w:ascii="Cambria" w:hAnsi="Cambria"/>
          <w:b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</w:r>
      <w:r>
        <w:br w:type="page"/>
      </w:r>
    </w:p>
    <w:p>
      <w:pPr>
        <w:pStyle w:val="Heading3"/>
        <w:rPr/>
      </w:pPr>
      <w:bookmarkStart w:id="74" w:name="_Toc325070553"/>
      <w:bookmarkStart w:id="75" w:name="_Toc323300604"/>
      <w:bookmarkEnd w:id="74"/>
      <w:bookmarkEnd w:id="75"/>
      <w:r>
        <w:rPr/>
        <w:t>4.6.3 Тепловой расчет блок</w:t>
      </w:r>
    </w:p>
    <w:p>
      <w:pPr>
        <w:pStyle w:val="Normal"/>
        <w:rPr/>
      </w:pPr>
      <w:r>
        <w:rPr/>
        <w:t xml:space="preserve">Целью расчета является определение температур нагретой зоны и среды вблизи поверхности ЭРЭ, необходимых для оценки надежности. </w:t>
      </w:r>
      <w:r>
        <w:rPr/>
        <w:t xml:space="preserve">Внутреннее пространство корпуса и печатная плата в сборе для упрощения расчета представляются параллелепипедами, как показано на рисунке </w:t>
      </w:r>
      <w:r>
        <w:rPr/>
        <w:t xml:space="preserve">4.6.3.1. Размеры корпуса: длина </w:t>
      </w:r>
      <w:r>
        <w:rPr>
          <w:lang w:val="en-US"/>
        </w:rPr>
        <w:t xml:space="preserve">L </w:t>
      </w:r>
      <w:r>
        <w:rPr/>
        <w:t xml:space="preserve">= </w:t>
      </w:r>
      <w:r>
        <w:rPr/>
        <w:t>36</w:t>
      </w:r>
      <w:r>
        <w:rPr/>
        <w:t xml:space="preserve"> </w:t>
      </w:r>
      <w:r>
        <w:rPr/>
        <w:t>м</w:t>
      </w:r>
      <w:r>
        <w:rPr/>
        <w:t>м (</w:t>
      </w:r>
      <w:r>
        <w:rPr/>
        <w:t>a</w:t>
      </w:r>
      <w:r>
        <w:rPr/>
        <w:t xml:space="preserve">); ширина </w:t>
      </w:r>
      <w:r>
        <w:rPr>
          <w:lang w:val="en-US"/>
        </w:rPr>
        <w:t xml:space="preserve">B </w:t>
      </w:r>
      <w:r>
        <w:rPr/>
        <w:t xml:space="preserve">= </w:t>
      </w:r>
      <w:r>
        <w:rPr/>
        <w:t>34 м</w:t>
      </w:r>
      <w:r>
        <w:rPr/>
        <w:t>м (</w:t>
      </w:r>
      <w:r>
        <w:rPr/>
        <w:t>b</w:t>
      </w:r>
      <w:r>
        <w:rPr/>
        <w:t xml:space="preserve">); высота </w:t>
      </w:r>
      <w:r>
        <w:rPr>
          <w:lang w:val="en-US"/>
        </w:rPr>
        <w:t xml:space="preserve">H </w:t>
      </w:r>
      <w:r>
        <w:rPr/>
        <w:t xml:space="preserve">= </w:t>
      </w:r>
      <w:r>
        <w:rPr/>
        <w:t>25 м</w:t>
      </w:r>
      <w:r>
        <w:rPr/>
        <w:t>м (</w:t>
      </w:r>
      <w:r>
        <w:rPr>
          <w:lang w:val="en-US"/>
        </w:rPr>
        <w:t>c</w:t>
      </w:r>
      <w:r>
        <w:rPr/>
        <w:t>).</w:t>
      </w:r>
    </w:p>
    <w:p>
      <w:pPr>
        <w:pStyle w:val="Normal"/>
        <w:spacing w:lineRule="auto" w:line="24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2029460</wp:posOffset>
            </wp:positionH>
            <wp:positionV relativeFrom="paragraph">
              <wp:posOffset>22225</wp:posOffset>
            </wp:positionV>
            <wp:extent cx="2110105" cy="1621790"/>
            <wp:effectExtent l="0" t="0" r="0" b="0"/>
            <wp:wrapTopAndBottom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2"/>
        </w:rPr>
        <w:t>Рис</w:t>
      </w:r>
      <w:r>
        <w:rPr>
          <w:sz w:val="22"/>
        </w:rPr>
        <w:t>унок</w:t>
      </w:r>
      <w:r>
        <w:rPr>
          <w:sz w:val="22"/>
        </w:rPr>
        <w:t xml:space="preserve"> 4.6.3.1.Тепловая модель блока</w:t>
      </w:r>
    </w:p>
    <w:p>
      <w:pPr>
        <w:pStyle w:val="Normal"/>
        <w:rPr/>
      </w:pPr>
      <w:r>
        <w:rPr/>
      </w:r>
    </w:p>
    <w:p>
      <w:pPr>
        <w:pStyle w:val="22"/>
        <w:rPr/>
      </w:pPr>
      <w:bookmarkStart w:id="76" w:name="_Toc325070554"/>
      <w:r>
        <w:rPr/>
        <w:t xml:space="preserve">4.6.3.1 Расчет температуры корпуса </w:t>
      </w:r>
      <w:r>
        <w:rPr>
          <w:lang w:val="en-US"/>
        </w:rPr>
        <w:t>t</w:t>
      </w:r>
      <w:bookmarkEnd w:id="76"/>
      <w:r>
        <w:rPr>
          <w:vertAlign w:val="subscript"/>
        </w:rPr>
        <w:t>К.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Определяем удельную поверхностную мощность корпуса блока. </w:t>
      </w:r>
    </w:p>
    <w:p>
      <w:pPr>
        <w:pStyle w:val="Normal"/>
        <w:rPr/>
      </w:pPr>
      <w:r>
        <w:rPr/>
        <w:t>Площадь поверхности блока:</w:t>
      </w:r>
    </w:p>
    <w:p>
      <w:pPr>
        <w:pStyle w:val="Normal"/>
        <w:rPr/>
      </w:pPr>
      <w:r>
        <w:rPr>
          <w:lang w:val="en-US"/>
        </w:rPr>
        <w:t>L</w:t>
      </w:r>
      <w:r>
        <w:rPr/>
        <w:t>·</w:t>
      </w:r>
      <w:r>
        <w:rPr>
          <w:lang w:val="en-US"/>
        </w:rPr>
        <w:t>B = 0,001224 м</w:t>
      </w:r>
    </w:p>
    <w:p>
      <w:pPr>
        <w:pStyle w:val="Normal"/>
        <w:rPr/>
      </w:pPr>
      <w:r>
        <w:rPr>
          <w:lang w:val="en-US"/>
        </w:rPr>
        <w:t>L·H = 0,0009 м</w:t>
      </w:r>
    </w:p>
    <w:p>
      <w:pPr>
        <w:pStyle w:val="Normal"/>
        <w:rPr/>
      </w:pPr>
      <w:r>
        <w:rPr>
          <w:lang w:val="en-US"/>
        </w:rPr>
        <w:t>B·H = 0,00085 м</w:t>
      </w:r>
    </w:p>
    <w:p>
      <w:pPr>
        <w:pStyle w:val="Normal"/>
        <w:rPr/>
      </w:pPr>
      <w:r>
        <w:rPr>
          <w:lang w:val="en-US"/>
        </w:rPr>
        <w:t>S</w:t>
      </w:r>
      <w:r>
        <w:rPr>
          <w:vertAlign w:val="subscript"/>
        </w:rPr>
        <w:t>бл</w:t>
      </w:r>
      <w:r>
        <w:rPr/>
        <w:t>=2· (</w:t>
      </w:r>
      <w:r>
        <w:rPr>
          <w:lang w:val="en-US"/>
        </w:rPr>
        <w:t>L</w:t>
      </w:r>
      <w:r>
        <w:rPr/>
        <w:t>·</w:t>
      </w:r>
      <w:r>
        <w:rPr>
          <w:lang w:val="en-US"/>
        </w:rPr>
        <w:t>B</w:t>
      </w:r>
      <w:r>
        <w:rPr/>
        <w:t xml:space="preserve"> + </w:t>
      </w:r>
      <w:r>
        <w:rPr>
          <w:lang w:val="en-US"/>
        </w:rPr>
        <w:t>L</w:t>
      </w:r>
      <w:r>
        <w:rPr/>
        <w:t>·</w:t>
      </w:r>
      <w:r>
        <w:rPr>
          <w:lang w:val="en-US"/>
        </w:rPr>
        <w:t>H</w:t>
      </w:r>
      <w:r>
        <w:rPr/>
        <w:t xml:space="preserve"> + </w:t>
      </w:r>
      <w:r>
        <w:rPr>
          <w:lang w:val="en-US"/>
        </w:rPr>
        <w:t>B</w:t>
      </w:r>
      <w:r>
        <w:rPr/>
        <w:t>·</w:t>
      </w:r>
      <w:r>
        <w:rPr>
          <w:lang w:val="en-US"/>
        </w:rPr>
        <w:t>H</w:t>
      </w:r>
      <w:r>
        <w:rPr/>
        <w:t xml:space="preserve">) = </w:t>
      </w:r>
      <w:r>
        <w:rPr/>
        <w:t>5,948</w:t>
      </w:r>
      <w:r>
        <w:rPr/>
        <w:t xml:space="preserve"> </w:t>
      </w:r>
      <w:r>
        <w:rPr/>
        <w:t>м</w:t>
      </w:r>
      <w:r>
        <w:rPr/>
        <w:t>м</w:t>
      </w:r>
      <w:r>
        <w:rPr>
          <w:vertAlign w:val="superscript"/>
        </w:rPr>
        <w:t>2</w:t>
      </w:r>
      <w:r>
        <w:rPr>
          <w:position w:val="0"/>
          <w:sz w:val="24"/>
          <w:vertAlign w:val="baseline"/>
        </w:rPr>
        <w:t xml:space="preserve"> </w:t>
      </w:r>
      <w:r>
        <w:rPr>
          <w:position w:val="0"/>
          <w:sz w:val="24"/>
          <w:vertAlign w:val="baseline"/>
        </w:rPr>
        <w:t xml:space="preserve">= </w:t>
      </w:r>
      <w:r>
        <w:rPr>
          <w:position w:val="0"/>
          <w:sz w:val="24"/>
          <w:vertAlign w:val="baseline"/>
        </w:rPr>
        <w:t>6</w:t>
      </w:r>
      <w:r>
        <w:rPr>
          <w:position w:val="0"/>
          <w:sz w:val="24"/>
          <w:vertAlign w:val="baseline"/>
        </w:rPr>
        <w:t xml:space="preserve"> · 10</w:t>
      </w:r>
      <w:r>
        <w:rPr>
          <w:vertAlign w:val="superscript"/>
        </w:rPr>
        <w:t>-3</w:t>
      </w:r>
      <w:r>
        <w:rPr>
          <w:position w:val="0"/>
          <w:sz w:val="24"/>
          <w:vertAlign w:val="baseline"/>
        </w:rPr>
        <w:t xml:space="preserve"> м</w:t>
      </w:r>
      <w:r>
        <w:rPr>
          <w:vertAlign w:val="superscript"/>
        </w:rPr>
        <w:t>2</w:t>
      </w:r>
    </w:p>
    <w:p>
      <w:pPr>
        <w:pStyle w:val="Normal"/>
        <w:rPr/>
      </w:pPr>
      <w:r>
        <w:rPr/>
        <w:t>Мощность, рассеиваемая блоком в виде тепла (п. 4.5.1): Р</w:t>
      </w:r>
      <w:r>
        <w:rPr>
          <w:vertAlign w:val="subscript"/>
        </w:rPr>
        <w:t xml:space="preserve">0 </w:t>
      </w:r>
      <w:r>
        <w:rPr/>
        <w:t xml:space="preserve">= </w:t>
      </w:r>
      <w:r>
        <w:rPr/>
        <w:t>0,2</w:t>
      </w:r>
      <w:r>
        <w:rPr/>
        <w:t xml:space="preserve"> Вт;</w:t>
      </w:r>
    </w:p>
    <w:p>
      <w:pPr>
        <w:pStyle w:val="Normal"/>
        <w:rPr/>
      </w:pPr>
      <w:r>
        <w:rPr/>
        <w:t xml:space="preserve">Удельная поверхностная мощность: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sSub>
              <m:e/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бл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0,2</m:t>
            </m:r>
          </m:num>
          <m:den>
            <m:r>
              <w:rPr>
                <w:rFonts w:ascii="Cambria Math" w:hAnsi="Cambria Math"/>
              </w:rPr>
              <m:t xml:space="preserve">0,006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33,3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Вт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м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</w:p>
    <w:p>
      <w:pPr>
        <w:pStyle w:val="Normal"/>
        <w:rPr/>
      </w:pPr>
      <w:r>
        <w:rPr>
          <w:bCs/>
          <w:sz w:val="22"/>
        </w:rPr>
        <w:t>График з</w:t>
      </w:r>
      <w:r>
        <w:rPr>
          <w:bCs/>
          <w:iCs/>
          <w:sz w:val="22"/>
        </w:rPr>
        <w:t xml:space="preserve">ависимости перегрева корпуса от удельной поверхностной мощности [4] </w:t>
      </w:r>
      <w:r>
        <w:rPr>
          <w:bCs/>
          <w:iCs/>
          <w:sz w:val="22"/>
        </w:rPr>
        <w:t>представлен на рисунке 4.6.3.2.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1774190</wp:posOffset>
            </wp:positionH>
            <wp:positionV relativeFrom="paragraph">
              <wp:posOffset>-66675</wp:posOffset>
            </wp:positionV>
            <wp:extent cx="2781935" cy="1997075"/>
            <wp:effectExtent l="0" t="0" r="0" b="0"/>
            <wp:wrapTopAndBottom/>
            <wp:docPr id="15" name="Рисунок 2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7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2230755</wp:posOffset>
                </wp:positionH>
                <wp:positionV relativeFrom="paragraph">
                  <wp:posOffset>1503680</wp:posOffset>
                </wp:positionV>
                <wp:extent cx="635" cy="169545"/>
                <wp:effectExtent l="0" t="0" r="0" b="0"/>
                <wp:wrapNone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688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9pt,125.05pt" to="169pt,138.3pt" stroked="t" style="position:absolute;flip:y">
                <v:stroke color="red" joinstyle="round" endcap="flat"/>
                <v:fill on="false" o:detectmouseclick="t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1977390</wp:posOffset>
                </wp:positionH>
                <wp:positionV relativeFrom="paragraph">
                  <wp:posOffset>1588135</wp:posOffset>
                </wp:positionV>
                <wp:extent cx="169545" cy="1270"/>
                <wp:effectExtent l="0" t="0" r="0" b="0"/>
                <wp:wrapNone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8840" cy="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5.7pt,125.05pt" to="168.95pt,125.05pt" stroked="t" style="position:absolute;flip:y">
                <v:stroke color="red" joinstyle="round" endcap="flat"/>
                <v:fill on="false" o:detectmouseclick="t"/>
              </v:line>
            </w:pict>
          </mc:Fallback>
        </mc:AlternateContent>
      </w:r>
      <w:r>
        <w:rPr>
          <w:sz w:val="22"/>
        </w:rPr>
        <w:t xml:space="preserve">Рисунок 4.6.3.2 - </w:t>
      </w:r>
      <w:r>
        <w:rPr>
          <w:bCs/>
          <w:sz w:val="22"/>
        </w:rPr>
        <w:t>График з</w:t>
      </w:r>
      <w:r>
        <w:rPr>
          <w:bCs/>
          <w:iCs/>
          <w:sz w:val="22"/>
        </w:rPr>
        <w:t>ависимости перегрева корпуса от удельной поверхностной мощности.</w:t>
      </w:r>
    </w:p>
    <w:p>
      <w:pPr>
        <w:pStyle w:val="Normal"/>
        <w:rPr/>
      </w:pPr>
      <w:r>
        <w:rPr/>
        <w:t xml:space="preserve">2. Определяем по графику и с учетом предыдущих расчетов температуру перегрева корпуса в первом приближении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Δt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4</m:t>
            </m:r>
          </m:e>
          <m:sup>
            <m:r>
              <w:rPr>
                <w:rFonts w:ascii="Cambria Math" w:hAnsi="Cambria Math"/>
              </w:rPr>
              <m:t xml:space="preserve">∘</m:t>
            </m:r>
          </m:sup>
        </m:sSup>
        <m:r>
          <w:rPr>
            <w:rFonts w:ascii="Cambria Math" w:hAnsi="Cambria Math"/>
          </w:rPr>
          <m:t xml:space="preserve">C</m:t>
        </m:r>
      </m:oMath>
    </w:p>
    <w:p>
      <w:pPr>
        <w:pStyle w:val="Normal"/>
        <w:rPr/>
      </w:pPr>
      <w:r>
        <w:rPr/>
        <w:t>3. Определяем коэффициент лучистого теплообмена для верхней, боковой и нижней граней корпуса.</w:t>
      </w:r>
    </w:p>
    <w:p>
      <w:pPr>
        <w:pStyle w:val="Normal"/>
        <w:rPr/>
      </w:pPr>
      <w:r>
        <w:rPr/>
        <w:t xml:space="preserve">Так как весь корпус блока выполнен из одинакового материала с коэффициентом </w:t>
      </w:r>
      <w:r>
        <w:rPr/>
        <w:t>излучения</w:t>
      </w:r>
      <w:r>
        <w:rPr/>
        <w:t xml:space="preserve"> </w:t>
      </w:r>
      <w:r>
        <w:rPr/>
        <w:object>
          <v:shape id="ole_rId27" style="width:36.75pt;height:14.25pt" o:ole="">
            <v:imagedata r:id="rId28" o:title=""/>
          </v:shape>
          <o:OLEObject Type="Embed" ProgID="" ShapeID="ole_rId27" DrawAspect="Content" ObjectID="_1849484329" r:id="rId27"/>
        </w:object>
      </w:r>
      <w:r>
        <w:rPr/>
        <w:t>, то коэффициент лучеиспускания будет одинаковым.</w:t>
      </w:r>
    </w:p>
    <w:p>
      <w:pPr>
        <w:pStyle w:val="MTDisplayEquation1"/>
        <w:rPr/>
      </w:pPr>
      <w:r>
        <w:rPr/>
        <w:tab/>
      </w:r>
    </w:p>
    <w:p>
      <w:pPr>
        <w:pStyle w:val="MTDisplayEquation1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α</m:t>
            </m:r>
          </m:e>
          <m:sub>
            <m:r>
              <w:rPr>
                <w:rFonts w:ascii="Cambria Math" w:hAnsi="Cambria Math"/>
              </w:rPr>
              <m:t xml:space="preserve">Л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ε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5,67</m:t>
        </m:r>
        <m:f>
          <m:num>
            <m:d>
              <m:dPr>
                <m:begChr m:val="["/>
                <m:endChr m:val="]"/>
              </m:dPr>
              <m:e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f>
                          <m:num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Δt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273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100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4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−</m:t>
                </m:r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f>
                          <m:num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273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100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4</m:t>
                    </m:r>
                  </m:sup>
                </m:sSup>
              </m:e>
            </m:d>
          </m:num>
          <m:den>
            <m:sSub>
              <m:e>
                <m:r>
                  <w:rPr>
                    <w:rFonts w:ascii="Cambria Math" w:hAnsi="Cambria Math"/>
                  </w:rPr>
                  <m:t xml:space="preserve">Δt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0,243</m:t>
        </m:r>
        <m:d>
          <m:dPr>
            <m:begChr m:val="["/>
            <m:endChr m:val="]"/>
          </m:dPr>
          <m:e>
            <m:sSup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277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4</m:t>
                </m:r>
              </m:sup>
            </m:sSup>
            <m:r>
              <w:rPr>
                <w:rFonts w:ascii="Cambria Math" w:hAnsi="Cambria Math"/>
              </w:rPr>
              <m:t xml:space="preserve">−</m:t>
            </m:r>
            <m:sSup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273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100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4</m:t>
                </m:r>
              </m:sup>
            </m:sSup>
          </m:e>
        </m:d>
      </m:oMath>
      <w:r>
        <w:rPr/>
        <w:t>,</w:t>
        <w:tab/>
        <w:t>(4.6)</w:t>
      </w:r>
    </w:p>
    <w:p>
      <w:pPr>
        <w:pStyle w:val="MTDisplayEquation1"/>
        <w:rPr/>
      </w:pPr>
      <w:r>
        <w:rPr/>
        <w:t xml:space="preserve">где </w:t>
      </w:r>
      <w:r>
        <w:rPr/>
        <w:object>
          <v:shape id="ole_rId29" style="width:12pt;height:18pt" o:ole="">
            <v:imagedata r:id="rId30" o:title=""/>
          </v:shape>
          <o:OLEObject Type="Embed" ProgID="" ShapeID="ole_rId29" DrawAspect="Content" ObjectID="_1144128873" r:id="rId29"/>
        </w:object>
      </w:r>
      <w:r>
        <w:rPr/>
        <w:t xml:space="preserve"> - температура окружающей среды (принимаем равной </w:t>
      </w:r>
      <w:r>
        <w:rPr/>
        <w:t>70</w:t>
      </w:r>
      <w:r>
        <w:rPr/>
        <w:t xml:space="preserve"> </w:t>
      </w:r>
      <w:r>
        <w:rPr/>
        <w:object>
          <v:shape id="ole_rId31" style="width:15.75pt;height:15.75pt" o:ole="">
            <v:imagedata r:id="rId32" o:title=""/>
          </v:shape>
          <o:OLEObject Type="Embed" ProgID="" ShapeID="ole_rId31" DrawAspect="Content" ObjectID="_2083147657" r:id="rId31"/>
        </w:object>
      </w:r>
      <w:r>
        <w:rPr/>
        <w:t>).</w:t>
      </w:r>
    </w:p>
    <w:p>
      <w:pPr>
        <w:pStyle w:val="Normal"/>
        <w:rPr/>
      </w:pPr>
      <w:r>
        <w:rPr/>
        <w:t xml:space="preserve">Подставив имеющиеся значения в (4.6), получим:  </w:t>
      </w:r>
      <w:r>
        <w:rPr>
          <w:rFonts w:ascii="Liberation Mono" w:hAnsi="Liberation Mono"/>
          <w:b w:val="false"/>
          <w:i w:val="false"/>
          <w:sz w:val="22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α</m:t>
            </m:r>
          </m:e>
          <m:sub>
            <m:r>
              <w:rPr>
                <w:rFonts w:ascii="Cambria Math" w:hAnsi="Cambria Math"/>
              </w:rPr>
              <m:t xml:space="preserve">Л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68.9</m:t>
        </m:r>
      </m:oMath>
    </w:p>
    <w:p>
      <w:pPr>
        <w:pStyle w:val="Normal"/>
        <w:rPr/>
      </w:pPr>
      <w:r>
        <w:rPr/>
        <w:t xml:space="preserve">4. Для определяющей критической температуры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к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C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Δt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)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(</m:t>
        </m:r>
        <m:r>
          <m:rPr>
            <m:lit/>
            <m:nor/>
          </m:rPr>
          <w:rPr>
            <w:rFonts w:ascii="Cambria Math" w:hAnsi="Cambria Math"/>
          </w:rPr>
          <m:t xml:space="preserve">61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92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70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4</m:t>
        </m:r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)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69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sSup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46</m:t>
            </m:r>
          </m:e>
          <m:sup>
            <m:r>
              <w:rPr>
                <w:rFonts w:ascii="Cambria Math" w:hAnsi="Cambria Math"/>
              </w:rPr>
              <m:t xml:space="preserve">∘</m:t>
            </m:r>
          </m:sup>
        </m:sSup>
        <m:r>
          <w:rPr>
            <w:rFonts w:ascii="Cambria Math" w:hAnsi="Cambria Math"/>
          </w:rPr>
          <m:t xml:space="preserve">C</m:t>
        </m:r>
      </m:oMath>
      <w:r>
        <w:rPr/>
        <w:t xml:space="preserve">  находим для каждой поверхности блока число Грасгофа:</w:t>
      </w:r>
    </w:p>
    <w:p>
      <w:pPr>
        <w:pStyle w:val="Normal"/>
        <w:jc w:val="center"/>
        <w:rPr/>
      </w:pPr>
      <w:r>
        <w:rPr/>
        <w:object>
          <v:shape id="ole_rId33" style="width:105.75pt;height:38.25pt" o:ole="">
            <v:imagedata r:id="rId34" o:title=""/>
          </v:shape>
          <o:OLEObject Type="Embed" ProgID="" ShapeID="ole_rId33" DrawAspect="Content" ObjectID="_1232259190" r:id="rId33"/>
        </w:object>
      </w:r>
      <w:r>
        <w:rPr/>
        <w:t>.</w:t>
      </w:r>
    </w:p>
    <w:p>
      <w:pPr>
        <w:pStyle w:val="Normal"/>
        <w:rPr/>
      </w:pPr>
      <w:r>
        <w:rPr/>
        <w:t>Найдем входящие в эту формулу параметры:</w:t>
      </w:r>
    </w:p>
    <w:p>
      <w:pPr>
        <w:pStyle w:val="Normal"/>
        <w:rPr/>
      </w:pPr>
      <w:r>
        <w:rPr/>
        <w:t>коэффициент объемного расширения воздуха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β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(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опр</m:t>
            </m:r>
          </m:sub>
        </m:sSub>
        <m:r>
          <w:rPr>
            <w:rFonts w:ascii="Cambria Math" w:hAnsi="Cambria Math"/>
          </w:rPr>
          <m:t xml:space="preserve">+</m:t>
        </m:r>
        <m:r>
          <m:rPr>
            <m:lit/>
            <m:nor/>
          </m:rPr>
          <w:rPr>
            <w:rFonts w:ascii="Cambria Math" w:hAnsi="Cambria Math"/>
          </w:rPr>
          <m:t xml:space="preserve">273</m:t>
        </m:r>
        <m:sSup>
          <m:e>
            <m:r>
              <w:rPr>
                <w:rFonts w:ascii="Cambria Math" w:hAnsi="Cambria Math"/>
              </w:rPr>
              <m:t xml:space="preserve">)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72</m:t>
        </m:r>
        <m:r>
          <w:rPr>
            <w:rFonts w:ascii="Cambria Math" w:hAnsi="Cambria Math"/>
          </w:rPr>
          <m:t xml:space="preserve">+</m:t>
        </m:r>
        <m:r>
          <m:rPr>
            <m:lit/>
            <m:nor/>
          </m:rPr>
          <w:rPr>
            <w:rFonts w:ascii="Cambria Math" w:hAnsi="Cambria Math"/>
          </w:rPr>
          <m:t xml:space="preserve">273</m:t>
        </m:r>
        <m:sSup>
          <m:e>
            <m:r>
              <w:rPr>
                <w:rFonts w:ascii="Cambria Math" w:hAnsi="Cambria Math"/>
              </w:rPr>
              <m:t xml:space="preserve">)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003</m:t>
        </m:r>
      </m:oMath>
      <w:r>
        <w:rPr/>
        <w:t>;</w:t>
      </w:r>
    </w:p>
    <w:p>
      <w:pPr>
        <w:pStyle w:val="Normal"/>
        <w:rPr/>
      </w:pPr>
      <w:r>
        <w:rPr/>
        <w:object>
          <v:shape id="ole_rId35" style="width:60pt;height:30.75pt" o:ole="">
            <v:imagedata r:id="rId36" o:title=""/>
          </v:shape>
          <o:OLEObject Type="Embed" ProgID="" ShapeID="ole_rId35" DrawAspect="Content" ObjectID="_1428302096" r:id="rId35"/>
        </w:object>
      </w:r>
      <w:r>
        <w:rPr/>
        <w:t xml:space="preserve"> </w:t>
      </w:r>
      <w:r>
        <w:rPr/>
        <w:t>- ускорение свободного падения;</w:t>
      </w:r>
    </w:p>
    <w:p>
      <w:pPr>
        <w:pStyle w:val="Normal"/>
        <w:rPr/>
      </w:pPr>
      <w:r>
        <w:rPr/>
        <w:object>
          <v:shape id="ole_rId37" style="width:96pt;height:25.5pt" o:ole="">
            <v:imagedata r:id="rId38" o:title=""/>
          </v:shape>
          <o:OLEObject Type="Embed" ProgID="" ShapeID="ole_rId37" DrawAspect="Content" ObjectID="_439682553" r:id="rId37"/>
        </w:object>
      </w:r>
      <w:r>
        <w:rPr/>
        <w:t xml:space="preserve"> </w:t>
      </w:r>
      <w:r>
        <w:rPr/>
        <w:t xml:space="preserve">- кинематическая вязкость воздуха; </w:t>
      </w:r>
    </w:p>
    <w:p>
      <w:pPr>
        <w:pStyle w:val="Normal"/>
        <w:rPr/>
      </w:pPr>
      <w:r>
        <w:rPr>
          <w:lang w:val="en-US"/>
        </w:rPr>
        <w:t>L</w:t>
      </w:r>
      <w:r>
        <w:rPr>
          <w:vertAlign w:val="subscript"/>
        </w:rPr>
        <w:t>опр1</w:t>
      </w:r>
      <w:r>
        <w:rPr/>
        <w:t>=</w:t>
      </w:r>
      <w:r>
        <w:rPr>
          <w:lang w:val="en-US"/>
        </w:rPr>
        <w:t>L</w:t>
      </w:r>
      <w:r>
        <w:rPr/>
        <w:t>=</w:t>
      </w:r>
      <w:r>
        <w:rPr/>
        <w:t>0,036</w:t>
      </w:r>
      <w:r>
        <w:rPr/>
        <w:t xml:space="preserve"> м - определяющий размер для боковой поверхности корпуса блока</w:t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Gr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β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g</m:t>
        </m:r>
        <m:r>
          <w:rPr>
            <w:rFonts w:ascii="Cambria Math" w:hAnsi="Cambria Math"/>
          </w:rPr>
          <m:t xml:space="preserve">⋅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L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sSubSup>
              <m:e>
                <m:r>
                  <w:rPr>
                    <w:rFonts w:ascii="Cambria Math" w:hAnsi="Cambria Math"/>
                  </w:rPr>
                  <m:t xml:space="preserve">ν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den>
        </m:f>
        <m:sSub>
          <m:e>
            <m:r>
              <w:rPr>
                <w:rFonts w:ascii="Cambria Math" w:hAnsi="Cambria Math"/>
              </w:rPr>
              <m:t xml:space="preserve">Δt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0,03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9,81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0,036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(</m:t>
            </m:r>
            <m:r>
              <w:rPr>
                <w:rFonts w:ascii="Cambria Math" w:hAnsi="Cambria Math"/>
              </w:rPr>
              <m:t xml:space="preserve">16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6</m:t>
                </m:r>
              </m:sup>
            </m:sSup>
            <m:sSup>
              <m:e>
                <m:r>
                  <w:rPr>
                    <w:rFonts w:ascii="Cambria Math" w:hAnsi="Cambria Math"/>
                  </w:rPr>
                  <m:t xml:space="preserve">)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hAnsi="Cambria Math"/>
          </w:rPr>
          <m:t xml:space="preserve">⋅</m:t>
        </m:r>
        <m:r>
          <m:rPr>
            <m:lit/>
            <m:nor/>
          </m:rPr>
          <w:rPr>
            <w:rFonts w:ascii="Cambria Math" w:hAnsi="Cambria Math"/>
          </w:rPr>
          <m:t xml:space="preserve">18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9,6</m:t>
        </m:r>
        <m:r>
          <w:rPr>
            <w:rFonts w:ascii="Cambria Math" w:hAnsi="Cambria Math"/>
          </w:rPr>
          <m:t xml:space="preserve">⋅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5</m:t>
            </m:r>
          </m:sup>
        </m:sSup>
      </m:oMath>
    </w:p>
    <w:p>
      <w:pPr>
        <w:pStyle w:val="Normal"/>
        <w:rPr/>
      </w:pPr>
      <w:r>
        <w:rPr>
          <w:lang w:val="en-US"/>
        </w:rPr>
        <w:t>L</w:t>
      </w:r>
      <w:r>
        <w:rPr>
          <w:vertAlign w:val="subscript"/>
        </w:rPr>
        <w:t>опр2</w:t>
      </w:r>
      <w:r>
        <w:rPr/>
        <w:t>=</w:t>
      </w:r>
      <w:r>
        <w:rPr>
          <w:lang w:val="en-US"/>
        </w:rPr>
        <w:t>B</w:t>
      </w:r>
      <w:r>
        <w:rPr/>
        <w:t>=0,03</w:t>
      </w:r>
      <w:r>
        <w:rPr/>
        <w:t>4</w:t>
      </w:r>
      <w:r>
        <w:rPr/>
        <w:t xml:space="preserve"> м - определяющий размер для </w:t>
      </w:r>
      <w:r>
        <w:rPr/>
        <w:t>торцевой</w:t>
      </w:r>
      <w:r>
        <w:rPr/>
        <w:t xml:space="preserve"> поверхности корпуса блока </w:t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Gr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β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g</m:t>
        </m:r>
        <m:r>
          <w:rPr>
            <w:rFonts w:ascii="Cambria Math" w:hAnsi="Cambria Math"/>
          </w:rPr>
          <m:t xml:space="preserve">⋅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L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sSubSup>
              <m:e>
                <m:r>
                  <w:rPr>
                    <w:rFonts w:ascii="Cambria Math" w:hAnsi="Cambria Math"/>
                  </w:rPr>
                  <m:t xml:space="preserve">ν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den>
        </m:f>
        <m:sSub>
          <m:e>
            <m:r>
              <w:rPr>
                <w:rFonts w:ascii="Cambria Math" w:hAnsi="Cambria Math"/>
              </w:rPr>
              <m:t xml:space="preserve">Δt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0,03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9,81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0,034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(</m:t>
            </m:r>
            <m:r>
              <w:rPr>
                <w:rFonts w:ascii="Cambria Math" w:hAnsi="Cambria Math"/>
              </w:rPr>
              <m:t xml:space="preserve">16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6</m:t>
                </m:r>
              </m:sup>
            </m:sSup>
            <m:sSup>
              <m:e>
                <m:r>
                  <w:rPr>
                    <w:rFonts w:ascii="Cambria Math" w:hAnsi="Cambria Math"/>
                  </w:rPr>
                  <m:t xml:space="preserve">)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hAnsi="Cambria Math"/>
          </w:rPr>
          <m:t xml:space="preserve">⋅</m:t>
        </m:r>
        <m:r>
          <m:rPr>
            <m:lit/>
            <m:nor/>
          </m:rPr>
          <w:rPr>
            <w:rFonts w:ascii="Cambria Math" w:hAnsi="Cambria Math"/>
          </w:rPr>
          <m:t xml:space="preserve">18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8,1</m:t>
        </m:r>
        <m:r>
          <w:rPr>
            <w:rFonts w:ascii="Cambria Math" w:hAnsi="Cambria Math"/>
          </w:rPr>
          <m:t xml:space="preserve">⋅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5</m:t>
            </m:r>
          </m:sup>
        </m:sSup>
      </m:oMath>
    </w:p>
    <w:p>
      <w:pPr>
        <w:pStyle w:val="Normal"/>
        <w:rPr/>
      </w:pPr>
      <w:r>
        <w:rPr>
          <w:lang w:val="en-US"/>
        </w:rPr>
        <w:t>L</w:t>
      </w:r>
      <w:r>
        <w:rPr>
          <w:vertAlign w:val="subscript"/>
        </w:rPr>
        <w:t>опр2</w:t>
      </w:r>
      <w:r>
        <w:rPr/>
        <w:t>=</w:t>
      </w:r>
      <w:r>
        <w:rPr>
          <w:lang w:val="en-US"/>
        </w:rPr>
        <w:t>H</w:t>
      </w:r>
      <w:r>
        <w:rPr/>
        <w:t>=0,0</w:t>
      </w:r>
      <w:r>
        <w:rPr/>
        <w:t>25</w:t>
      </w:r>
      <w:r>
        <w:rPr/>
        <w:t xml:space="preserve"> м - определяющий размер </w:t>
      </w:r>
      <w:r>
        <w:rPr/>
        <w:t xml:space="preserve">верхней и </w:t>
      </w:r>
      <w:r>
        <w:rPr/>
        <w:t xml:space="preserve"> нижней поверхности корпуса блока </w:t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Gr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β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g</m:t>
        </m:r>
        <m:r>
          <w:rPr>
            <w:rFonts w:ascii="Cambria Math" w:hAnsi="Cambria Math"/>
          </w:rPr>
          <m:t xml:space="preserve">⋅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L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sSubSup>
              <m:e>
                <m:r>
                  <w:rPr>
                    <w:rFonts w:ascii="Cambria Math" w:hAnsi="Cambria Math"/>
                  </w:rPr>
                  <m:t xml:space="preserve">ν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den>
        </m:f>
        <m:sSub>
          <m:e>
            <m:r>
              <w:rPr>
                <w:rFonts w:ascii="Cambria Math" w:hAnsi="Cambria Math"/>
              </w:rPr>
              <m:t xml:space="preserve">Δt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0,03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9,81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0,025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(</m:t>
            </m:r>
            <m:r>
              <w:rPr>
                <w:rFonts w:ascii="Cambria Math" w:hAnsi="Cambria Math"/>
              </w:rPr>
              <m:t xml:space="preserve">16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6</m:t>
                </m:r>
              </m:sup>
            </m:sSup>
            <m:sSup>
              <m:e>
                <m:r>
                  <w:rPr>
                    <w:rFonts w:ascii="Cambria Math" w:hAnsi="Cambria Math"/>
                  </w:rPr>
                  <m:t xml:space="preserve">)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hAnsi="Cambria Math"/>
          </w:rPr>
          <m:t xml:space="preserve">⋅</m:t>
        </m:r>
        <m:r>
          <m:rPr>
            <m:lit/>
            <m:nor/>
          </m:rPr>
          <w:rPr>
            <w:rFonts w:ascii="Cambria Math" w:hAnsi="Cambria Math"/>
          </w:rPr>
          <m:t xml:space="preserve">18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3,2</m:t>
        </m:r>
        <m:r>
          <w:rPr>
            <w:rFonts w:ascii="Cambria Math" w:hAnsi="Cambria Math"/>
          </w:rPr>
          <m:t xml:space="preserve">⋅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5</m:t>
            </m:r>
          </m:sup>
        </m:sSup>
      </m:oMath>
    </w:p>
    <w:p>
      <w:pPr>
        <w:pStyle w:val="Normal"/>
        <w:rPr/>
      </w:pPr>
      <w:r>
        <w:rPr/>
        <w:t>5. Для определяющей температуры t</w:t>
      </w:r>
      <w:r>
        <w:rPr>
          <w:vertAlign w:val="subscript"/>
        </w:rPr>
        <w:t>опр</w:t>
      </w:r>
      <w:r>
        <w:rPr/>
        <w:t xml:space="preserve">= </w:t>
      </w:r>
      <w:r>
        <w:rPr/>
        <w:t>72</w:t>
      </w:r>
      <w:r>
        <w:rPr/>
        <w:t>˚С по таблице теплофизических характеристик определяем число Прандтля Pr=0,7</w:t>
      </w:r>
      <w:r>
        <w:rPr/>
        <w:t>08</w:t>
      </w:r>
      <w:r>
        <w:rPr/>
        <w:t xml:space="preserve"> – один из критериев подобия тепловых процессов в жидкостях и газах, учитывающий влияние физических свойств теплоносителя на теплоотдачу.</w:t>
      </w:r>
    </w:p>
    <w:p>
      <w:pPr>
        <w:pStyle w:val="Normal"/>
        <w:rPr/>
      </w:pPr>
      <w:r>
        <w:rPr/>
        <w:t xml:space="preserve">6. Определяем режимы вне блока </w:t>
      </w:r>
    </w:p>
    <w:p>
      <w:pPr>
        <w:pStyle w:val="Normal"/>
        <w:rPr/>
      </w:pPr>
      <w:r>
        <w:rPr/>
        <w:t>Д</w:t>
      </w:r>
      <w:r>
        <w:rPr/>
        <w:t>ля боковой поверхности корпуса блока:</w:t>
      </w:r>
    </w:p>
    <w:p>
      <w:pPr>
        <w:pStyle w:val="Normal"/>
        <w:rPr/>
      </w:pPr>
      <w:r>
        <w:rPr>
          <w:lang w:val="en-US"/>
        </w:rPr>
        <w:t>Gr</w:t>
      </w:r>
      <w:r>
        <w:rPr>
          <w:vertAlign w:val="subscript"/>
        </w:rPr>
        <w:t>1</w:t>
      </w:r>
      <w:r>
        <w:rPr>
          <w:position w:val="0"/>
          <w:sz w:val="24"/>
          <w:vertAlign w:val="baseline"/>
        </w:rPr>
        <w:t>·</w:t>
      </w:r>
      <w:r>
        <w:rPr>
          <w:lang w:val="en-US"/>
        </w:rPr>
        <w:t>Pr</w:t>
      </w:r>
      <w:r>
        <w:rPr/>
        <w:t xml:space="preserve"> = </w:t>
      </w:r>
      <w:r>
        <w:rPr/>
        <w:t>6,8</w:t>
      </w:r>
      <w:r>
        <w:rPr>
          <w:position w:val="0"/>
          <w:sz w:val="24"/>
          <w:vertAlign w:val="baseline"/>
        </w:rPr>
        <w:t>·</w:t>
      </w:r>
      <w:r>
        <w:rPr/>
        <w:t>10</w:t>
      </w:r>
      <w:r>
        <w:rPr>
          <w:vertAlign w:val="superscript"/>
        </w:rPr>
        <w:t>5</w:t>
      </w:r>
      <w:r>
        <w:rPr/>
        <w:t>&lt;3,1</w:t>
      </w:r>
      <w:r>
        <w:rPr>
          <w:position w:val="0"/>
          <w:sz w:val="24"/>
          <w:vertAlign w:val="baseline"/>
        </w:rPr>
        <w:t>·</w:t>
      </w:r>
      <w:r>
        <w:rPr/>
        <w:t>10</w:t>
      </w:r>
      <w:r>
        <w:rPr>
          <w:vertAlign w:val="superscript"/>
        </w:rPr>
        <w:t>6</w:t>
      </w:r>
      <w:r>
        <w:rPr/>
        <w:t xml:space="preserve"> &lt; 2</w:t>
      </w:r>
      <w:r>
        <w:rPr>
          <w:position w:val="0"/>
          <w:sz w:val="24"/>
          <w:vertAlign w:val="baseline"/>
        </w:rPr>
        <w:t>·</w:t>
      </w:r>
      <w:r>
        <w:rPr/>
        <w:t>10</w:t>
      </w:r>
      <w:r>
        <w:rPr>
          <w:vertAlign w:val="superscript"/>
        </w:rPr>
        <w:t>7</w:t>
      </w:r>
      <w:r>
        <w:rPr/>
        <w:t xml:space="preserve"> , следовательно режим движения воздуха, обтекающего боковую поверхность корпуса, ламинарный;</w:t>
      </w:r>
    </w:p>
    <w:p>
      <w:pPr>
        <w:pStyle w:val="Normal"/>
        <w:rPr/>
      </w:pPr>
      <w:r>
        <w:rPr/>
        <w:t>Д</w:t>
      </w:r>
      <w:r>
        <w:rPr/>
        <w:t xml:space="preserve">ля </w:t>
      </w:r>
      <w:r>
        <w:rPr/>
        <w:t>торцевой</w:t>
      </w:r>
      <w:r>
        <w:rPr/>
        <w:t xml:space="preserve"> поверхности корпуса блока:</w:t>
      </w:r>
    </w:p>
    <w:p>
      <w:pPr>
        <w:pStyle w:val="Normal"/>
        <w:rPr/>
      </w:pPr>
      <w:r>
        <w:rPr>
          <w:lang w:val="en-US"/>
        </w:rPr>
        <w:t>Gr</w:t>
      </w:r>
      <w:r>
        <w:rPr>
          <w:vertAlign w:val="subscript"/>
          <w:lang w:val="en-US"/>
        </w:rPr>
        <w:t>2</w:t>
      </w:r>
      <w:r>
        <w:rPr>
          <w:position w:val="0"/>
          <w:sz w:val="24"/>
          <w:vertAlign w:val="baseline"/>
          <w:lang w:val="en-US"/>
        </w:rPr>
        <w:t>·</w:t>
      </w:r>
      <w:r>
        <w:rPr>
          <w:lang w:val="en-US"/>
        </w:rPr>
        <w:t xml:space="preserve">Pr = </w:t>
      </w:r>
      <w:r>
        <w:rPr>
          <w:lang w:val="en-US"/>
        </w:rPr>
        <w:t>5,7</w:t>
      </w:r>
      <w:r>
        <w:rPr>
          <w:position w:val="0"/>
          <w:sz w:val="24"/>
          <w:vertAlign w:val="baseline"/>
          <w:lang w:val="en-US"/>
        </w:rPr>
        <w:t>·</w:t>
      </w:r>
      <w:r>
        <w:rPr>
          <w:lang w:val="en-US"/>
        </w:rPr>
        <w:t>10</w:t>
      </w:r>
      <w:r>
        <w:rPr>
          <w:vertAlign w:val="superscript"/>
          <w:lang w:val="en-US"/>
        </w:rPr>
        <w:t>5</w:t>
      </w:r>
      <w:r>
        <w:rPr/>
        <w:t>&lt;</w:t>
      </w:r>
      <w:r>
        <w:rPr/>
        <w:t>3,</w:t>
      </w:r>
      <w:r>
        <w:rPr/>
        <w:t>6</w:t>
      </w:r>
      <w:r>
        <w:rPr>
          <w:position w:val="0"/>
          <w:sz w:val="24"/>
          <w:vertAlign w:val="baseline"/>
        </w:rPr>
        <w:t>·</w:t>
      </w:r>
      <w:r>
        <w:rPr/>
        <w:t>10</w:t>
      </w:r>
      <w:r>
        <w:rPr>
          <w:vertAlign w:val="superscript"/>
        </w:rPr>
        <w:t>6</w:t>
      </w:r>
      <w:r>
        <w:rPr/>
        <w:t xml:space="preserve"> &lt; 2</w:t>
      </w:r>
      <w:r>
        <w:rPr>
          <w:position w:val="0"/>
          <w:sz w:val="24"/>
          <w:vertAlign w:val="baseline"/>
        </w:rPr>
        <w:t>·</w:t>
      </w:r>
      <w:r>
        <w:rPr/>
        <w:t>10</w:t>
      </w:r>
      <w:r>
        <w:rPr>
          <w:vertAlign w:val="superscript"/>
        </w:rPr>
        <w:t>7</w:t>
      </w:r>
      <w:r>
        <w:rPr/>
        <w:t>, следовательно режим движения воздуха, обтекающего верхнюю поверхность корпуса, ламинарный;</w:t>
      </w:r>
    </w:p>
    <w:p>
      <w:pPr>
        <w:pStyle w:val="Normal"/>
        <w:rPr/>
      </w:pPr>
      <w:r>
        <w:rPr/>
        <w:t>Д</w:t>
      </w:r>
      <w:r>
        <w:rPr/>
        <w:t xml:space="preserve">ля верхней </w:t>
      </w:r>
      <w:r>
        <w:rPr/>
        <w:t>и</w:t>
      </w:r>
      <w:r>
        <w:rPr/>
        <w:t xml:space="preserve"> нижней поверхности корпуса блока:</w:t>
      </w:r>
    </w:p>
    <w:p>
      <w:pPr>
        <w:pStyle w:val="Normal"/>
        <w:rPr/>
      </w:pPr>
      <w:r>
        <w:rPr>
          <w:lang w:val="en-US"/>
        </w:rPr>
        <w:t>Gr</w:t>
      </w:r>
      <w:r>
        <w:rPr>
          <w:vertAlign w:val="subscript"/>
          <w:lang w:val="en-US"/>
        </w:rPr>
        <w:t>3</w:t>
      </w:r>
      <w:r>
        <w:rPr>
          <w:position w:val="0"/>
          <w:sz w:val="24"/>
          <w:vertAlign w:val="baseline"/>
          <w:lang w:val="en-US"/>
        </w:rPr>
        <w:t>·</w:t>
      </w:r>
      <w:r>
        <w:rPr>
          <w:lang w:val="en-US"/>
        </w:rPr>
        <w:t xml:space="preserve">Pr = </w:t>
      </w:r>
      <w:r>
        <w:rPr>
          <w:lang w:val="en-US"/>
        </w:rPr>
        <w:t>2,2</w:t>
      </w:r>
      <w:r>
        <w:rPr>
          <w:position w:val="0"/>
          <w:sz w:val="24"/>
          <w:vertAlign w:val="baseline"/>
          <w:lang w:val="en-US"/>
        </w:rPr>
        <w:t>·</w:t>
      </w:r>
      <w:r>
        <w:rPr/>
        <w:t>10</w:t>
      </w:r>
      <w:r>
        <w:rPr>
          <w:vertAlign w:val="superscript"/>
        </w:rPr>
        <w:t>5</w:t>
      </w:r>
      <w:r>
        <w:rPr/>
        <w:t>&lt;1,2</w:t>
      </w:r>
      <w:r>
        <w:rPr>
          <w:position w:val="0"/>
          <w:sz w:val="24"/>
          <w:vertAlign w:val="baseline"/>
        </w:rPr>
        <w:t>·</w:t>
      </w:r>
      <w:r>
        <w:rPr/>
        <w:t>10</w:t>
      </w:r>
      <w:r>
        <w:rPr>
          <w:vertAlign w:val="superscript"/>
        </w:rPr>
        <w:t>6</w:t>
      </w:r>
      <w:r>
        <w:rPr/>
        <w:t xml:space="preserve"> &lt; 2</w:t>
      </w:r>
      <w:r>
        <w:rPr>
          <w:position w:val="0"/>
          <w:sz w:val="24"/>
          <w:vertAlign w:val="baseline"/>
        </w:rPr>
        <w:t>·</w:t>
      </w:r>
      <w:r>
        <w:rPr/>
        <w:t>10</w:t>
      </w:r>
      <w:r>
        <w:rPr>
          <w:vertAlign w:val="superscript"/>
        </w:rPr>
        <w:t>7</w:t>
      </w:r>
      <w:r>
        <w:rPr/>
        <w:t>, следовательно режим движения воздуха, обтекающего нижнюю поверхность корпуса, ламинарный.</w:t>
      </w:r>
    </w:p>
    <w:p>
      <w:pPr>
        <w:pStyle w:val="Normal"/>
        <w:rPr/>
      </w:pPr>
      <w:r>
        <w:rPr/>
        <w:t>7. Рассчитываем конвективный коэффициент теплообмена для каждой поверхности по следующей формуле:</w:t>
      </w:r>
    </w:p>
    <w:p>
      <w:pPr>
        <w:pStyle w:val="MTDisplayEquation1"/>
        <w:rPr/>
      </w:pPr>
      <w:r>
        <w:rPr/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α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KВ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54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т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L</m:t>
            </m:r>
          </m:den>
        </m:f>
        <m:r>
          <w:rPr>
            <w:rFonts w:ascii="Cambria Math" w:hAnsi="Cambria Math"/>
          </w:rPr>
          <m:t xml:space="preserve">(</m:t>
        </m:r>
        <m:r>
          <m:rPr>
            <m:lit/>
            <m:nor/>
          </m:rPr>
          <w:rPr>
            <w:rFonts w:ascii="Cambria Math" w:hAnsi="Cambria Math"/>
          </w:rPr>
          <m:t xml:space="preserve">Gr</m:t>
        </m:r>
        <m:r>
          <m:rPr>
            <m:lit/>
            <m:nor/>
          </m:rPr>
          <w:rPr>
            <w:rFonts w:ascii="Cambria Math" w:hAnsi="Cambria Math"/>
          </w:rPr>
          <m:t xml:space="preserve">Pr</m:t>
        </m:r>
        <m:sSup>
          <m:e>
            <m:r>
              <w:rPr>
                <w:rFonts w:ascii="Cambria Math" w:hAnsi="Cambria Math"/>
              </w:rPr>
              <m:t xml:space="preserve">)</m:t>
            </m:r>
          </m:e>
          <m:sup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4</m:t>
                </m:r>
              </m:den>
            </m:f>
          </m:sup>
        </m:sSup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В</m:t>
            </m:r>
          </m:sub>
        </m:sSub>
      </m:oMath>
      <w:r>
        <w:rPr/>
        <w:tab/>
        <w:t>(4.7)</w:t>
      </w:r>
    </w:p>
    <w:p>
      <w:pPr>
        <w:pStyle w:val="Normal"/>
        <w:rPr/>
      </w:pPr>
      <w:r>
        <w:rPr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т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71</m:t>
        </m:r>
        <m:r>
          <w:rPr>
            <w:rFonts w:ascii="Cambria Math" w:hAnsi="Cambria Math"/>
          </w:rPr>
          <m:t xml:space="preserve">∗</m:t>
        </m:r>
        <m:sSup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sup>
        </m:sSup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Вт</m:t>
            </m:r>
          </m:num>
          <m:den>
            <m:r>
              <w:rPr>
                <w:rFonts w:ascii="Cambria Math" w:hAnsi="Cambria Math"/>
              </w:rPr>
              <m:t xml:space="preserve">м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К</m:t>
            </m:r>
          </m:den>
        </m:f>
      </m:oMath>
      <w:r>
        <w:rPr/>
        <w:t xml:space="preserve"> - теплопроводность воздуха,</w:t>
      </w:r>
    </w:p>
    <w:p>
      <w:pPr>
        <w:pStyle w:val="Normal"/>
        <w:rPr/>
      </w:pPr>
      <w:r>
        <w:rPr/>
        <w:t>N</w:t>
      </w:r>
      <w:r>
        <w:rPr>
          <w:vertAlign w:val="subscript"/>
        </w:rPr>
        <w:t>В</w:t>
      </w:r>
      <w:r>
        <w:rPr/>
        <w:t xml:space="preserve"> - коэффициент, учитывающий ориентацию блока:</w:t>
      </w:r>
    </w:p>
    <w:p>
      <w:pPr>
        <w:pStyle w:val="Normal"/>
        <w:rPr/>
      </w:pPr>
      <w:r>
        <w:rPr/>
        <w:t>- верхняя  поверхность: 1,3;</w:t>
      </w:r>
    </w:p>
    <w:p>
      <w:pPr>
        <w:pStyle w:val="Normal"/>
        <w:rPr/>
      </w:pPr>
      <w:r>
        <w:rPr/>
        <w:t>- нижняя поверхность: 0,7;</w:t>
      </w:r>
    </w:p>
    <w:p>
      <w:pPr>
        <w:pStyle w:val="Normal"/>
        <w:rPr/>
      </w:pPr>
      <w:r>
        <w:rPr/>
        <w:t xml:space="preserve">- передняя и задняя поверхности: 0,1. </w:t>
      </w:r>
    </w:p>
    <w:p>
      <w:pPr>
        <w:pStyle w:val="MTDisplayEquation1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α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KВ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0,54</m:t>
        </m:r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2,71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0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028</m:t>
            </m:r>
          </m:den>
        </m:f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6,8</m:t>
        </m:r>
        <m:r>
          <w:rPr>
            <w:rFonts w:ascii="Cambria Math" w:hAnsi="Cambria Math"/>
          </w:rPr>
          <m:t xml:space="preserve">⋅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5</m:t>
            </m:r>
          </m:sup>
        </m:sSup>
        <m:sSup>
          <m:e>
            <m:r>
              <w:rPr>
                <w:rFonts w:ascii="Cambria Math" w:hAnsi="Cambria Math"/>
              </w:rPr>
              <m:t xml:space="preserve">)</m:t>
            </m:r>
          </m:e>
          <m:sup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4</m:t>
                </m:r>
              </m:den>
            </m:f>
          </m:sup>
        </m:sSup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1,3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19,5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Вт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м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К</m:t>
            </m:r>
          </m:den>
        </m:f>
      </m:oMath>
      <w:r>
        <w:rPr/>
        <w:t xml:space="preserve"> </w:t>
      </w:r>
      <w:r>
        <w:rPr/>
        <w:t xml:space="preserve">- для верхней поверхности корпуса 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α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KН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0,54</m:t>
        </m:r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2,71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0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028</m:t>
            </m:r>
          </m:den>
        </m:f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2,2</m:t>
        </m:r>
        <m:r>
          <w:rPr>
            <w:rFonts w:ascii="Cambria Math" w:hAnsi="Cambria Math"/>
          </w:rPr>
          <m:t xml:space="preserve">⋅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5</m:t>
            </m:r>
          </m:sup>
        </m:sSup>
        <m:sSup>
          <m:e>
            <m:r>
              <w:rPr>
                <w:rFonts w:ascii="Cambria Math" w:hAnsi="Cambria Math"/>
              </w:rPr>
              <m:t xml:space="preserve">)</m:t>
            </m:r>
          </m:e>
          <m:sup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4</m:t>
                </m:r>
              </m:den>
            </m:f>
          </m:sup>
        </m:sSup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0,1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1,1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Вт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м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К</m:t>
            </m:r>
          </m:den>
        </m:f>
      </m:oMath>
      <w:r>
        <w:rPr/>
        <w:t xml:space="preserve"> </w:t>
      </w:r>
      <w:r>
        <w:rPr/>
        <w:t>- для нижней поверхности корпуса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α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KБ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0,54</m:t>
        </m:r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2,71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0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028</m:t>
            </m:r>
          </m:den>
        </m:f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5,7</m:t>
        </m:r>
        <m:r>
          <w:rPr>
            <w:rFonts w:ascii="Cambria Math" w:hAnsi="Cambria Math"/>
          </w:rPr>
          <m:t xml:space="preserve">⋅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5</m:t>
            </m:r>
          </m:sup>
        </m:sSup>
        <m:sSup>
          <m:e>
            <m:r>
              <w:rPr>
                <w:rFonts w:ascii="Cambria Math" w:hAnsi="Cambria Math"/>
              </w:rPr>
              <m:t xml:space="preserve">)</m:t>
            </m:r>
          </m:e>
          <m:sup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4</m:t>
                </m:r>
              </m:den>
            </m:f>
          </m:sup>
        </m:sSup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0,7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10,0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Вт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м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К</m:t>
            </m:r>
          </m:den>
        </m:f>
      </m:oMath>
      <w:r>
        <w:rPr/>
        <w:t xml:space="preserve"> </w:t>
      </w:r>
      <w:r>
        <w:rPr/>
        <w:t>- для боковых, передней и задней поверхностей корпуса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t>Определяем тепловую проводимость между поверхностью корпуса и окружающей средой:</w:t>
      </w:r>
    </w:p>
    <w:p>
      <w:pPr>
        <w:pStyle w:val="MTDisplayEquation1"/>
        <w:rPr/>
      </w:pPr>
      <w:r>
        <w:rPr/>
        <w:tab/>
      </w:r>
      <w:r>
        <w:rPr/>
        <w:object>
          <v:shape id="ole_rId39" style="width:249.75pt;height:18pt" o:ole="">
            <v:imagedata r:id="rId40" o:title=""/>
          </v:shape>
          <o:OLEObject Type="Embed" ProgID="" ShapeID="ole_rId39" DrawAspect="Content" ObjectID="_1790376677" r:id="rId39"/>
        </w:object>
      </w:r>
      <w:r>
        <w:rPr/>
        <w:tab/>
        <w:t>(4.8)</w:t>
      </w:r>
    </w:p>
    <w:p>
      <w:pPr>
        <w:pStyle w:val="Normal"/>
        <w:jc w:val="left"/>
        <w:rPr/>
      </w:pPr>
      <w:r>
        <w:rPr/>
        <w:t>Подставив имеющиеся значения в (4,17), получим:</w:t>
      </w:r>
    </w:p>
    <w:p>
      <w:pPr>
        <w:pStyle w:val="Normal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σ</m:t>
            </m:r>
          </m:e>
          <m:sub>
            <m:r>
              <w:rPr>
                <w:rFonts w:ascii="Cambria Math" w:hAnsi="Cambria Math"/>
              </w:rPr>
              <m:t xml:space="preserve">К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19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6.12</m:t>
            </m:r>
          </m:e>
        </m:d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0,001224</m:t>
        </m:r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1,1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6.12</m:t>
            </m:r>
          </m:e>
        </m:d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0,0009</m:t>
        </m:r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10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6.12</m:t>
            </m:r>
          </m:e>
        </m:d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0,00085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0,051</m:t>
        </m:r>
        <m:f>
          <m:num>
            <m:r>
              <w:rPr>
                <w:rFonts w:ascii="Cambria Math" w:hAnsi="Cambria Math"/>
              </w:rPr>
              <m:t xml:space="preserve">Вт</m:t>
            </m:r>
          </m:num>
          <m:den>
            <m:r>
              <w:rPr>
                <w:rFonts w:ascii="Cambria Math" w:hAnsi="Cambria Math"/>
              </w:rPr>
              <m:t xml:space="preserve">К</m:t>
            </m:r>
          </m:den>
        </m:f>
      </m:oMath>
    </w:p>
    <w:p>
      <w:pPr>
        <w:pStyle w:val="Normal"/>
        <w:jc w:val="left"/>
        <w:rPr/>
      </w:pPr>
      <w:r>
        <w:rPr/>
        <w:t>Определяем температуру перегрева корпуса во втором приближении:</w:t>
      </w:r>
    </w:p>
    <w:p>
      <w:pPr>
        <w:pStyle w:val="MTDisplayEquation1"/>
        <w:rPr/>
      </w:pPr>
      <w:r>
        <w:rPr/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Δt</m:t>
            </m:r>
          </m:e>
          <m:sub>
            <m:r>
              <w:rPr>
                <w:rFonts w:ascii="Cambria Math" w:hAnsi="Cambria Math"/>
              </w:rPr>
              <m:t xml:space="preserve">к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0,2</m:t>
            </m:r>
          </m:num>
          <m:den>
            <m:r>
              <w:rPr>
                <w:rFonts w:ascii="Cambria Math" w:hAnsi="Cambria Math"/>
              </w:rPr>
              <m:t xml:space="preserve">0,051</m:t>
            </m:r>
          </m:den>
        </m:f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3,9</m:t>
            </m:r>
          </m:e>
          <m:sup>
            <m:r>
              <w:rPr>
                <w:rFonts w:ascii="Cambria Math" w:hAnsi="Cambria Math"/>
              </w:rPr>
              <m:t xml:space="preserve">∘</m:t>
            </m:r>
          </m:sup>
        </m:sSup>
        <m:r>
          <w:rPr>
            <w:rFonts w:ascii="Cambria Math" w:hAnsi="Cambria Math"/>
          </w:rPr>
          <m:t xml:space="preserve">С</m:t>
        </m:r>
      </m:oMath>
      <w:r>
        <w:rPr/>
        <w:tab/>
        <w:t>(4.9)</w:t>
      </w:r>
    </w:p>
    <w:p>
      <w:pPr>
        <w:pStyle w:val="Normal"/>
        <w:rPr/>
      </w:pPr>
      <w:r>
        <w:rPr/>
        <w:t>Ошибка определения температуры корпуса</w:t>
      </w:r>
    </w:p>
    <w:p>
      <w:pPr>
        <w:pStyle w:val="Normal"/>
        <w:ind w:left="0" w:right="0" w:hanging="0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=</m:t>
        </m:r>
        <m:f>
          <m:num>
            <m:d>
              <m:dPr>
                <m:begChr m:val="|"/>
                <m:endChr m:val="|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Δt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к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.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Δt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к</m:t>
                    </m:r>
                  </m:sub>
                </m:sSub>
              </m:e>
            </m:d>
          </m:num>
          <m:den>
            <m:sSub>
              <m:e>
                <m:r>
                  <w:rPr>
                    <w:rFonts w:ascii="Cambria Math" w:hAnsi="Cambria Math"/>
                  </w:rPr>
                  <m:t xml:space="preserve">Δt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d>
              <m:dPr>
                <m:begChr m:val="|"/>
                <m:endChr m:val="|"/>
              </m:dPr>
              <m:e>
                <m:r>
                  <w:rPr>
                    <w:rFonts w:ascii="Cambria Math" w:hAnsi="Cambria Math"/>
                  </w:rPr>
                  <m:t xml:space="preserve">3,9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3,9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0,026</m:t>
        </m:r>
      </m:oMath>
    </w:p>
    <w:p>
      <w:pPr>
        <w:pStyle w:val="Normal"/>
        <w:rPr/>
      </w:pPr>
      <w:r>
        <w:rPr/>
        <w:t xml:space="preserve">Значение ошибки находится в допустимых пределах </w:t>
      </w:r>
      <w:r>
        <w:rPr/>
        <w:object>
          <v:shape id="ole_rId41" style="width:36.75pt;height:15.75pt" o:ole="">
            <v:imagedata r:id="rId42" o:title=""/>
          </v:shape>
          <o:OLEObject Type="Embed" ProgID="" ShapeID="ole_rId41" DrawAspect="Content" ObjectID="_1841700453" r:id="rId41"/>
        </w:object>
      </w:r>
      <w:r>
        <w:rPr/>
        <w:t xml:space="preserve">, значит значение </w:t>
      </w:r>
      <w:r>
        <w:rPr/>
        <w:object>
          <v:shape id="ole_rId43" style="width:18.75pt;height:18pt" o:ole="">
            <v:imagedata r:id="rId44" o:title=""/>
          </v:shape>
          <o:OLEObject Type="Embed" ProgID="" ShapeID="ole_rId43" DrawAspect="Content" ObjectID="_655466236" r:id="rId43"/>
        </w:object>
      </w:r>
      <w:r>
        <w:rPr/>
        <w:t xml:space="preserve"> было подобрано правильно.</w:t>
      </w:r>
    </w:p>
    <w:p>
      <w:pPr>
        <w:pStyle w:val="Normal"/>
        <w:rPr/>
      </w:pPr>
      <w:r>
        <w:rPr/>
        <w:t>Определяем температуру корпуса:</w:t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к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Δt</m:t>
            </m:r>
          </m:e>
          <m:sub>
            <m:r>
              <w:rPr>
                <w:rFonts w:ascii="Cambria Math" w:hAnsi="Cambria Math"/>
              </w:rPr>
              <m:t xml:space="preserve">к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70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3,9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73,9</m:t>
            </m:r>
          </m:e>
          <m:sup>
            <m:r>
              <w:rPr>
                <w:rFonts w:ascii="Cambria Math" w:hAnsi="Cambria Math"/>
              </w:rPr>
              <m:t xml:space="preserve">∘</m:t>
            </m:r>
          </m:sup>
        </m:sSup>
        <m:r>
          <w:rPr>
            <w:rFonts w:ascii="Cambria Math" w:hAnsi="Cambria Math"/>
          </w:rPr>
          <m:t xml:space="preserve">C</m:t>
        </m:r>
      </m:oMath>
      <w:r>
        <w:rPr/>
        <w:t>.</w:t>
      </w:r>
    </w:p>
    <w:p>
      <w:pPr>
        <w:pStyle w:val="Normal"/>
        <w:rPr/>
      </w:pPr>
      <w:r>
        <w:rPr/>
      </w:r>
    </w:p>
    <w:p>
      <w:pPr>
        <w:pStyle w:val="22"/>
        <w:rPr/>
      </w:pPr>
      <w:bookmarkStart w:id="77" w:name="_Toc325070555"/>
      <w:bookmarkEnd w:id="77"/>
      <w:r>
        <w:rPr/>
        <w:t>4.6.3.2 Расчет температуры элемента</w:t>
      </w:r>
    </w:p>
    <w:p>
      <w:pPr>
        <w:pStyle w:val="Normal"/>
        <w:rPr/>
      </w:pPr>
      <w:r>
        <w:rPr>
          <w:position w:val="-23"/>
        </w:rPr>
        <w:t xml:space="preserve">Для блока рассчитаем температуру самого мощного элемента: микросхемы </w:t>
      </w:r>
      <w:r>
        <w:rPr>
          <w:position w:val="-23"/>
          <w:lang w:val="en-US"/>
        </w:rPr>
        <w:t>ATtiny</w:t>
      </w:r>
      <w:r>
        <w:rPr>
          <w:position w:val="-23"/>
        </w:rPr>
        <w:t>2</w:t>
      </w:r>
      <w:r>
        <w:rPr>
          <w:position w:val="-23"/>
        </w:rPr>
        <w:t>4</w:t>
      </w:r>
      <w:r>
        <w:rPr>
          <w:position w:val="-23"/>
          <w:lang w:val="en-US"/>
        </w:rPr>
        <w:t>V</w:t>
      </w:r>
      <w:r>
        <w:rPr>
          <w:position w:val="-23"/>
        </w:rPr>
        <w:t>-10</w:t>
      </w:r>
      <w:r>
        <w:rPr>
          <w:position w:val="-23"/>
          <w:lang w:val="en-US"/>
        </w:rPr>
        <w:t>SU</w:t>
      </w:r>
      <w:r>
        <w:rPr>
          <w:position w:val="-23"/>
        </w:rPr>
        <w:t>.</w:t>
      </w:r>
    </w:p>
    <w:p>
      <w:pPr>
        <w:pStyle w:val="Normal"/>
        <w:rPr>
          <w:position w:val="-23"/>
        </w:rPr>
      </w:pPr>
      <w:r>
        <w:rPr>
          <w:position w:val="-23"/>
        </w:rPr>
        <w:t>Площадь поверхности микросхемы:</w:t>
      </w:r>
    </w:p>
    <w:p>
      <w:pPr>
        <w:pStyle w:val="MTDisplayEquation1"/>
        <w:rPr/>
      </w:pPr>
      <w:r>
        <w:rPr/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w:rPr>
                <w:rFonts w:ascii="Cambria Math" w:hAnsi="Cambria Math"/>
              </w:rPr>
              <m:t xml:space="preserve">пов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ab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ah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bh</m:t>
        </m:r>
      </m:oMath>
      <w:r>
        <w:rPr/>
        <w:tab/>
        <w:t>(4.10)</w:t>
      </w:r>
    </w:p>
    <w:p>
      <w:pPr>
        <w:pStyle w:val="MTDisplayEquation1"/>
        <w:rPr/>
      </w:pPr>
      <w:r>
        <w:rPr/>
        <w:t>где:</w:t>
      </w:r>
    </w:p>
    <w:p>
      <w:pPr>
        <w:pStyle w:val="MTDisplayEquation1"/>
        <w:rPr/>
      </w:pPr>
      <w:r>
        <w:rPr>
          <w:lang w:val="en-US"/>
        </w:rPr>
        <w:t>a</w:t>
      </w:r>
      <w:r>
        <w:rPr/>
        <w:t xml:space="preserve"> – длина микросхемы: </w:t>
      </w:r>
      <w:r>
        <w:rPr/>
        <w:t>8,6</w:t>
      </w:r>
      <w:r>
        <w:rPr/>
        <w:t xml:space="preserve"> мм;</w:t>
      </w:r>
    </w:p>
    <w:p>
      <w:pPr>
        <w:pStyle w:val="MTDisplayEquation1"/>
        <w:rPr/>
      </w:pPr>
      <w:r>
        <w:rPr>
          <w:lang w:val="en-US"/>
        </w:rPr>
        <w:t>b</w:t>
      </w:r>
      <w:r>
        <w:rPr/>
        <w:t xml:space="preserve"> – ширина микросхемы: </w:t>
      </w:r>
      <w:r>
        <w:rPr/>
        <w:t>3,9</w:t>
      </w:r>
      <w:r>
        <w:rPr/>
        <w:t xml:space="preserve"> мм;</w:t>
      </w:r>
    </w:p>
    <w:p>
      <w:pPr>
        <w:pStyle w:val="MTDisplayEquation1"/>
        <w:rPr/>
      </w:pPr>
      <w:r>
        <w:rPr>
          <w:lang w:val="en-US"/>
        </w:rPr>
        <w:t>h</w:t>
      </w:r>
      <w:r>
        <w:rPr/>
        <w:t xml:space="preserve"> – высота микросхемы: 1,</w:t>
      </w:r>
      <w:r>
        <w:rPr/>
        <w:t>5</w:t>
      </w:r>
      <w:r>
        <w:rPr/>
        <w:t xml:space="preserve"> мм.</w:t>
      </w:r>
    </w:p>
    <w:p>
      <w:pPr>
        <w:pStyle w:val="MTDisplayEquation1"/>
        <w:rPr/>
      </w:pPr>
      <w:r>
        <w:rPr/>
        <w:t>Подставив имеющиеся значения в (4.10) получим:</w:t>
      </w:r>
    </w:p>
    <w:p>
      <w:pPr>
        <w:pStyle w:val="MTDisplayEquation1"/>
        <w:ind w:left="0" w:right="0" w:hanging="0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w:rPr>
                <w:rFonts w:ascii="Cambria Math" w:hAnsi="Cambria Math"/>
              </w:rPr>
              <m:t xml:space="preserve">пов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10,5</m:t>
        </m:r>
        <m:sSup>
          <m:e>
            <m:r>
              <w:rPr>
                <w:rFonts w:ascii="Cambria Math" w:hAnsi="Cambria Math"/>
              </w:rPr>
              <m:t xml:space="preserve">∙</m:t>
            </m:r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6</m:t>
            </m:r>
          </m:sup>
        </m:sSup>
      </m:oMath>
      <w:r>
        <w:rPr/>
        <w:t xml:space="preserve"> </w:t>
      </w:r>
      <w:r>
        <w:rPr/>
        <w:t>м</w:t>
      </w:r>
      <w:r>
        <w:rPr>
          <w:vertAlign w:val="superscript"/>
        </w:rPr>
        <w:t>2</w:t>
      </w:r>
    </w:p>
    <w:p>
      <w:pPr>
        <w:pStyle w:val="Normal"/>
        <w:rPr/>
      </w:pPr>
      <w:r>
        <w:rPr/>
        <w:t>Определяем эквивалентный коэффициент теплопроводности. Поскольку тепловых шин на плате нет, то принимаем: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экв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пп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0,3</m:t>
        </m:r>
        <m:f>
          <m:num>
            <m:r>
              <w:rPr>
                <w:rFonts w:ascii="Cambria Math" w:hAnsi="Cambria Math"/>
              </w:rPr>
              <m:t xml:space="preserve">Вт</m:t>
            </m:r>
          </m:num>
          <m:den>
            <m:r>
              <w:rPr>
                <w:rFonts w:ascii="Cambria Math" w:hAnsi="Cambria Math"/>
              </w:rPr>
              <m:t xml:space="preserve">м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К</m:t>
            </m:r>
          </m:den>
        </m:f>
      </m:oMath>
      <w:r>
        <w:rPr/>
        <w:t>.</w:t>
      </w:r>
    </w:p>
    <w:p>
      <w:pPr>
        <w:pStyle w:val="Normal"/>
        <w:rPr/>
      </w:pPr>
      <w:r>
        <w:rPr/>
        <w:t>Определяем коэффициент распространения теплового потока: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dλ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экв</m:t>
                    </m:r>
                  </m:sub>
                </m:sSub>
              </m:den>
            </m:f>
          </m:e>
        </m:rad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17</m:t>
                </m:r>
              </m:num>
              <m:den>
                <m:r>
                  <w:rPr>
                    <w:rFonts w:ascii="Cambria Math" w:hAnsi="Cambria Math"/>
                  </w:rPr>
                  <m:t xml:space="preserve">0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001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0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3</m:t>
                </m:r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168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32</m:t>
        </m:r>
      </m:oMath>
      <w:r>
        <w:rPr/>
        <w:t>.</w:t>
      </w:r>
    </w:p>
    <w:p>
      <w:pPr>
        <w:pStyle w:val="Normal"/>
        <w:rPr/>
      </w:pPr>
      <w:r>
        <w:rPr/>
        <w:object>
          <v:shape id="ole_rId45" style="width:38.25pt;height:18.75pt" o:ole="">
            <v:imagedata r:id="rId46" o:title=""/>
          </v:shape>
          <o:OLEObject Type="Embed" ProgID="" ShapeID="ole_rId45" DrawAspect="Content" ObjectID="_1189408865" r:id="rId45"/>
        </w:object>
      </w:r>
      <w:r>
        <w:rPr/>
        <w:t xml:space="preserve">- коэффициенты теплообмена платы с одной и с другой стороны. </w:t>
      </w:r>
    </w:p>
    <w:p>
      <w:pPr>
        <w:pStyle w:val="Normal"/>
        <w:rPr/>
      </w:pPr>
      <w:r>
        <w:rPr/>
        <w:t xml:space="preserve">Для случая естественного охлаждения </w:t>
      </w:r>
      <w:r>
        <w:rPr/>
        <w:drawing>
          <wp:inline distT="0" distB="0" distL="0" distR="0">
            <wp:extent cx="1219200" cy="390525"/>
            <wp:effectExtent l="0" t="0" r="0" b="0"/>
            <wp:docPr id="18" name="Рисунок 2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7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>.</w:t>
      </w:r>
    </w:p>
    <w:p>
      <w:pPr>
        <w:pStyle w:val="Normal"/>
        <w:rPr/>
      </w:pPr>
      <w:r>
        <w:rPr/>
        <w:t xml:space="preserve">Определяем температуру перегрева корпуса </w:t>
      </w:r>
      <w:r>
        <w:rPr/>
        <w:t>микроконтроллера</w:t>
      </w:r>
      <w:r>
        <w:rPr/>
        <w:t xml:space="preserve">:  </w:t>
      </w:r>
    </w:p>
    <w:p>
      <w:pPr>
        <w:pStyle w:val="Normal"/>
        <w:rPr/>
      </w:pPr>
      <w:r>
        <w:rPr/>
      </w:r>
      <m:oMath xmlns:m="http://schemas.openxmlformats.org/officeDocument/2006/math">
        <m:r>
          <m:rPr>
            <m:lit/>
            <m:nor/>
          </m:rPr>
          <w:rPr>
            <w:rFonts w:ascii="Cambria Math" w:hAnsi="Cambria Math"/>
          </w:rPr>
          <m:t xml:space="preserve">Δt</m:t>
        </m:r>
        <m:r>
          <m:rPr>
            <m:lit/>
            <m:nor/>
          </m:rPr>
          <w:rPr>
            <w:rFonts w:ascii="Cambria Math" w:hAnsi="Cambria Math"/>
          </w:rPr>
          <m:t xml:space="preserve">ис</m:t>
        </m: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Δt</m:t>
        </m:r>
        <m:r>
          <w:rPr>
            <w:rFonts w:ascii="Cambria Math" w:hAnsi="Cambria Math"/>
          </w:rPr>
          <m:t xml:space="preserve">в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k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Q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ис</m:t>
                </m:r>
              </m:num>
              <m:den>
                <m:r>
                  <w:rPr>
                    <w:rFonts w:ascii="Cambria Math" w:hAnsi="Cambria Math"/>
                  </w:rPr>
                  <m:t xml:space="preserve">к</m:t>
                </m:r>
                <m:r>
                  <w:rPr>
                    <w:rFonts w:ascii="Cambria Math" w:hAnsi="Cambria Math"/>
                  </w:rPr>
                  <m:t xml:space="preserve">α</m:t>
                </m:r>
                <m:r>
                  <w:rPr>
                    <w:rFonts w:ascii="Cambria Math" w:hAnsi="Cambria Math"/>
                  </w:rPr>
                  <m:t xml:space="preserve">⋅</m:t>
                </m:r>
                <m:r>
                  <w:rPr>
                    <w:rFonts w:ascii="Cambria Math" w:hAnsi="Cambria Math"/>
                  </w:rPr>
                  <m:t xml:space="preserve">(</m:t>
                </m:r>
                <m:r>
                  <w:rPr>
                    <w:rFonts w:ascii="Cambria Math" w:hAnsi="Cambria Math"/>
                  </w:rPr>
                  <m:t xml:space="preserve">S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иc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S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0ис</m:t>
                </m:r>
                <m:r>
                  <w:rPr>
                    <w:rFonts w:ascii="Cambria Math" w:hAnsi="Cambria Math"/>
                  </w:rPr>
                  <m:t xml:space="preserve">)</m:t>
                </m:r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1</m:t>
                    </m:r>
                  </m:num>
                  <m:den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δ</m:t>
                        </m:r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λ</m:t>
                        </m:r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r>
                          <w:rPr>
                            <w:rFonts w:ascii="Cambria Math" w:hAnsi="Cambria Math"/>
                          </w:rPr>
                          <m:t xml:space="preserve">π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sSu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M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r>
                          <w:rPr>
                            <w:rFonts w:ascii="Cambria Math" w:hAnsi="Cambria Math"/>
                          </w:rPr>
                          <m:t xml:space="preserve">π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r>
                          <w:rPr>
                            <w:rFonts w:ascii="Cambria Math" w:hAnsi="Cambria Math"/>
                          </w:rPr>
                          <m:t xml:space="preserve">λ</m:t>
                        </m:r>
                        <m:r>
                          <m:rPr>
                            <m:lit/>
                            <m:nor/>
                          </m:rPr>
                          <w:rPr>
                            <w:rFonts w:ascii="Cambria Math" w:hAnsi="Cambria Math"/>
                          </w:rPr>
                          <m:t xml:space="preserve">экв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r>
                          <w:rPr>
                            <w:rFonts w:ascii="Cambria Math" w:hAnsi="Cambria Math"/>
                          </w:rPr>
                          <m:t xml:space="preserve">δ</m:t>
                        </m:r>
                        <m:r>
                          <w:rPr>
                            <w:rFonts w:ascii="Cambria Math" w:hAnsi="Cambria Math"/>
                          </w:rPr>
                          <m:t xml:space="preserve">п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r>
                          <w:rPr>
                            <w:rFonts w:ascii="Cambria Math" w:hAnsi="Cambria Math"/>
                          </w:rPr>
                          <m:t xml:space="preserve">m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K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(</m:t>
                            </m:r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mR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K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(</m:t>
                            </m:r>
                            <m:r>
                              <m:rPr>
                                <m:lit/>
                                <m:nor/>
                              </m:rPr>
                              <w:rPr>
                                <w:rFonts w:ascii="Cambria Math" w:hAnsi="Cambria Math"/>
                              </w:rPr>
                              <m:t xml:space="preserve">mR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)</m:t>
                            </m:r>
                          </m:den>
                        </m:f>
                      </m:den>
                    </m:f>
                  </m:den>
                </m:f>
              </m:den>
            </m:f>
          </m:e>
        </m:d>
        <m:r>
          <w:rPr>
            <w:rFonts w:ascii="Cambria Math" w:hAnsi="Cambria Math"/>
          </w:rPr>
          <m:t xml:space="preserve">+</m:t>
        </m:r>
      </m:oMath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f>
              <m:num>
                <m:r>
                  <w:rPr>
                    <w:rFonts w:ascii="Cambria Math" w:hAnsi="Cambria Math"/>
                  </w:rPr>
                  <m:t xml:space="preserve">Q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исi</m:t>
                </m:r>
                <m:f>
                  <m:num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K0</m:t>
                    </m:r>
                    <m:r>
                      <w:rPr>
                        <w:rFonts w:ascii="Cambria Math" w:hAnsi="Cambria Math"/>
                      </w:rPr>
                      <m:t xml:space="preserve">(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mr</m:t>
                    </m:r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)</m:t>
                    </m:r>
                  </m:num>
                  <m:den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K0</m:t>
                    </m:r>
                    <m:r>
                      <w:rPr>
                        <w:rFonts w:ascii="Cambria Math" w:hAnsi="Cambria Math"/>
                      </w:rPr>
                      <m:t xml:space="preserve">(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mR</m:t>
                    </m:r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)</m:t>
                    </m:r>
                  </m:den>
                </m:f>
              </m:num>
              <m:den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α</m:t>
                </m:r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⋅</m:t>
                </m:r>
                <m:r>
                  <w:rPr>
                    <w:rFonts w:ascii="Cambria Math" w:hAnsi="Cambria Math"/>
                  </w:rPr>
                  <m:t xml:space="preserve">(</m:t>
                </m:r>
                <m:r>
                  <w:rPr>
                    <w:rFonts w:ascii="Cambria Math" w:hAnsi="Cambria Math"/>
                  </w:rPr>
                  <m:t xml:space="preserve">S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исi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S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0исi</m:t>
                </m:r>
                <m:r>
                  <w:rPr>
                    <w:rFonts w:ascii="Cambria Math" w:hAnsi="Cambria Math"/>
                  </w:rPr>
                  <m:t xml:space="preserve">)</m:t>
                </m:r>
                <m:r>
                  <w:rPr>
                    <w:rFonts w:ascii="Cambria Math" w:hAnsi="Cambria Math"/>
                  </w:rPr>
                  <m:t xml:space="preserve">⋅</m:t>
                </m:r>
                <m:d>
                  <m:dPr>
                    <m:begChr m:val=""/>
                    <m:endChr m:val="}"/>
                  </m:dPr>
                  <m:e>
                    <m:d>
                      <m:dPr>
                        <m:begChr m:val="{"/>
                        <m:endChr m:val="}"/>
                      </m:dPr>
                      <m:e>
                        <m:d>
                          <m:dPr>
                            <m:begChr m:val="{"/>
                            <m:endChr m:val="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d>
                              <m:dPr>
                                <m:begChr m:val="["/>
                                <m:endChr m:val="]"/>
                              </m:dPr>
                              <m:e>
                                <m:f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δ</m:t>
                                    </m:r>
                                    <m:r>
                                      <m:rPr>
                                        <m:lit/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3i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λ</m:t>
                                    </m:r>
                                    <m:r>
                                      <m:rPr>
                                        <m:lit/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3i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+</m:t>
                                </m:r>
                                <m:f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k</m:t>
                                    </m:r>
                                    <m:r>
                                      <m:rPr>
                                        <m:lit/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αi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⋅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(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S</m:t>
                                    </m:r>
                                    <m:r>
                                      <m:rPr>
                                        <m:lit/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исi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−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S</m:t>
                                    </m:r>
                                    <m:r>
                                      <m:rPr>
                                        <m:lit/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0исi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)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×</m:t>
                            </m: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B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i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+</m:t>
                                </m:r>
                                <m:r>
                                  <m:rPr>
                                    <m:lit/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MπR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i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λ</m:t>
                                </m:r>
                                <m:r>
                                  <m:rPr>
                                    <m:lit/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экв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п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m</m:t>
                                </m:r>
                                <m:f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K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(</m:t>
                                    </m:r>
                                    <m:r>
                                      <m:rPr>
                                        <m:lit/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mRi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K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0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(</m:t>
                                    </m:r>
                                    <m:r>
                                      <m:rPr>
                                        <m:lit/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mRi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)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</m:e>
                    </m:d>
                  </m:e>
                </m:d>
              </m:den>
            </m:f>
          </m:e>
        </m:nary>
      </m:oMath>
      <w:r>
        <w:rPr/>
        <w:t>,</w:t>
      </w:r>
    </w:p>
    <w:p>
      <w:pPr>
        <w:pStyle w:val="Normal"/>
        <w:rPr/>
      </w:pPr>
      <w:r>
        <w:rPr/>
        <w:t xml:space="preserve">где </w:t>
      </w:r>
      <w:r>
        <w:rPr/>
        <w:object>
          <v:shape id="ole_rId48" style="width:18pt;height:18pt" o:ole="">
            <v:imagedata r:id="rId49" o:title=""/>
          </v:shape>
          <o:OLEObject Type="Embed" ProgID="" ShapeID="ole_rId48" DrawAspect="Content" ObjectID="_29002368" r:id="rId48"/>
        </w:object>
      </w:r>
      <w:r>
        <w:rPr/>
        <w:t xml:space="preserve"> - температура перегрева воздуха в блоке: </w:t>
      </w:r>
      <w:r>
        <w:rPr/>
        <w:t>3,9</w:t>
      </w:r>
      <w:r>
        <w:rPr/>
        <w:t xml:space="preserve"> </w:t>
      </w:r>
      <w:r>
        <w:rPr/>
        <w:object>
          <v:shape id="ole_rId50" style="width:15pt;height:15.75pt" o:ole="">
            <v:imagedata r:id="rId51" o:title=""/>
          </v:shape>
          <o:OLEObject Type="Embed" ProgID="" ShapeID="ole_rId50" DrawAspect="Content" ObjectID="_759977045" r:id="rId50"/>
        </w:object>
      </w:r>
      <w:r>
        <w:rPr/>
        <w:t>,</w:t>
      </w:r>
    </w:p>
    <w:p>
      <w:pPr>
        <w:pStyle w:val="Normal"/>
        <w:rPr/>
      </w:pPr>
      <w:r>
        <w:rPr/>
        <w:t>Q</w:t>
      </w:r>
      <w:r>
        <w:rPr>
          <w:vertAlign w:val="subscript"/>
        </w:rPr>
        <w:t>ЭРЭi</w:t>
      </w:r>
      <w:r>
        <w:rPr/>
        <w:t xml:space="preserve"> - мощности ЭРЭ, которые окружают исследуемый</w:t>
      </w:r>
    </w:p>
    <w:p>
      <w:pPr>
        <w:pStyle w:val="Normal"/>
        <w:rPr/>
      </w:pPr>
      <w:r>
        <w:rPr/>
        <w:t xml:space="preserve">N = </w:t>
      </w:r>
      <w:r>
        <w:rPr/>
        <w:t>12</w:t>
      </w:r>
      <w:r>
        <w:rPr/>
        <w:t xml:space="preserve"> - число ЭРЭ, располагающихся вокруг рассчитываемой микросхемы на расстоянии не более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4</m:t>
            </m:r>
          </m:num>
          <m:den>
            <m:r>
              <w:rPr>
                <w:rFonts w:ascii="Cambria Math" w:hAnsi="Cambria Math"/>
              </w:rPr>
              <m:t xml:space="preserve">m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4</m:t>
            </m:r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168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32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022</m:t>
        </m:r>
        <m:r>
          <w:rPr>
            <w:rFonts w:ascii="Cambria Math" w:hAnsi="Cambria Math"/>
          </w:rPr>
          <m:t xml:space="preserve">м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</m:oMath>
    </w:p>
    <w:p>
      <w:pPr>
        <w:pStyle w:val="Normal"/>
        <w:rPr/>
      </w:pPr>
      <w:r>
        <w:rPr/>
        <w:t>M=2, B=8,5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πR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∗</m:t>
        </m:r>
        <m:sSup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3</m:t>
            </m:r>
          </m:sup>
        </m:sSup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Вт</m:t>
            </m:r>
          </m:num>
          <m:den>
            <m:r>
              <w:rPr>
                <w:rFonts w:ascii="Cambria Math" w:hAnsi="Cambria Math"/>
              </w:rPr>
              <m:t xml:space="preserve">К</m:t>
            </m:r>
          </m:den>
        </m:f>
      </m:oMath>
      <w:r>
        <w:rPr/>
        <w:t xml:space="preserve"> - условные коэффициенты, зависящие от типа платы </w:t>
      </w:r>
    </w:p>
    <w:p>
      <w:pPr>
        <w:pStyle w:val="Normal"/>
        <w:rPr/>
      </w:pPr>
      <w:r>
        <w:rPr/>
        <w:t>K=1 - эмпирический коэффициент</w:t>
      </w:r>
    </w:p>
    <w:p>
      <w:pPr>
        <w:pStyle w:val="Normal"/>
        <w:rPr/>
      </w:pPr>
      <w:r>
        <w:rPr/>
        <w:t>R</w:t>
      </w:r>
      <w:r>
        <w:rPr>
          <w:vertAlign w:val="subscript"/>
        </w:rPr>
        <w:t xml:space="preserve">i </w:t>
      </w:r>
      <w:r>
        <w:rPr/>
        <w:t>- расстояния до соседних ЭРЭ</w:t>
      </w:r>
    </w:p>
    <w:p>
      <w:pPr>
        <w:pStyle w:val="Normal"/>
        <w:rPr/>
      </w:pPr>
      <w:r>
        <w:rPr/>
        <w:object>
          <v:shape id="ole_rId52" style="width:20.25pt;height:18.75pt" o:ole="">
            <v:imagedata r:id="rId53" o:title=""/>
          </v:shape>
          <o:OLEObject Type="Embed" ProgID="" ShapeID="ole_rId52" DrawAspect="Content" ObjectID="_212209030" r:id="rId52"/>
        </w:object>
      </w:r>
      <w:r>
        <w:rPr/>
        <w:t>=14</w:t>
      </w:r>
      <w:r>
        <w:rPr/>
      </w:r>
      <m:oMath xmlns:m="http://schemas.openxmlformats.org/officeDocument/2006/math"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Вт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м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К</m:t>
            </m:r>
          </m:den>
        </m:f>
      </m:oMath>
    </w:p>
    <w:p>
      <w:pPr>
        <w:pStyle w:val="Normal"/>
        <w:rPr/>
      </w:pPr>
      <w:r>
        <w:rPr/>
        <w:t>k</w:t>
      </w:r>
      <w:r>
        <w:rPr>
          <w:vertAlign w:val="subscript"/>
        </w:rPr>
        <w:t>1</w:t>
      </w:r>
      <w:r>
        <w:rPr/>
        <w:t>, k</w:t>
      </w:r>
      <w:r>
        <w:rPr>
          <w:vertAlign w:val="subscript"/>
        </w:rPr>
        <w:t>0</w:t>
      </w:r>
      <w:r>
        <w:rPr/>
        <w:t xml:space="preserve"> - модифицированные функции Бесселя первого и нулевого порядков от соответствующего аргумента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mr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mr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mr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168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32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0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02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  <m:r>
          <m:rPr>
            <m:lit/>
            <m:nor/>
          </m:rPr>
          <w:rPr>
            <w:rFonts w:ascii="Cambria Math" w:hAnsi="Cambria Math"/>
          </w:rPr>
          <m:t xml:space="preserve">36</m:t>
        </m:r>
      </m:oMath>
    </w:p>
    <w:p>
      <w:pPr>
        <w:pStyle w:val="Normal"/>
        <w:rPr/>
      </w:pPr>
      <w:r>
        <w:rPr/>
        <w:t xml:space="preserve">Подставляя вычисленные значения в формулу, получаем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Δt</m:t>
            </m:r>
          </m:e>
          <m:sub>
            <m:r>
              <w:rPr>
                <w:rFonts w:ascii="Cambria Math" w:hAnsi="Cambria Math"/>
              </w:rPr>
              <m:t xml:space="preserve">ИС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2,7</m:t>
            </m:r>
          </m:e>
          <m:sup>
            <m:r>
              <w:rPr>
                <w:rFonts w:ascii="Cambria Math" w:hAnsi="Cambria Math"/>
              </w:rPr>
              <m:t xml:space="preserve">∘</m:t>
            </m:r>
          </m:sup>
        </m:sSup>
        <m:r>
          <w:rPr>
            <w:rFonts w:ascii="Cambria Math" w:hAnsi="Cambria Math"/>
          </w:rPr>
          <m:t xml:space="preserve">С</m:t>
        </m:r>
      </m:oMath>
      <w:r>
        <w:rPr/>
        <w:t>.</w:t>
      </w:r>
    </w:p>
    <w:p>
      <w:pPr>
        <w:pStyle w:val="Normal"/>
        <w:rPr/>
      </w:pPr>
      <w:r>
        <w:rPr/>
        <w:t xml:space="preserve">Определяем температуру корпуса </w:t>
      </w:r>
      <w:r>
        <w:rPr/>
        <w:object>
          <v:shape id="ole_rId54" style="width:20.25pt;height:14.25pt" o:ole="">
            <v:imagedata r:id="rId55" o:title=""/>
          </v:shape>
          <o:OLEObject Type="Embed" ProgID="" ShapeID="ole_rId54" DrawAspect="Content" ObjectID="_2053748213" r:id="rId54"/>
        </w:object>
      </w:r>
    </w:p>
    <w:p>
      <w:pPr>
        <w:pStyle w:val="Normal"/>
        <w:jc w:val="center"/>
        <w:rPr/>
      </w:pPr>
      <w:r>
        <w:rPr/>
        <w:object>
          <v:shape id="ole_rId56" style="width:20.25pt;height:14.25pt" o:ole="">
            <v:imagedata r:id="rId57" o:title=""/>
          </v:shape>
          <o:OLEObject Type="Embed" ProgID="" ShapeID="ole_rId56" DrawAspect="Content" ObjectID="_1808730320" r:id="rId56"/>
        </w:object>
      </w:r>
      <w:r>
        <w:rPr/>
        <w:t xml:space="preserve">= </w:t>
      </w:r>
      <w:r>
        <w:rPr/>
        <w:object>
          <v:shape id="ole_rId58" style="width:39pt;height:18pt" o:ole="">
            <v:imagedata r:id="rId59" o:title=""/>
          </v:shape>
          <o:OLEObject Type="Embed" ProgID="" ShapeID="ole_rId58" DrawAspect="Content" ObjectID="_2145076974" r:id="rId58"/>
        </w:object>
      </w:r>
      <w:r>
        <w:rPr/>
        <w:t xml:space="preserve">= </w:t>
      </w:r>
      <w:r>
        <w:rPr/>
        <w:t>70</w:t>
      </w:r>
      <w:r>
        <w:rPr/>
        <w:t>+48,6=73,6</w:t>
      </w:r>
      <w:r>
        <w:rPr/>
        <w:object>
          <v:shape id="ole_rId60" style="width:15.75pt;height:15.75pt" o:ole="">
            <v:imagedata r:id="rId61" o:title=""/>
          </v:shape>
          <o:OLEObject Type="Embed" ProgID="" ShapeID="ole_rId60" DrawAspect="Content" ObjectID="_359273592" r:id="rId60"/>
        </w:object>
      </w:r>
    </w:p>
    <w:p>
      <w:pPr>
        <w:pStyle w:val="Normal"/>
        <w:rPr/>
      </w:pPr>
      <w:r>
        <w:rPr/>
        <w:t>Предложенные условия охлаждения обеспечивают нормальную работу блока и поэтому не требуется корректировка конструктивных параметров или замена системы охлаждения на более эффективную. Принимаем систему охлаждения – естественный конвективный теплообмен.</w:t>
      </w:r>
    </w:p>
    <w:p>
      <w:pPr>
        <w:pStyle w:val="Heading3"/>
        <w:rPr/>
      </w:pPr>
      <w:bookmarkStart w:id="78" w:name="_Toc325070556"/>
      <w:bookmarkStart w:id="79" w:name="_Toc323300605"/>
      <w:bookmarkEnd w:id="78"/>
      <w:bookmarkEnd w:id="79"/>
      <w:r>
        <w:rPr/>
        <w:t>4.6.4 Расчет на механические воздействия</w:t>
      </w:r>
    </w:p>
    <w:p>
      <w:pPr>
        <w:pStyle w:val="Normal"/>
        <w:ind w:left="0" w:right="0" w:firstLine="540"/>
        <w:rPr/>
      </w:pPr>
      <w:r>
        <w:rPr/>
        <w:t xml:space="preserve">Целью расчета является определение действующих на элементы изделия перегрузок при действии вибрации и ударов, а также максимальных перемещений. </w:t>
      </w:r>
    </w:p>
    <w:p>
      <w:pPr>
        <w:pStyle w:val="22"/>
        <w:rPr/>
      </w:pPr>
      <w:bookmarkStart w:id="80" w:name="_Toc325070557"/>
      <w:bookmarkStart w:id="81" w:name="_Toc324725541"/>
      <w:bookmarkEnd w:id="80"/>
      <w:bookmarkEnd w:id="81"/>
      <w:r>
        <w:rPr/>
        <w:t>4.6.4.1 Расчет на действие вибрации</w:t>
      </w:r>
    </w:p>
    <w:p>
      <w:pPr>
        <w:pStyle w:val="Normal"/>
        <w:rPr/>
      </w:pPr>
      <w:r>
        <w:rPr/>
        <w:t>Определим цилиндрическую жесткость платы:</w:t>
      </w:r>
    </w:p>
    <w:p>
      <w:pPr>
        <w:pStyle w:val="MTDisplayEquation1"/>
        <w:rPr/>
      </w:pPr>
      <w:r>
        <w:rPr/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E</m:t>
            </m:r>
            <m:sSup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12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ν</m:t>
                </m:r>
              </m:e>
            </m:d>
          </m:den>
        </m:f>
      </m:oMath>
      <w:r>
        <w:rPr/>
        <w:t>,</w:t>
        <w:tab/>
        <w:t>(4.11)</w:t>
      </w:r>
    </w:p>
    <w:p>
      <w:pPr>
        <w:pStyle w:val="Normal"/>
        <w:rPr/>
      </w:pPr>
      <w:r>
        <w:rPr/>
        <w:t xml:space="preserve">где </w:t>
      </w:r>
      <w:r>
        <w:rPr/>
        <w:object>
          <v:shape id="ole_rId62" style="width:12pt;height:12.75pt" o:ole="">
            <v:imagedata r:id="rId63" o:title=""/>
          </v:shape>
          <o:OLEObject Type="Embed" ProgID="" ShapeID="ole_rId62" DrawAspect="Content" ObjectID="_1391222855" r:id="rId62"/>
        </w:object>
      </w:r>
      <w:r>
        <w:rPr/>
        <w:t xml:space="preserve"> - модуль упругости для материала платы: </w:t>
      </w:r>
      <w:r>
        <w:rPr/>
        <w:object>
          <v:shape id="ole_rId64" style="width:70.5pt;height:30.75pt" o:ole="">
            <v:imagedata r:id="rId65" o:title=""/>
          </v:shape>
          <o:OLEObject Type="Embed" ProgID="" ShapeID="ole_rId64" DrawAspect="Content" ObjectID="_1462927614" r:id="rId64"/>
        </w:object>
      </w:r>
      <w:r>
        <w:rPr/>
        <w:t>;</w:t>
      </w:r>
    </w:p>
    <w:p>
      <w:pPr>
        <w:pStyle w:val="Normal"/>
        <w:rPr/>
      </w:pPr>
      <w:r>
        <w:rPr/>
        <w:object>
          <v:shape id="ole_rId66" style="width:9pt;height:14.25pt" o:ole="">
            <v:imagedata r:id="rId67" o:title=""/>
          </v:shape>
          <o:OLEObject Type="Embed" ProgID="" ShapeID="ole_rId66" DrawAspect="Content" ObjectID="_720290750" r:id="rId66"/>
        </w:object>
      </w:r>
      <w:r>
        <w:rPr/>
        <w:t xml:space="preserve"> </w:t>
      </w:r>
      <w:r>
        <w:rPr/>
        <w:t>- толщина ПП: 0,001</w:t>
      </w:r>
      <w:r>
        <w:rPr/>
        <w:t>5</w:t>
      </w:r>
      <w:r>
        <w:rPr/>
        <w:t xml:space="preserve"> м;</w:t>
      </w:r>
    </w:p>
    <w:p>
      <w:pPr>
        <w:pStyle w:val="Normal"/>
        <w:rPr/>
      </w:pPr>
      <w:r>
        <w:rPr/>
        <w:object>
          <v:shape id="ole_rId68" style="width:9pt;height:11.25pt" o:ole="">
            <v:imagedata r:id="rId69" o:title=""/>
          </v:shape>
          <o:OLEObject Type="Embed" ProgID="" ShapeID="ole_rId68" DrawAspect="Content" ObjectID="_1944469209" r:id="rId68"/>
        </w:object>
      </w:r>
      <w:r>
        <w:rPr/>
        <w:t xml:space="preserve"> </w:t>
      </w:r>
      <w:r>
        <w:rPr/>
        <w:t>- коэффициент Пуассона: 0,3.</w:t>
      </w:r>
    </w:p>
    <w:p>
      <w:pPr>
        <w:pStyle w:val="Normal"/>
        <w:rPr/>
      </w:pPr>
      <w:r>
        <w:rPr/>
        <w:t>Подставим имеющиеся значения в (4.22), получим:</w:t>
      </w:r>
    </w:p>
    <w:p>
      <w:pPr>
        <w:pStyle w:val="Normal"/>
        <w:ind w:left="0" w:right="0" w:hanging="142"/>
        <w:jc w:val="center"/>
        <w:rPr/>
      </w:pPr>
      <w:r>
        <w:rPr/>
        <w:drawing>
          <wp:anchor behindDoc="0" distT="0" distB="0" distL="0" distR="0" simplePos="0" locked="0" layoutInCell="1" allowOverlap="1" relativeHeight="151">
            <wp:simplePos x="0" y="0"/>
            <wp:positionH relativeFrom="column">
              <wp:posOffset>2122170</wp:posOffset>
            </wp:positionH>
            <wp:positionV relativeFrom="paragraph">
              <wp:posOffset>124460</wp:posOffset>
            </wp:positionV>
            <wp:extent cx="2171065" cy="504825"/>
            <wp:effectExtent l="0" t="0" r="0" b="0"/>
            <wp:wrapTopAndBottom/>
            <wp:docPr id="1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Определим частоту собственных вибраций:</w:t>
      </w:r>
    </w:p>
    <w:p>
      <w:pPr>
        <w:pStyle w:val="MTDisplayEquation1"/>
        <w:rPr/>
      </w:pPr>
      <w:r>
        <w:rPr/>
        <w:tab/>
      </w:r>
      <w:r>
        <w:rPr/>
        <w:object>
          <v:shape id="ole_rId71" style="width:125.25pt;height:38.25pt" o:ole="">
            <v:imagedata r:id="rId72" o:title=""/>
          </v:shape>
          <o:OLEObject Type="Embed" ProgID="" ShapeID="ole_rId71" DrawAspect="Content" ObjectID="_1530107735" r:id="rId71"/>
        </w:object>
      </w:r>
      <w:r>
        <w:rPr/>
        <w:t>,</w:t>
        <w:tab/>
        <w:t>(4.12)</w:t>
      </w:r>
    </w:p>
    <w:p>
      <w:pPr>
        <w:pStyle w:val="MTDisplayEquation1"/>
        <w:rPr/>
      </w:pPr>
      <w:r>
        <w:rPr/>
        <w:t xml:space="preserve">где </w:t>
      </w:r>
      <w:r>
        <w:rPr/>
        <w:object>
          <v:shape id="ole_rId73" style="width:9pt;height:11.25pt" o:ole="">
            <v:imagedata r:id="rId74" o:title=""/>
          </v:shape>
          <o:OLEObject Type="Embed" ProgID="" ShapeID="ole_rId73" DrawAspect="Content" ObjectID="_1935976888" r:id="rId73"/>
        </w:object>
      </w:r>
      <w:r>
        <w:rPr/>
        <w:t>-длина платы: 0,0</w:t>
      </w:r>
      <w:r>
        <w:rPr/>
        <w:t>36</w:t>
      </w:r>
      <w:r>
        <w:rPr/>
        <w:t xml:space="preserve"> м;</w:t>
      </w:r>
    </w:p>
    <w:p>
      <w:pPr>
        <w:pStyle w:val="MTDisplayEquation1"/>
        <w:rPr/>
      </w:pPr>
      <w:r>
        <w:rPr/>
        <w:object>
          <v:shape id="ole_rId75" style="width:9pt;height:14.25pt" o:ole="">
            <v:imagedata r:id="rId76" o:title=""/>
          </v:shape>
          <o:OLEObject Type="Embed" ProgID="" ShapeID="ole_rId75" DrawAspect="Content" ObjectID="_1472997299" r:id="rId75"/>
        </w:object>
      </w:r>
      <w:r>
        <w:rPr/>
        <w:t>- ширина платы: 0,0</w:t>
      </w:r>
      <w:r>
        <w:rPr/>
        <w:t>32</w:t>
      </w:r>
      <w:r>
        <w:rPr/>
        <w:t xml:space="preserve"> м.</w:t>
      </w:r>
    </w:p>
    <w:p>
      <w:pPr>
        <w:pStyle w:val="MTDisplayEquation1"/>
        <w:rPr/>
      </w:pPr>
      <w:r>
        <w:rPr/>
        <w:object>
          <v:shape id="ole_rId77" style="width:15.75pt;height:12.75pt" o:ole="">
            <v:imagedata r:id="rId78" o:title=""/>
          </v:shape>
          <o:OLEObject Type="Embed" ProgID="" ShapeID="ole_rId77" DrawAspect="Content" ObjectID="_2045814916" r:id="rId77"/>
        </w:object>
      </w:r>
      <w:r>
        <w:rPr/>
        <w:t>- масса платы с элементами: 0,02 кг.</w:t>
      </w:r>
    </w:p>
    <w:p>
      <w:pPr>
        <w:pStyle w:val="Normal"/>
        <w:rPr/>
      </w:pPr>
      <w:r>
        <w:rPr/>
        <w:t>Подставим имеющиеся значения в (4.23), получим:</w:t>
      </w:r>
    </w:p>
    <w:p>
      <w:pPr>
        <w:pStyle w:val="Normal"/>
        <w:ind w:left="0" w:right="0" w:hanging="0"/>
        <w:jc w:val="center"/>
        <w:rPr/>
      </w:pPr>
      <w:r>
        <w:rPr/>
        <w:object>
          <v:shape id="ole_rId79" style="width:245.25pt;height:38.25pt" o:ole="">
            <v:imagedata r:id="rId80" o:title=""/>
          </v:shape>
          <o:OLEObject Type="Embed" ProgID="" ShapeID="ole_rId79" DrawAspect="Content" ObjectID="_843373041" r:id="rId79"/>
        </w:object>
      </w:r>
    </w:p>
    <w:p>
      <w:pPr>
        <w:pStyle w:val="Normal"/>
        <w:jc w:val="left"/>
        <w:rPr/>
      </w:pPr>
      <w:r>
        <w:rPr/>
        <w:t>Определим коэффициент динамичности для динамического возбуждения:</w:t>
      </w:r>
    </w:p>
    <w:p>
      <w:pPr>
        <w:pStyle w:val="MTDisplayEquation1"/>
        <w:rPr/>
      </w:pPr>
      <w:r>
        <w:rPr/>
        <w:tab/>
      </w:r>
      <w:r>
        <w:rPr/>
        <w:object>
          <v:shape id="ole_rId81" style="width:108.75pt;height:48pt" o:ole="">
            <v:imagedata r:id="rId82" o:title=""/>
          </v:shape>
          <o:OLEObject Type="Embed" ProgID="" ShapeID="ole_rId81" DrawAspect="Content" ObjectID="_885766183" r:id="rId81"/>
        </w:object>
      </w:r>
      <w:r>
        <w:rPr/>
        <w:t>,</w:t>
        <w:tab/>
        <w:t>(4.13)</w:t>
      </w:r>
    </w:p>
    <w:p>
      <w:pPr>
        <w:pStyle w:val="MTDisplayEquation1"/>
        <w:rPr/>
      </w:pPr>
      <w:r>
        <w:rPr/>
        <w:t xml:space="preserve">где </w:t>
      </w:r>
      <w:r>
        <w:rPr/>
        <w:object>
          <v:shape id="ole_rId83" style="width:9pt;height:11.25pt" o:ole="">
            <v:imagedata r:id="rId84" o:title=""/>
          </v:shape>
          <o:OLEObject Type="Embed" ProgID="" ShapeID="ole_rId83" DrawAspect="Content" ObjectID="_27613653" r:id="rId83"/>
        </w:object>
      </w:r>
      <w:r>
        <w:rPr/>
        <w:t xml:space="preserve"> - показатель затухания: 0,01;</w:t>
      </w:r>
    </w:p>
    <w:p>
      <w:pPr>
        <w:pStyle w:val="MTDisplayEquation1"/>
        <w:rPr/>
      </w:pPr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max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35</m:t>
            </m:r>
          </m:num>
          <m:den>
            <m:r>
              <w:rPr>
                <w:rFonts w:ascii="Cambria Math" w:hAnsi="Cambria Math"/>
              </w:rPr>
              <m:t xml:space="preserve">83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0,42</m:t>
        </m:r>
      </m:oMath>
      <w:r>
        <w:rPr/>
        <w:t>- коэффициент расстройки;</w:t>
      </w:r>
    </w:p>
    <w:p>
      <w:pPr>
        <w:pStyle w:val="MTDisplayEquation1"/>
        <w:rPr/>
      </w:pPr>
      <w:r>
        <w:rPr/>
        <w:object>
          <v:shape id="ole_rId85" style="width:21.75pt;height:18pt" o:ole="">
            <v:imagedata r:id="rId86" o:title=""/>
          </v:shape>
          <o:OLEObject Type="Embed" ProgID="" ShapeID="ole_rId85" DrawAspect="Content" ObjectID="_142777194" r:id="rId85"/>
        </w:object>
      </w:r>
      <w:r>
        <w:rPr/>
        <w:t xml:space="preserve"> </w:t>
      </w:r>
      <w:r>
        <w:rPr/>
        <w:t>- максимальная частота по ТЗ.</w:t>
      </w:r>
    </w:p>
    <w:p>
      <w:pPr>
        <w:pStyle w:val="Normal"/>
        <w:rPr/>
      </w:pPr>
      <w:r>
        <w:rPr/>
        <w:t>Подставим имеющиеся значения в (4.24), получим:</w:t>
      </w:r>
    </w:p>
    <w:p>
      <w:pPr>
        <w:pStyle w:val="MTDisplayEquation1"/>
        <w:ind w:left="0" w:right="0" w:hanging="0"/>
        <w:jc w:val="center"/>
        <w:rPr/>
      </w:pPr>
      <w:r>
        <w:rPr/>
        <w:object>
          <v:shape id="ole_rId87" style="width:184.5pt;height:48pt" o:ole="">
            <v:imagedata r:id="rId88" o:title=""/>
          </v:shape>
          <o:OLEObject Type="Embed" ProgID="" ShapeID="ole_rId87" DrawAspect="Content" ObjectID="_1183716137" r:id="rId87"/>
        </w:object>
      </w:r>
    </w:p>
    <w:p>
      <w:pPr>
        <w:pStyle w:val="Normal"/>
        <w:jc w:val="left"/>
        <w:rPr/>
      </w:pPr>
      <w:r>
        <w:rPr/>
        <w:t>Определим амплитуду вибросмещения основания:</w:t>
      </w:r>
    </w:p>
    <w:p>
      <w:pPr>
        <w:pStyle w:val="MTDisplayEquation1"/>
        <w:rPr/>
      </w:pPr>
      <w:r>
        <w:rPr/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sSubSup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max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den>
        </m:f>
      </m:oMath>
      <w:r>
        <w:rPr/>
        <w:t>,</w:t>
        <w:tab/>
        <w:t>(4.14)</w:t>
      </w:r>
    </w:p>
    <w:p>
      <w:pPr>
        <w:pStyle w:val="MTDisplayEquation1"/>
        <w:rPr/>
      </w:pPr>
      <w:r>
        <w:rPr/>
        <w:t xml:space="preserve">где </w:t>
      </w:r>
      <w:r>
        <w:rPr/>
        <w:object>
          <v:shape id="ole_rId89" style="width:12.75pt;height:18pt" o:ole="">
            <v:imagedata r:id="rId90" o:title=""/>
          </v:shape>
          <o:OLEObject Type="Embed" ProgID="" ShapeID="ole_rId89" DrawAspect="Content" ObjectID="_1390219382" r:id="rId89"/>
        </w:object>
      </w:r>
      <w:r>
        <w:rPr/>
        <w:t xml:space="preserve"> - виброускорение: 29,4 </w:t>
      </w:r>
      <w:r>
        <w:rPr/>
        <w:t>м/с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rPr/>
      </w:pPr>
      <w:r>
        <w:rPr/>
        <w:t>Подставим имеющиеся значения в (4.</w:t>
      </w:r>
      <w:r>
        <w:rPr/>
        <w:t>14</w:t>
      </w:r>
      <w:r>
        <w:rPr/>
        <w:t>), получим:</w:t>
      </w:r>
    </w:p>
    <w:p>
      <w:pPr>
        <w:pStyle w:val="Normal"/>
        <w:ind w:left="0" w:right="0" w:hanging="0"/>
        <w:jc w:val="center"/>
        <w:rPr/>
      </w:pPr>
      <w:r>
        <w:rPr/>
        <w:object>
          <v:shape id="ole_rId91" style="width:142.5pt;height:33pt" o:ole="">
            <v:imagedata r:id="rId92" o:title=""/>
          </v:shape>
          <o:OLEObject Type="Embed" ProgID="" ShapeID="ole_rId91" DrawAspect="Content" ObjectID="_901102167" r:id="rId91"/>
        </w:object>
      </w:r>
      <w:r>
        <w:rPr/>
        <w:t>.</w:t>
      </w:r>
    </w:p>
    <w:p>
      <w:pPr>
        <w:pStyle w:val="Normal"/>
        <w:jc w:val="left"/>
        <w:rPr/>
      </w:pPr>
      <w:r>
        <w:rPr/>
        <w:t>Определим виброускорение и виброперемещение ЭРЭ. Для расчета возьмем лампу 6Н3П.</w:t>
      </w:r>
    </w:p>
    <w:p>
      <w:pPr>
        <w:pStyle w:val="MTDisplayEquation1"/>
        <w:rPr/>
      </w:pPr>
      <w:r>
        <w:rPr/>
        <w:tab/>
      </w:r>
      <w:r>
        <w:rPr/>
        <w:object>
          <v:shape id="ole_rId93" style="width:165.75pt;height:54pt" o:ole="">
            <v:imagedata r:id="rId94" o:title=""/>
          </v:shape>
          <o:OLEObject Type="Embed" ProgID="" ShapeID="ole_rId93" DrawAspect="Content" ObjectID="_1549226207" r:id="rId93"/>
        </w:object>
      </w:r>
      <w:r>
        <w:rPr/>
        <w:t>,</w:t>
        <w:tab/>
        <w:t>(4.15)</w:t>
      </w:r>
    </w:p>
    <w:p>
      <w:pPr>
        <w:pStyle w:val="MTDisplayEquation1"/>
        <w:rPr/>
      </w:pPr>
      <w:r>
        <w:rPr/>
        <w:t xml:space="preserve">где </w:t>
      </w:r>
      <w:r>
        <w:rPr/>
        <w:object>
          <v:shape id="ole_rId95" style="width:36.75pt;height:15.75pt" o:ole="">
            <v:imagedata r:id="rId96" o:title=""/>
          </v:shape>
          <o:OLEObject Type="Embed" ProgID="" ShapeID="ole_rId95" DrawAspect="Content" ObjectID="_1255548012" r:id="rId95"/>
        </w:object>
      </w:r>
      <w:r>
        <w:rPr/>
        <w:t xml:space="preserve"> - показатели затухания формы колебаний: 1,3;</w:t>
      </w:r>
    </w:p>
    <w:p>
      <w:pPr>
        <w:pStyle w:val="Normal"/>
        <w:rPr/>
      </w:pPr>
      <w:r>
        <w:rPr/>
        <w:t>Подставим имеющиеся значения в (4.</w:t>
      </w:r>
      <w:r>
        <w:rPr/>
        <w:t>15</w:t>
      </w:r>
      <w:r>
        <w:rPr/>
        <w:t>), получим:</w:t>
      </w:r>
    </w:p>
    <w:p>
      <w:pPr>
        <w:pStyle w:val="Normal"/>
        <w:ind w:left="0" w:right="0" w:hanging="0"/>
        <w:jc w:val="center"/>
        <w:rPr/>
      </w:pPr>
      <w:r>
        <w:rPr/>
        <w:object>
          <v:shape id="ole_rId97" style="width:258pt;height:54pt" o:ole="">
            <v:imagedata r:id="rId98" o:title=""/>
          </v:shape>
          <o:OLEObject Type="Embed" ProgID="" ShapeID="ole_rId97" DrawAspect="Content" ObjectID="_816552362" r:id="rId97"/>
        </w:object>
      </w:r>
      <w:r>
        <w:rPr/>
        <w:t>.</w:t>
      </w:r>
    </w:p>
    <w:p>
      <w:pPr>
        <w:pStyle w:val="Normal"/>
        <w:rPr/>
      </w:pPr>
      <w:r>
        <w:rPr/>
        <w:t>Виброускорение элемента:</w:t>
      </w:r>
    </w:p>
    <w:p>
      <w:pPr>
        <w:pStyle w:val="MTDisplayEquation1"/>
        <w:rPr/>
      </w:pPr>
      <w:r>
        <w:rPr/>
        <w:tab/>
      </w:r>
      <w:r>
        <w:rPr/>
        <w:object>
          <v:shape id="ole_rId99" style="width:157.5pt;height:30.75pt" o:ole="">
            <v:imagedata r:id="rId100" o:title=""/>
          </v:shape>
          <o:OLEObject Type="Embed" ProgID="" ShapeID="ole_rId99" DrawAspect="Content" ObjectID="_1138227844" r:id="rId99"/>
        </w:object>
      </w:r>
      <w:r>
        <w:rPr/>
        <w:tab/>
        <w:t>(4.16)</w:t>
      </w:r>
    </w:p>
    <w:p>
      <w:pPr>
        <w:pStyle w:val="MTDisplayEquation1"/>
        <w:rPr/>
      </w:pPr>
      <w:r>
        <w:rPr/>
        <w:t>Виброперемещение элемента:</w:t>
      </w:r>
    </w:p>
    <w:p>
      <w:pPr>
        <w:pStyle w:val="MTDisplayEquation1"/>
        <w:rPr/>
      </w:pPr>
      <w:r>
        <w:rPr/>
        <w:tab/>
      </w:r>
      <w:r>
        <w:rPr/>
        <w:object>
          <v:shape id="ole_rId101" style="width:185.25pt;height:18.75pt" o:ole="">
            <v:imagedata r:id="rId102" o:title=""/>
          </v:shape>
          <o:OLEObject Type="Embed" ProgID="" ShapeID="ole_rId101" DrawAspect="Content" ObjectID="_768705419" r:id="rId101"/>
        </w:object>
      </w:r>
      <w:r>
        <w:rPr/>
        <w:tab/>
        <w:t>(4.17)</w:t>
      </w:r>
    </w:p>
    <w:p>
      <w:pPr>
        <w:pStyle w:val="MTDisplayEquation1"/>
        <w:rPr/>
      </w:pPr>
      <w:r>
        <w:rPr/>
        <w:t>Опредилим максимальный прогиб ПП:</w:t>
      </w:r>
    </w:p>
    <w:p>
      <w:pPr>
        <w:pStyle w:val="MTDisplayEquation1"/>
        <w:rPr/>
      </w:pPr>
      <w:r>
        <w:rPr/>
        <w:tab/>
      </w:r>
      <w:r>
        <w:rPr/>
        <w:object>
          <v:shape id="ole_rId103" style="width:219.75pt;height:21.75pt" o:ole="">
            <v:imagedata r:id="rId104" o:title=""/>
          </v:shape>
          <o:OLEObject Type="Embed" ProgID="" ShapeID="ole_rId103" DrawAspect="Content" ObjectID="_1418469194" r:id="rId103"/>
        </w:object>
      </w:r>
      <w:r>
        <w:rPr/>
        <w:tab/>
        <w:t>(4.18)</w:t>
      </w:r>
    </w:p>
    <w:p>
      <w:pPr>
        <w:pStyle w:val="MTDisplayEquation1"/>
        <w:rPr/>
      </w:pPr>
      <w:r>
        <w:rPr/>
        <w:t xml:space="preserve">Определим допустимый прогиб платы: </w:t>
      </w:r>
    </w:p>
    <w:p>
      <w:pPr>
        <w:pStyle w:val="MTDisplayEquation1"/>
        <w:rPr/>
      </w:pPr>
      <w:r>
        <w:rPr/>
        <w:tab/>
      </w:r>
      <w:r>
        <w:rPr/>
        <w:object>
          <v:shape id="ole_rId105" style="width:168pt;height:18.75pt" o:ole="">
            <v:imagedata r:id="rId106" o:title=""/>
          </v:shape>
          <o:OLEObject Type="Embed" ProgID="" ShapeID="ole_rId105" DrawAspect="Content" ObjectID="_395999691" r:id="rId105"/>
        </w:object>
      </w:r>
      <w:r>
        <w:rPr/>
        <w:tab/>
        <w:t>(4.19)</w:t>
      </w:r>
    </w:p>
    <w:p>
      <w:pPr>
        <w:pStyle w:val="MTDisplayEquation1"/>
        <w:rPr/>
      </w:pPr>
      <w:r>
        <w:rPr/>
        <w:t>Таким образом, плата и ЭРЭ удовлетворяют условиям ТЗ по виброустойчивости.</w:t>
      </w:r>
    </w:p>
    <w:p>
      <w:pPr>
        <w:pStyle w:val="22"/>
        <w:rPr/>
      </w:pPr>
      <w:bookmarkStart w:id="82" w:name="_Toc325070558"/>
      <w:bookmarkEnd w:id="82"/>
      <w:r>
        <w:rPr/>
        <w:t>4.6.4.2 Расчет на действие удара</w:t>
      </w:r>
    </w:p>
    <w:p>
      <w:pPr>
        <w:pStyle w:val="Normal"/>
        <w:rPr/>
      </w:pPr>
      <w:r>
        <w:rPr/>
        <w:t>Исходные данные: воздействующий импульс полусинусоидальной формы.</w:t>
      </w:r>
    </w:p>
    <w:p>
      <w:pPr>
        <w:pStyle w:val="Normal"/>
        <w:rPr/>
      </w:pPr>
      <w:r>
        <w:rPr/>
        <w:t>Определяем условную частоту ударного импульса:</w:t>
      </w:r>
    </w:p>
    <w:p>
      <w:pPr>
        <w:pStyle w:val="MTDisplayEquation1"/>
        <w:rPr/>
      </w:pPr>
      <w:r>
        <w:rPr/>
        <w:tab/>
      </w:r>
      <w:r>
        <w:rPr/>
        <w:object>
          <v:shape id="ole_rId107" style="width:31.5pt;height:30.75pt" o:ole="">
            <v:imagedata r:id="rId108" o:title=""/>
          </v:shape>
          <o:OLEObject Type="Embed" ProgID="" ShapeID="ole_rId107" DrawAspect="Content" ObjectID="_1799224909" r:id="rId107"/>
        </w:object>
      </w:r>
      <w:r>
        <w:rPr/>
        <w:t>,</w:t>
        <w:tab/>
        <w:t>(4.20)</w:t>
      </w:r>
    </w:p>
    <w:p>
      <w:pPr>
        <w:pStyle w:val="Normal"/>
        <w:rPr/>
      </w:pPr>
      <w:r>
        <w:rPr/>
        <w:t>где τ – длительность ударного импульса, по ТЗ τ = 5мс.</w:t>
      </w:r>
    </w:p>
    <w:p>
      <w:pPr>
        <w:pStyle w:val="Normal"/>
        <w:rPr/>
      </w:pPr>
      <w:r>
        <w:rPr/>
        <w:t xml:space="preserve">Отсюда следует по (4.20), что ω = 200 </w:t>
      </w:r>
      <w:r>
        <w:rPr/>
        <w:object>
          <v:shape id="ole_rId109" style="width:15.75pt;height:15.75pt" o:ole="">
            <v:imagedata r:id="rId110" o:title=""/>
          </v:shape>
          <o:OLEObject Type="Embed" ProgID="" ShapeID="ole_rId109" DrawAspect="Content" ObjectID="_237351745" r:id="rId109"/>
        </w:object>
      </w:r>
    </w:p>
    <w:p>
      <w:pPr>
        <w:pStyle w:val="Normal"/>
        <w:rPr/>
      </w:pPr>
      <w:r>
        <w:rPr/>
        <w:t>Определяем коэффициент передачи при ударе:</w:t>
      </w:r>
    </w:p>
    <w:p>
      <w:pPr>
        <w:pStyle w:val="MTDisplayEquation1"/>
        <w:rPr/>
      </w:pPr>
      <w:r>
        <w:rPr/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ν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ν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π</m:t>
                </m:r>
              </m:num>
              <m:den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ν</m:t>
                </m:r>
              </m:den>
            </m:f>
          </m:e>
        </m:d>
      </m:oMath>
      <w:r>
        <w:rPr/>
        <w:tab/>
        <w:t>(4.21)</w:t>
      </w:r>
    </w:p>
    <w:p>
      <w:pPr>
        <w:pStyle w:val="MTDisplayEquation1"/>
        <w:rPr/>
      </w:pPr>
      <w:r>
        <w:rPr/>
        <w:t xml:space="preserve">где </w:t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ν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ω</m:t>
            </m:r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</m:t>
            </m:r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200</m:t>
            </m:r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3,14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83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0,4</m:t>
        </m:r>
      </m:oMath>
      <w:r>
        <w:rPr/>
        <w:tab/>
        <w:t>(4.22)</w:t>
      </w:r>
    </w:p>
    <w:p>
      <w:pPr>
        <w:pStyle w:val="MTDisplayEquation1"/>
        <w:rPr/>
      </w:pPr>
      <w:r>
        <w:rPr/>
        <w:t>Подставив (4.22) в (4.21) получим:</w:t>
      </w:r>
    </w:p>
    <w:p>
      <w:pPr>
        <w:pStyle w:val="MTDisplayEquation1"/>
        <w:ind w:left="0" w:right="0" w:hanging="0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0,4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0,4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π</m:t>
                </m:r>
              </m:num>
              <m:den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⋅</m:t>
                </m:r>
                <m:r>
                  <w:rPr>
                    <w:rFonts w:ascii="Cambria Math" w:hAnsi="Cambria Math"/>
                  </w:rPr>
                  <m:t xml:space="preserve">0,4</m:t>
                </m:r>
              </m:den>
            </m:f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0,67</m:t>
        </m:r>
      </m:oMath>
    </w:p>
    <w:p>
      <w:pPr>
        <w:pStyle w:val="Normal"/>
        <w:rPr/>
      </w:pPr>
      <w:r>
        <w:rPr/>
        <w:t>Определение ударного ускорения по формуле (4.16):</w:t>
      </w:r>
    </w:p>
    <w:p>
      <w:pPr>
        <w:pStyle w:val="Normal"/>
        <w:ind w:left="0" w:right="0" w:hanging="0"/>
        <w:jc w:val="center"/>
        <w:rPr/>
      </w:pPr>
      <w:r>
        <w:rPr/>
        <w:object>
          <v:shape id="ole_rId111" style="width:162pt;height:30.75pt" o:ole="">
            <v:imagedata r:id="rId112" o:title=""/>
          </v:shape>
          <o:OLEObject Type="Embed" ProgID="" ShapeID="ole_rId111" DrawAspect="Content" ObjectID="_428837000" r:id="rId111"/>
        </w:object>
      </w:r>
    </w:p>
    <w:p>
      <w:pPr>
        <w:pStyle w:val="Normal"/>
        <w:rPr/>
      </w:pPr>
      <w:r>
        <w:rPr/>
        <w:t>Таким образом, спроектированная ПП соответствует требованиям указанным в ТЗ.</w:t>
      </w:r>
    </w:p>
    <w:p>
      <w:pPr>
        <w:pStyle w:val="Normal"/>
        <w:spacing w:lineRule="auto" w:line="240"/>
        <w:ind w:left="0" w:right="0" w:hanging="0"/>
        <w:jc w:val="left"/>
        <w:rPr>
          <w:rFonts w:ascii="Cambria" w:hAnsi="Cambria"/>
          <w:b/>
          <w:b/>
          <w:iCs/>
          <w:color w:val="000000"/>
          <w:sz w:val="26"/>
        </w:rPr>
      </w:pPr>
      <w:r>
        <w:rPr>
          <w:rFonts w:ascii="Cambria" w:hAnsi="Cambria"/>
          <w:b/>
          <w:iCs/>
          <w:color w:val="000000"/>
          <w:sz w:val="26"/>
        </w:rPr>
      </w:r>
      <w:r>
        <w:br w:type="page"/>
      </w:r>
    </w:p>
    <w:p>
      <w:pPr>
        <w:pStyle w:val="Heading3"/>
        <w:rPr/>
      </w:pPr>
      <w:bookmarkStart w:id="83" w:name="_Toc325070559"/>
      <w:bookmarkEnd w:id="83"/>
      <w:r>
        <w:rPr/>
        <w:t>4.6.5 Расчет технологичности</w:t>
      </w:r>
    </w:p>
    <w:p>
      <w:pPr>
        <w:pStyle w:val="Normal"/>
        <w:rPr/>
      </w:pPr>
      <w:r>
        <w:rPr/>
        <w:t>Базовые показатели технологичности приведены в табл. 4.6.5.1.</w:t>
      </w:r>
    </w:p>
    <w:p>
      <w:pPr>
        <w:pStyle w:val="Normal"/>
        <w:spacing w:lineRule="auto" w:line="240"/>
        <w:jc w:val="right"/>
        <w:rPr>
          <w:sz w:val="22"/>
        </w:rPr>
      </w:pPr>
      <w:r>
        <w:rPr>
          <w:sz w:val="22"/>
        </w:rPr>
        <w:t>Таблица 4.6.5.1 – базовые показатели технологичности</w:t>
      </w:r>
    </w:p>
    <w:tbl>
      <w:tblPr>
        <w:tblW w:w="10084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4"/>
        <w:gridCol w:w="2242"/>
        <w:gridCol w:w="1134"/>
        <w:gridCol w:w="794"/>
        <w:gridCol w:w="3990"/>
      </w:tblGrid>
      <w:tr>
        <w:trPr>
          <w:trHeight w:val="600" w:hRule="atLeast"/>
        </w:trPr>
        <w:tc>
          <w:tcPr>
            <w:tcW w:w="1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Heading2"/>
              <w:spacing w:before="200" w:after="120"/>
              <w:ind w:left="0" w:right="0" w:hanging="0"/>
              <w:rPr>
                <w:sz w:val="22"/>
              </w:rPr>
            </w:pPr>
            <w:bookmarkStart w:id="84" w:name="_Toc325070235"/>
            <w:bookmarkStart w:id="85" w:name="_Toc325070560"/>
            <w:bookmarkStart w:id="86" w:name="_Toc324725545"/>
            <w:bookmarkEnd w:id="84"/>
            <w:bookmarkEnd w:id="85"/>
            <w:bookmarkEnd w:id="86"/>
            <w:r>
              <w:rPr>
                <w:sz w:val="22"/>
              </w:rPr>
              <w:t>Наименование показателя</w:t>
            </w:r>
          </w:p>
        </w:tc>
        <w:tc>
          <w:tcPr>
            <w:tcW w:w="2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Heading5"/>
              <w:spacing w:before="200" w:after="0"/>
              <w:ind w:left="0" w:right="0" w:hanging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Формула расчета</w: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Значение</w:t>
            </w:r>
          </w:p>
        </w:tc>
        <w:tc>
          <w:tcPr>
            <w:tcW w:w="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>
                <w:b/>
                <w:sz w:val="22"/>
              </w:rPr>
              <w:t xml:space="preserve">Значимость </w:t>
            </w:r>
            <w:r>
              <w:rPr>
                <w:b/>
                <w:sz w:val="22"/>
              </w:rPr>
              <w:object>
                <v:shape id="ole_rId113" style="width:12.75pt;height:18pt" o:ole="">
                  <v:imagedata r:id="rId114" o:title=""/>
                </v:shape>
                <o:OLEObject Type="Embed" ProgID="" ShapeID="ole_rId113" DrawAspect="Content" ObjectID="_1529910638" r:id="rId113"/>
              </w:object>
            </w:r>
          </w:p>
        </w:tc>
        <w:tc>
          <w:tcPr>
            <w:tcW w:w="39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>
                <w:b/>
                <w:b/>
              </w:rPr>
            </w:pPr>
            <w:bookmarkStart w:id="87" w:name="_Toc325070099"/>
            <w:bookmarkStart w:id="88" w:name="_Toc325070236"/>
            <w:bookmarkStart w:id="89" w:name="_Toc324725546"/>
            <w:bookmarkEnd w:id="87"/>
            <w:bookmarkEnd w:id="88"/>
            <w:bookmarkEnd w:id="89"/>
            <w:r>
              <w:rPr>
                <w:b/>
              </w:rPr>
              <w:t>Примечание</w:t>
            </w:r>
          </w:p>
        </w:tc>
      </w:tr>
      <w:tr>
        <w:trPr>
          <w:trHeight w:val="761" w:hRule="atLeast"/>
        </w:trPr>
        <w:tc>
          <w:tcPr>
            <w:tcW w:w="1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hanging="0"/>
              <w:jc w:val="left"/>
              <w:rPr>
                <w:sz w:val="22"/>
              </w:rPr>
            </w:pPr>
            <w:r>
              <w:rPr>
                <w:sz w:val="22"/>
              </w:rPr>
              <w:t>Коэффициент использования микросхем</w:t>
            </w:r>
          </w:p>
        </w:tc>
        <w:tc>
          <w:tcPr>
            <w:tcW w:w="2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/>
              <w:object>
                <v:shape id="ole_rId115" style="width:102.75pt;height:33.75pt" o:ole="">
                  <v:imagedata r:id="rId116" o:title=""/>
                </v:shape>
                <o:OLEObject Type="Embed" ProgID="" ShapeID="ole_rId115" DrawAspect="Content" ObjectID="_632816866" r:id="rId115"/>
              </w:objec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0,056</w:t>
            </w:r>
          </w:p>
        </w:tc>
        <w:tc>
          <w:tcPr>
            <w:tcW w:w="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1,0</w:t>
            </w:r>
          </w:p>
        </w:tc>
        <w:tc>
          <w:tcPr>
            <w:tcW w:w="39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ИМС</w:t>
            </w:r>
            <w:r>
              <w:rPr>
                <w:i/>
                <w:sz w:val="22"/>
              </w:rPr>
              <w:t xml:space="preserve"> = 1</w:t>
            </w:r>
            <w:r>
              <w:rPr>
                <w:sz w:val="22"/>
                <w:vertAlign w:val="subscript"/>
              </w:rPr>
              <w:t xml:space="preserve"> </w:t>
            </w:r>
            <w:r>
              <w:rPr>
                <w:sz w:val="22"/>
              </w:rPr>
              <w:t>– количество ИМС</w:t>
            </w:r>
          </w:p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ЭРЭ</w:t>
            </w:r>
            <w:r>
              <w:rPr>
                <w:sz w:val="22"/>
              </w:rPr>
              <w:t xml:space="preserve"> =17 – общее количество ЭРЭ</w:t>
            </w:r>
          </w:p>
        </w:tc>
      </w:tr>
      <w:tr>
        <w:trPr>
          <w:trHeight w:val="545" w:hRule="atLeast"/>
        </w:trPr>
        <w:tc>
          <w:tcPr>
            <w:tcW w:w="1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hanging="0"/>
              <w:jc w:val="left"/>
              <w:rPr>
                <w:sz w:val="22"/>
              </w:rPr>
            </w:pPr>
            <w:bookmarkStart w:id="90" w:name="_Toc325070237"/>
            <w:bookmarkStart w:id="91" w:name="_Toc325070100"/>
            <w:bookmarkStart w:id="92" w:name="_Toc324725547"/>
            <w:bookmarkEnd w:id="90"/>
            <w:bookmarkEnd w:id="91"/>
            <w:bookmarkEnd w:id="92"/>
            <w:r>
              <w:rPr>
                <w:sz w:val="22"/>
              </w:rPr>
              <w:t>Коэффициент механизации и автоматизации монтажа</w:t>
            </w:r>
          </w:p>
        </w:tc>
        <w:tc>
          <w:tcPr>
            <w:tcW w:w="2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ind w:left="0" w:right="0" w:hanging="0"/>
              <w:jc w:val="center"/>
              <w:rPr/>
            </w:pPr>
            <w:r>
              <w:rPr/>
              <w:object>
                <v:shape id="ole_rId117" style="width:59.25pt;height:33.75pt" o:ole="">
                  <v:imagedata r:id="rId118" o:title=""/>
                </v:shape>
                <o:OLEObject Type="Embed" ProgID="" ShapeID="ole_rId117" DrawAspect="Content" ObjectID="_2092671790" r:id="rId117"/>
              </w:objec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1,0</w:t>
            </w:r>
          </w:p>
        </w:tc>
        <w:tc>
          <w:tcPr>
            <w:tcW w:w="39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АМ</w:t>
            </w:r>
            <w:r>
              <w:rPr>
                <w:sz w:val="22"/>
              </w:rPr>
              <w:t xml:space="preserve">  = 0 – кол-во соед-й, получ. автом. способом</w:t>
            </w:r>
          </w:p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М</w:t>
            </w:r>
            <w:r>
              <w:rPr>
                <w:sz w:val="22"/>
              </w:rPr>
              <w:t xml:space="preserve">  = 48 – общее</w:t>
            </w:r>
            <w:r>
              <w:rPr>
                <w:caps/>
                <w:sz w:val="22"/>
              </w:rPr>
              <w:t xml:space="preserve"> </w:t>
            </w:r>
            <w:r>
              <w:rPr>
                <w:sz w:val="22"/>
              </w:rPr>
              <w:t>кол-во монтажных соединений</w:t>
            </w:r>
          </w:p>
        </w:tc>
      </w:tr>
      <w:tr>
        <w:trPr>
          <w:trHeight w:val="449" w:hRule="atLeast"/>
        </w:trPr>
        <w:tc>
          <w:tcPr>
            <w:tcW w:w="1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hanging="0"/>
              <w:jc w:val="left"/>
              <w:rPr>
                <w:sz w:val="22"/>
              </w:rPr>
            </w:pPr>
            <w:r>
              <w:rPr>
                <w:sz w:val="22"/>
              </w:rPr>
              <w:t>Коэффициент механизации подготовки к монтажу</w:t>
            </w:r>
          </w:p>
        </w:tc>
        <w:tc>
          <w:tcPr>
            <w:tcW w:w="2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/>
              <w:object>
                <v:shape id="ole_rId119" style="width:72pt;height:33.75pt" o:ole="">
                  <v:imagedata r:id="rId120" o:title=""/>
                </v:shape>
                <o:OLEObject Type="Embed" ProgID="" ShapeID="ole_rId119" DrawAspect="Content" ObjectID="_1884294941" r:id="rId119"/>
              </w:objec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0,8</w:t>
            </w:r>
          </w:p>
        </w:tc>
        <w:tc>
          <w:tcPr>
            <w:tcW w:w="39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/>
              <w:object>
                <v:shape id="ole_rId121" style="width:57.75pt;height:18pt" o:ole="">
                  <v:imagedata r:id="rId122" o:title=""/>
                </v:shape>
                <o:OLEObject Type="Embed" ProgID="" ShapeID="ole_rId121" DrawAspect="Content" ObjectID="_1287613110" r:id="rId121"/>
              </w:object>
            </w:r>
            <w:r>
              <w:rPr>
                <w:caps/>
                <w:sz w:val="22"/>
              </w:rPr>
              <w:t xml:space="preserve"> </w:t>
            </w:r>
            <w:r>
              <w:rPr>
                <w:sz w:val="22"/>
              </w:rPr>
              <w:t>–</w:t>
            </w:r>
            <w:r>
              <w:rPr>
                <w:caps/>
                <w:sz w:val="22"/>
              </w:rPr>
              <w:t xml:space="preserve"> </w:t>
            </w:r>
            <w:r>
              <w:rPr>
                <w:sz w:val="22"/>
              </w:rPr>
              <w:t>кол-во мех-но подготовленных ИЭТ</w:t>
            </w:r>
          </w:p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ЭРЭ</w:t>
            </w:r>
            <w:r>
              <w:rPr>
                <w:sz w:val="22"/>
              </w:rPr>
              <w:t xml:space="preserve"> =29  общее число ИЭТ</w:t>
            </w:r>
          </w:p>
        </w:tc>
      </w:tr>
      <w:tr>
        <w:trPr>
          <w:trHeight w:val="988" w:hRule="atLeast"/>
        </w:trPr>
        <w:tc>
          <w:tcPr>
            <w:tcW w:w="1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hanging="0"/>
              <w:jc w:val="left"/>
              <w:rPr>
                <w:sz w:val="22"/>
              </w:rPr>
            </w:pPr>
            <w:bookmarkStart w:id="93" w:name="_Toc325070561"/>
            <w:bookmarkStart w:id="94" w:name="_Toc325070238"/>
            <w:bookmarkStart w:id="95" w:name="_Toc325070101"/>
            <w:bookmarkStart w:id="96" w:name="_Toc324725548"/>
            <w:bookmarkEnd w:id="93"/>
            <w:bookmarkEnd w:id="94"/>
            <w:bookmarkEnd w:id="95"/>
            <w:bookmarkEnd w:id="96"/>
            <w:r>
              <w:rPr>
                <w:sz w:val="22"/>
              </w:rPr>
              <w:t>Коэффициент механизации контроля и настройки</w:t>
            </w:r>
          </w:p>
        </w:tc>
        <w:tc>
          <w:tcPr>
            <w:tcW w:w="2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Heading3"/>
              <w:spacing w:lineRule="auto" w:line="240" w:before="0" w:after="0"/>
              <w:ind w:left="360" w:right="0" w:hanging="0"/>
              <w:rPr/>
            </w:pPr>
            <w:r>
              <w:rPr/>
              <w:object>
                <v:shape id="ole_rId123" style="width:69pt;height:33.75pt" o:ole="">
                  <v:imagedata r:id="rId124" o:title=""/>
                </v:shape>
                <o:OLEObject Type="Embed" ProgID="" ShapeID="ole_rId123" DrawAspect="Content" ObjectID="_1962461549" r:id="rId123"/>
              </w:objec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0,5</w:t>
            </w:r>
          </w:p>
        </w:tc>
        <w:tc>
          <w:tcPr>
            <w:tcW w:w="39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МКН</w:t>
            </w:r>
            <w:r>
              <w:rPr>
                <w:i/>
                <w:sz w:val="22"/>
              </w:rPr>
              <w:t xml:space="preserve"> = 1</w:t>
            </w:r>
            <w:r>
              <w:rPr>
                <w:sz w:val="22"/>
                <w:vertAlign w:val="subscript"/>
              </w:rPr>
              <w:t xml:space="preserve"> </w:t>
            </w:r>
            <w:r>
              <w:rPr>
                <w:sz w:val="22"/>
              </w:rPr>
              <w:t>– кол-во операций мех-го контроля и настройки</w:t>
            </w:r>
          </w:p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КН</w:t>
            </w:r>
            <w:r>
              <w:rPr>
                <w:i/>
                <w:sz w:val="22"/>
              </w:rPr>
              <w:t xml:space="preserve"> = 1</w:t>
            </w:r>
            <w:r>
              <w:rPr>
                <w:sz w:val="22"/>
                <w:vertAlign w:val="subscript"/>
              </w:rPr>
              <w:t xml:space="preserve"> </w:t>
            </w:r>
            <w:r>
              <w:rPr>
                <w:sz w:val="22"/>
              </w:rPr>
              <w:t>– общее кол-во операций контроля и настройки</w:t>
            </w:r>
          </w:p>
        </w:tc>
      </w:tr>
      <w:tr>
        <w:trPr>
          <w:trHeight w:val="595" w:hRule="atLeast"/>
        </w:trPr>
        <w:tc>
          <w:tcPr>
            <w:tcW w:w="1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hanging="0"/>
              <w:jc w:val="left"/>
              <w:rPr>
                <w:sz w:val="22"/>
              </w:rPr>
            </w:pPr>
            <w:r>
              <w:rPr>
                <w:sz w:val="22"/>
              </w:rPr>
              <w:t>Коэффициент повторяемости ЭРЭ</w:t>
            </w:r>
          </w:p>
        </w:tc>
        <w:tc>
          <w:tcPr>
            <w:tcW w:w="2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/>
              <w:object>
                <v:shape id="ole_rId125" style="width:96pt;height:33.75pt" o:ole="">
                  <v:imagedata r:id="rId126" o:title=""/>
                </v:shape>
                <o:OLEObject Type="Embed" ProgID="" ShapeID="ole_rId125" DrawAspect="Content" ObjectID="_57168035" r:id="rId125"/>
              </w:objec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0,71</w:t>
            </w:r>
          </w:p>
        </w:tc>
        <w:tc>
          <w:tcPr>
            <w:tcW w:w="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0,3</w:t>
            </w:r>
          </w:p>
        </w:tc>
        <w:tc>
          <w:tcPr>
            <w:tcW w:w="39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ТЭРЭ</w:t>
            </w:r>
            <w:r>
              <w:rPr>
                <w:i/>
                <w:sz w:val="22"/>
              </w:rPr>
              <w:t xml:space="preserve"> = 5</w:t>
            </w:r>
            <w:r>
              <w:rPr>
                <w:sz w:val="22"/>
                <w:vertAlign w:val="subscript"/>
              </w:rPr>
              <w:t xml:space="preserve"> </w:t>
            </w:r>
            <w:r>
              <w:rPr>
                <w:sz w:val="22"/>
              </w:rPr>
              <w:t>– количество типоразмеров ЭРЭ</w:t>
            </w:r>
          </w:p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ЭРЭ</w:t>
            </w:r>
            <w:r>
              <w:rPr>
                <w:sz w:val="22"/>
              </w:rPr>
              <w:t xml:space="preserve"> =17  – общее количество ЭРЭ</w:t>
            </w:r>
          </w:p>
        </w:tc>
      </w:tr>
      <w:tr>
        <w:trPr>
          <w:trHeight w:val="1034" w:hRule="atLeast"/>
        </w:trPr>
        <w:tc>
          <w:tcPr>
            <w:tcW w:w="1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hanging="0"/>
              <w:jc w:val="left"/>
              <w:rPr>
                <w:sz w:val="22"/>
              </w:rPr>
            </w:pPr>
            <w:r>
              <w:rPr>
                <w:sz w:val="22"/>
              </w:rPr>
              <w:t>Коэффициент применямости ЭРЭ</w:t>
            </w:r>
          </w:p>
        </w:tc>
        <w:tc>
          <w:tcPr>
            <w:tcW w:w="2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/>
              <w:object>
                <v:shape id="ole_rId127" style="width:102pt;height:36.75pt" o:ole="">
                  <v:imagedata r:id="rId128" o:title=""/>
                </v:shape>
                <o:OLEObject Type="Embed" ProgID="" ShapeID="ole_rId127" DrawAspect="Content" ObjectID="_831432292" r:id="rId127"/>
              </w:object>
            </w:r>
          </w:p>
        </w:tc>
        <w:tc>
          <w:tcPr>
            <w:tcW w:w="1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0,8</w:t>
            </w:r>
          </w:p>
        </w:tc>
        <w:tc>
          <w:tcPr>
            <w:tcW w:w="7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0,2</w:t>
            </w:r>
          </w:p>
        </w:tc>
        <w:tc>
          <w:tcPr>
            <w:tcW w:w="39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ОрЭРЭ</w:t>
            </w:r>
            <w:r>
              <w:rPr>
                <w:i/>
                <w:sz w:val="22"/>
              </w:rPr>
              <w:t xml:space="preserve"> = 1</w:t>
            </w:r>
            <w:r>
              <w:rPr>
                <w:sz w:val="22"/>
                <w:vertAlign w:val="subscript"/>
              </w:rPr>
              <w:t xml:space="preserve"> </w:t>
            </w:r>
            <w:r>
              <w:rPr>
                <w:sz w:val="22"/>
              </w:rPr>
              <w:t>– количество оригинальных ЭРЭ</w:t>
            </w:r>
          </w:p>
          <w:p>
            <w:pPr>
              <w:pStyle w:val="Normal"/>
              <w:spacing w:lineRule="auto" w:line="240"/>
              <w:ind w:left="0" w:right="0" w:hanging="0"/>
              <w:jc w:val="left"/>
              <w:rPr/>
            </w:pPr>
            <w:r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ТЭРЭ</w:t>
            </w:r>
            <w:r>
              <w:rPr>
                <w:i/>
                <w:sz w:val="22"/>
              </w:rPr>
              <w:t xml:space="preserve"> = 5</w:t>
            </w:r>
            <w:r>
              <w:rPr>
                <w:sz w:val="22"/>
                <w:vertAlign w:val="subscript"/>
              </w:rPr>
              <w:t xml:space="preserve"> </w:t>
            </w:r>
            <w:r>
              <w:rPr>
                <w:sz w:val="22"/>
              </w:rPr>
              <w:t>– количество типоразмеров ЭРЭ</w:t>
            </w:r>
          </w:p>
        </w:tc>
      </w:tr>
    </w:tbl>
    <w:p>
      <w:pPr>
        <w:pStyle w:val="Normal"/>
        <w:ind w:left="0" w:right="0" w:firstLine="567"/>
        <w:rPr>
          <w:u w:val="single"/>
        </w:rPr>
      </w:pPr>
      <w:r>
        <w:rPr>
          <w:u w:val="single"/>
        </w:rPr>
      </w:r>
    </w:p>
    <w:p>
      <w:pPr>
        <w:pStyle w:val="Normal"/>
        <w:ind w:left="0" w:right="0" w:firstLine="567"/>
        <w:rPr/>
      </w:pPr>
      <w:r>
        <w:rPr/>
        <w:t xml:space="preserve">Комплексный показатель технологичности: </w:t>
      </w:r>
    </w:p>
    <w:p>
      <w:pPr>
        <w:pStyle w:val="MTDisplayEquation1"/>
        <w:rPr/>
      </w:pPr>
      <w:r>
        <w:rPr/>
        <w:tab/>
      </w:r>
      <w:r>
        <w:rPr/>
        <w:object>
          <v:shape id="ole_rId129" style="width:372.75pt;height:76.5pt" o:ole="">
            <v:imagedata r:id="rId130" o:title=""/>
          </v:shape>
          <o:OLEObject Type="Embed" ProgID="" ShapeID="ole_rId129" DrawAspect="Content" ObjectID="_514136071" r:id="rId129"/>
        </w:object>
      </w:r>
      <w:r>
        <w:rPr/>
        <w:tab/>
        <w:t>(4.23)</w:t>
      </w:r>
    </w:p>
    <w:p>
      <w:pPr>
        <w:pStyle w:val="Normal"/>
        <w:ind w:left="0" w:right="0" w:firstLine="567"/>
        <w:rPr/>
      </w:pPr>
      <w:r>
        <w:rPr/>
        <w:t>К=0,46 – подходит для мелкосерийного производства. Таким образом, конструкция ячейки имеет необходимый уровень технологичности.</w:t>
      </w:r>
    </w:p>
    <w:p>
      <w:pPr>
        <w:pStyle w:val="Normal"/>
        <w:ind w:left="0" w:right="0" w:firstLine="567"/>
        <w:rPr>
          <w:u w:val="single"/>
        </w:rPr>
      </w:pPr>
      <w:r>
        <w:rPr>
          <w:u w:val="single"/>
        </w:rPr>
      </w:r>
    </w:p>
    <w:p>
      <w:pPr>
        <w:pStyle w:val="Heading3"/>
        <w:rPr/>
      </w:pPr>
      <w:bookmarkStart w:id="97" w:name="_Toc325070562"/>
      <w:bookmarkEnd w:id="97"/>
      <w:r>
        <w:rPr/>
        <w:t>4.6.6 Расчет размерной цепи устройства</w:t>
      </w:r>
    </w:p>
    <w:p>
      <w:pPr>
        <w:pStyle w:val="NNosnova"/>
        <w:spacing w:lineRule="auto" w:line="300"/>
        <w:rPr/>
      </w:pPr>
      <w:r>
        <w:rPr/>
        <w:t>Проведем проверочный расчет размерной цепи корпуса разрабатываемого устройства в сборе. Задача этого расчета заключается в определении номинального размера, допуска и предельного отклонения замыкающего звена, которым является зазор между крышкой и основанием корпуса, который в идеальном случае должен быть равен 0.</w:t>
      </w:r>
    </w:p>
    <w:p>
      <w:pPr>
        <w:pStyle w:val="NNosnova"/>
        <w:spacing w:lineRule="auto" w:line="300"/>
        <w:rPr/>
      </w:pPr>
      <w:r>
        <w:rPr/>
        <w:t>На рисунке 4.6.6.1 показан фрагмент размерной цепи, где составляющие звенья обозначены так:</w:t>
      </w:r>
    </w:p>
    <w:p>
      <w:pPr>
        <w:pStyle w:val="NNosnova"/>
        <w:spacing w:lineRule="auto" w:line="300"/>
        <w:rPr/>
      </w:pPr>
      <w:r>
        <w:rPr>
          <w:i/>
        </w:rPr>
        <w:t>А</w:t>
      </w:r>
      <w:r>
        <w:rPr>
          <w:i/>
          <w:vertAlign w:val="subscript"/>
        </w:rPr>
        <w:t>1</w:t>
      </w:r>
      <w:r>
        <w:rPr/>
        <w:t xml:space="preserve"> – номинальная высота корпуса в районе установки светофильтра, </w:t>
      </w:r>
      <w:r>
        <w:rPr>
          <w:i/>
        </w:rPr>
        <w:t>А</w:t>
      </w:r>
      <w:r>
        <w:rPr>
          <w:i/>
          <w:vertAlign w:val="subscript"/>
        </w:rPr>
        <w:t>1</w:t>
      </w:r>
      <w:r>
        <w:rPr/>
        <w:t xml:space="preserve"> = 14,8 мм;</w:t>
      </w:r>
    </w:p>
    <w:p>
      <w:pPr>
        <w:pStyle w:val="NNosnova"/>
        <w:spacing w:lineRule="auto" w:line="300"/>
        <w:rPr/>
      </w:pPr>
      <w:r>
        <w:rPr>
          <w:i/>
        </w:rPr>
        <w:t>А</w:t>
      </w:r>
      <w:r>
        <w:rPr>
          <w:i/>
          <w:vertAlign w:val="subscript"/>
        </w:rPr>
        <w:t>2</w:t>
      </w:r>
      <w:r>
        <w:rPr/>
        <w:t xml:space="preserve"> – номинальная высота нижней части корпуса,</w:t>
      </w:r>
      <w:r>
        <w:rPr>
          <w:i/>
        </w:rPr>
        <w:t xml:space="preserve"> А</w:t>
      </w:r>
      <w:r>
        <w:rPr>
          <w:i/>
          <w:vertAlign w:val="subscript"/>
        </w:rPr>
        <w:t>2</w:t>
      </w:r>
      <w:r>
        <w:rPr/>
        <w:t xml:space="preserve"> =  10,3 мм;</w:t>
      </w:r>
    </w:p>
    <w:p>
      <w:pPr>
        <w:pStyle w:val="NNosnova"/>
        <w:spacing w:lineRule="auto" w:line="300"/>
        <w:rPr/>
      </w:pPr>
      <w:r>
        <w:rPr>
          <w:i/>
        </w:rPr>
        <w:t>А</w:t>
      </w:r>
      <w:r>
        <w:rPr>
          <w:i/>
          <w:vertAlign w:val="subscript"/>
        </w:rPr>
        <w:t>3</w:t>
      </w:r>
      <w:r>
        <w:rPr/>
        <w:t xml:space="preserve">  –  номинальная высота соприкасающейся верхней части корпуса</w:t>
      </w:r>
      <w:r>
        <w:rPr>
          <w:i/>
        </w:rPr>
        <w:t xml:space="preserve"> А</w:t>
      </w:r>
      <w:r>
        <w:rPr>
          <w:i/>
          <w:vertAlign w:val="subscript"/>
        </w:rPr>
        <w:t>3</w:t>
      </w:r>
      <w:r>
        <w:rPr/>
        <w:t xml:space="preserve"> = 4,5 мм;</w:t>
      </w:r>
    </w:p>
    <w:p>
      <w:pPr>
        <w:pStyle w:val="NNosnova"/>
        <w:spacing w:lineRule="auto" w:line="300"/>
        <w:rPr/>
      </w:pPr>
      <w:r>
        <w:rPr>
          <w:i/>
        </w:rPr>
        <w:t>А</w:t>
      </w:r>
      <w:r>
        <w:rPr>
          <w:rFonts w:ascii="Symbol" w:hAnsi="Symbol"/>
          <w:i/>
          <w:vertAlign w:val="subscript"/>
        </w:rPr>
        <w:t></w:t>
      </w:r>
      <w:r>
        <w:rPr/>
        <w:t xml:space="preserve"> – номинальный размер замыкающего звена (зазор).</w:t>
      </w:r>
    </w:p>
    <w:p>
      <w:pPr>
        <w:pStyle w:val="NNosnova"/>
        <w:spacing w:lineRule="auto" w:line="300"/>
        <w:rPr/>
      </w:pPr>
      <w:r>
        <w:rPr/>
        <w:t xml:space="preserve">В данной размерной цепи размер </w:t>
      </w:r>
      <w:r>
        <w:rPr>
          <w:i/>
        </w:rPr>
        <w:t>А</w:t>
      </w:r>
      <w:r>
        <w:rPr>
          <w:i/>
          <w:vertAlign w:val="subscript"/>
        </w:rPr>
        <w:t>1</w:t>
      </w:r>
      <w:r>
        <w:rPr/>
        <w:t xml:space="preserve"> будет увеличивающим, а размеры </w:t>
      </w:r>
      <w:r>
        <w:rPr>
          <w:i/>
        </w:rPr>
        <w:t>А</w:t>
      </w:r>
      <w:r>
        <w:rPr>
          <w:i/>
          <w:vertAlign w:val="subscript"/>
        </w:rPr>
        <w:t>2</w:t>
      </w:r>
      <w:r>
        <w:rPr/>
        <w:t>,</w:t>
      </w:r>
      <w:r>
        <w:rPr>
          <w:i/>
        </w:rPr>
        <w:t xml:space="preserve"> А</w:t>
      </w:r>
      <w:r>
        <w:rPr>
          <w:i/>
          <w:vertAlign w:val="subscript"/>
        </w:rPr>
        <w:t>3</w:t>
      </w:r>
      <w:r>
        <w:rPr/>
        <w:t xml:space="preserve"> – уменьшающими. </w:t>
      </w:r>
    </w:p>
    <w:p>
      <w:pPr>
        <w:pStyle w:val="NNosnova"/>
        <w:spacing w:lineRule="auto" w:line="300"/>
        <w:rPr/>
      </w:pPr>
      <w:r>
        <w:rPr/>
        <w:t>Для выполнения проверочного расчета должны выполняться следующие условия:</w:t>
      </w:r>
    </w:p>
    <w:p>
      <w:pPr>
        <w:pStyle w:val="MTDisplayEquation1"/>
        <w:rPr/>
      </w:pPr>
      <w:r>
        <w:rPr/>
        <w:tab/>
      </w:r>
      <w:r>
        <w:rPr/>
        <w:object>
          <v:shape id="ole_rId131" style="width:110.25pt;height:35.25pt" o:ole="">
            <v:imagedata r:id="rId132" o:title=""/>
          </v:shape>
          <o:OLEObject Type="Embed" ProgID="" ShapeID="ole_rId131" DrawAspect="Content" ObjectID="_2052736990" r:id="rId131"/>
        </w:object>
      </w:r>
      <w:r>
        <w:rPr/>
        <w:t>,</w:t>
        <w:tab/>
        <w:t>(4.24)</w:t>
      </w:r>
    </w:p>
    <w:p>
      <w:pPr>
        <w:pStyle w:val="MTDisplayEquation1"/>
        <w:rPr/>
      </w:pPr>
      <w:r>
        <w:rPr/>
        <w:tab/>
      </w:r>
      <w:r>
        <w:rPr/>
        <w:object>
          <v:shape id="ole_rId133" style="width:126pt;height:35.25pt" o:ole="">
            <v:imagedata r:id="rId134" o:title=""/>
          </v:shape>
          <o:OLEObject Type="Embed" ProgID="" ShapeID="ole_rId133" DrawAspect="Content" ObjectID="_80386989" r:id="rId133"/>
        </w:object>
      </w:r>
      <w:r>
        <w:rPr/>
        <w:t>,</w:t>
        <w:tab/>
        <w:t>(4.25)</w:t>
      </w:r>
    </w:p>
    <w:p>
      <w:pPr>
        <w:pStyle w:val="NNosnova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</w:tabs>
        <w:spacing w:lineRule="auto" w:line="300"/>
        <w:ind w:left="0" w:right="0" w:firstLine="426"/>
        <w:jc w:val="left"/>
        <w:rPr/>
      </w:pPr>
      <w:r>
        <w:rPr/>
        <w:t xml:space="preserve">где </w:t>
      </w:r>
      <w:r>
        <w:rPr/>
        <w:object>
          <v:shape id="ole_rId135" style="width:39pt;height:35.25pt" o:ole="">
            <v:imagedata r:id="rId136" o:title=""/>
          </v:shape>
          <o:OLEObject Type="Embed" ProgID="" ShapeID="ole_rId135" DrawAspect="Content" ObjectID="_1558118996" r:id="rId135"/>
        </w:object>
      </w:r>
      <w:r>
        <w:rPr/>
        <w:t xml:space="preserve"> – сумма </w:t>
      </w:r>
      <w:r>
        <w:rPr>
          <w:lang w:val="en-US"/>
        </w:rPr>
        <w:t>m</w:t>
      </w:r>
      <w:r>
        <w:rPr/>
        <w:t xml:space="preserve"> увеличивающих размеров;</w:t>
      </w:r>
    </w:p>
    <w:p>
      <w:pPr>
        <w:pStyle w:val="NNosnova"/>
        <w:spacing w:lineRule="auto" w:line="300"/>
        <w:rPr/>
      </w:pPr>
      <w:r>
        <w:rPr/>
        <w:object>
          <v:shape id="ole_rId137" style="width:40.5pt;height:35.25pt" o:ole="">
            <v:imagedata r:id="rId138" o:title=""/>
          </v:shape>
          <o:OLEObject Type="Embed" ProgID="" ShapeID="ole_rId137" DrawAspect="Content" ObjectID="_1190561716" r:id="rId137"/>
        </w:object>
      </w:r>
      <w:r>
        <w:rPr/>
        <w:t xml:space="preserve"> – </w:t>
      </w:r>
      <w:r>
        <w:rPr/>
        <w:t xml:space="preserve">сумма </w:t>
      </w:r>
      <w:r>
        <w:rPr>
          <w:lang w:val="en-US"/>
        </w:rPr>
        <w:t>n</w:t>
      </w:r>
      <w:r>
        <w:rPr/>
        <w:t xml:space="preserve"> уменьшающих размеров;</w:t>
      </w:r>
    </w:p>
    <w:p>
      <w:pPr>
        <w:pStyle w:val="NNosnova"/>
        <w:spacing w:lineRule="auto" w:line="300"/>
        <w:rPr/>
      </w:pPr>
      <w:r>
        <w:rPr>
          <w:i/>
        </w:rPr>
        <w:t>TА</w:t>
      </w:r>
      <w:r>
        <w:rPr>
          <w:rFonts w:ascii="Symbol" w:hAnsi="Symbol"/>
          <w:i/>
          <w:vertAlign w:val="subscript"/>
        </w:rPr>
        <w:t></w:t>
      </w:r>
      <w:r>
        <w:rPr/>
        <w:t xml:space="preserve"> – допуск замыкающего звена, </w:t>
      </w:r>
      <w:r>
        <w:rPr>
          <w:i/>
        </w:rPr>
        <w:t>TА</w:t>
      </w:r>
      <w:r>
        <w:rPr>
          <w:rFonts w:ascii="Symbol" w:hAnsi="Symbol"/>
          <w:i/>
          <w:vertAlign w:val="subscript"/>
        </w:rPr>
        <w:t></w:t>
      </w:r>
      <w:r>
        <w:rPr/>
        <w:t xml:space="preserve"> = 250 мкм.;</w:t>
      </w:r>
    </w:p>
    <w:p>
      <w:pPr>
        <w:pStyle w:val="NNosnova"/>
        <w:spacing w:lineRule="auto" w:line="300"/>
        <w:rPr/>
      </w:pPr>
      <w:r>
        <w:rPr/>
        <w:object>
          <v:shape id="ole_rId139" style="width:44.25pt;height:35.25pt" o:ole="">
            <v:imagedata r:id="rId140" o:title=""/>
          </v:shape>
          <o:OLEObject Type="Embed" ProgID="" ShapeID="ole_rId139" DrawAspect="Content" ObjectID="_509530895" r:id="rId139"/>
        </w:object>
      </w:r>
      <w:r>
        <w:rPr/>
        <w:t xml:space="preserve"> – </w:t>
      </w:r>
      <w:r>
        <w:rPr/>
        <w:t xml:space="preserve">сумма допусков на </w:t>
      </w:r>
      <w:r>
        <w:rPr>
          <w:lang w:val="en-US"/>
        </w:rPr>
        <w:t>m</w:t>
      </w:r>
      <w:r>
        <w:rPr/>
        <w:t xml:space="preserve"> увеличивающих размеров;</w:t>
      </w:r>
    </w:p>
    <w:p>
      <w:pPr>
        <w:pStyle w:val="NNosnova"/>
        <w:spacing w:lineRule="auto" w:line="300"/>
        <w:rPr/>
      </w:pPr>
      <w:r>
        <w:rPr/>
        <w:object>
          <v:shape id="ole_rId141" style="width:45pt;height:35.25pt" o:ole="">
            <v:imagedata r:id="rId142" o:title=""/>
          </v:shape>
          <o:OLEObject Type="Embed" ProgID="" ShapeID="ole_rId141" DrawAspect="Content" ObjectID="_1805108194" r:id="rId141"/>
        </w:object>
      </w:r>
      <w:r>
        <w:rPr/>
        <w:t xml:space="preserve"> – </w:t>
      </w:r>
      <w:r>
        <w:rPr/>
        <w:t xml:space="preserve">сумма допусков на </w:t>
      </w:r>
      <w:r>
        <w:rPr>
          <w:lang w:val="en-US"/>
        </w:rPr>
        <w:t>n</w:t>
      </w:r>
      <w:r>
        <w:rPr/>
        <w:t xml:space="preserve"> уменьшающих размеров.</w:t>
      </w:r>
    </w:p>
    <w:p>
      <w:pPr>
        <w:pStyle w:val="NNosnova"/>
        <w:spacing w:lineRule="auto" w:line="30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2438400" cy="1419225"/>
                <wp:effectExtent l="0" t="0" r="0" b="0"/>
                <wp:docPr id="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143"/>
                        <a:stretch/>
                      </pic:blipFill>
                      <pic:spPr>
                        <a:xfrm rot="16200000">
                          <a:off x="0" y="0"/>
                          <a:ext cx="2437920" cy="1418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-40.1pt;margin-top:40.1pt;width:191.9pt;height:111.65pt;rotation:270">
                <v:imagedata r:id="rId144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Nosnova"/>
        <w:spacing w:lineRule="auto" w:line="300"/>
        <w:ind w:left="0" w:right="0" w:hanging="0"/>
        <w:rPr/>
      </w:pPr>
      <w:r>
        <w:rPr/>
      </w:r>
    </w:p>
    <w:p>
      <w:pPr>
        <w:pStyle w:val="Normal"/>
        <w:jc w:val="center"/>
        <w:rPr>
          <w:sz w:val="22"/>
        </w:rPr>
      </w:pPr>
      <w:r>
        <w:rPr>
          <w:sz w:val="22"/>
        </w:rPr>
        <w:t>Рисунок 4.6.6.1. Расчет размерной цепи</w:t>
      </w:r>
    </w:p>
    <w:p>
      <w:pPr>
        <w:pStyle w:val="NNosnova"/>
        <w:spacing w:lineRule="auto" w:line="300"/>
        <w:rPr/>
      </w:pPr>
      <w:r>
        <w:rPr/>
        <w:t>Для проверки рассчитаем значение номинального размера замыкающего звена по формуле:</w:t>
      </w:r>
    </w:p>
    <w:p>
      <w:pPr>
        <w:pStyle w:val="NNosnova"/>
        <w:jc w:val="center"/>
        <w:rPr/>
      </w:pPr>
      <w:r>
        <w:rPr/>
        <w:object>
          <v:shape id="ole_rId145" style="width:190.5pt;height:39pt" o:ole="">
            <v:imagedata r:id="rId146" o:title=""/>
          </v:shape>
          <o:OLEObject Type="Embed" ProgID="" ShapeID="ole_rId145" DrawAspect="Content" ObjectID="_1645922175" r:id="rId145"/>
        </w:object>
      </w:r>
      <w:r>
        <w:rPr/>
        <w:t xml:space="preserve"> </w:t>
      </w:r>
      <w:r>
        <w:rPr/>
        <w:t>= 0 мм.</w:t>
      </w:r>
    </w:p>
    <w:p>
      <w:pPr>
        <w:pStyle w:val="NNosnova"/>
        <w:rPr/>
      </w:pPr>
      <w:r>
        <w:rPr/>
        <w:t>Согласно ГОСТ 25346-89 высчитаем допуски для каждого звена размерной цепи, учитывая, что размерам назначен 8-ой квалитет точности:</w:t>
      </w:r>
    </w:p>
    <w:p>
      <w:pPr>
        <w:pStyle w:val="NNosnova"/>
        <w:rPr/>
      </w:pPr>
      <w:r>
        <w:rPr>
          <w:i/>
        </w:rPr>
        <w:t>TА</w:t>
      </w:r>
      <w:r>
        <w:rPr>
          <w:i/>
          <w:vertAlign w:val="subscript"/>
        </w:rPr>
        <w:t>1</w:t>
      </w:r>
      <w:r>
        <w:rPr/>
        <w:t xml:space="preserve"> =</w:t>
      </w:r>
      <w:r>
        <w:rPr>
          <w:i/>
        </w:rPr>
        <w:t xml:space="preserve"> </w:t>
      </w:r>
      <w:r>
        <w:rPr/>
        <w:t>0,039 мм;</w:t>
        <w:tab/>
        <w:tab/>
      </w:r>
      <w:r>
        <w:rPr>
          <w:i/>
        </w:rPr>
        <w:t>TА</w:t>
      </w:r>
      <w:r>
        <w:rPr>
          <w:i/>
          <w:vertAlign w:val="subscript"/>
        </w:rPr>
        <w:t>2</w:t>
      </w:r>
      <w:r>
        <w:rPr/>
        <w:t xml:space="preserve"> = 0,014 мм.</w:t>
      </w:r>
    </w:p>
    <w:p>
      <w:pPr>
        <w:pStyle w:val="NNosnova"/>
        <w:rPr/>
      </w:pPr>
      <w:r>
        <w:rPr/>
        <w:t>Тогда проверим условие (4.25):</w:t>
      </w:r>
    </w:p>
    <w:p>
      <w:pPr>
        <w:pStyle w:val="NNosnova"/>
        <w:rPr/>
      </w:pPr>
      <w:r>
        <w:rPr/>
        <w:object>
          <v:shape id="ole_rId147" style="width:378.75pt;height:34.5pt" o:ole="">
            <v:imagedata r:id="rId148" o:title=""/>
          </v:shape>
          <o:OLEObject Type="Embed" ProgID="" ShapeID="ole_rId147" DrawAspect="Content" ObjectID="_294887104" r:id="rId147"/>
        </w:object>
      </w:r>
      <w:r>
        <w:rPr/>
        <w:t xml:space="preserve"> </w:t>
      </w:r>
      <w:r>
        <w:rPr/>
        <w:t>мкм.</w:t>
      </w:r>
    </w:p>
    <w:p>
      <w:pPr>
        <w:pStyle w:val="NNosnova"/>
        <w:rPr/>
      </w:pPr>
      <w:r>
        <w:rPr/>
        <w:t>Условие выполняется, следовательно, размерная цепь рассчитана верно.</w:t>
      </w:r>
    </w:p>
    <w:p>
      <w:pPr>
        <w:pStyle w:val="Normal"/>
        <w:spacing w:lineRule="auto" w:line="240"/>
        <w:ind w:left="0" w:right="0" w:hanging="0"/>
        <w:jc w:val="left"/>
        <w:rPr>
          <w:rFonts w:ascii="Cambria" w:hAnsi="Cambria"/>
          <w:b/>
          <w:b/>
          <w:iCs/>
          <w:color w:val="000000"/>
          <w:sz w:val="26"/>
        </w:rPr>
      </w:pPr>
      <w:r>
        <w:rPr>
          <w:rFonts w:ascii="Cambria" w:hAnsi="Cambria"/>
          <w:b/>
          <w:iCs/>
          <w:color w:val="000000"/>
          <w:sz w:val="26"/>
        </w:rPr>
      </w:r>
    </w:p>
    <w:p>
      <w:pPr>
        <w:pStyle w:val="Heading3"/>
        <w:rPr/>
      </w:pPr>
      <w:bookmarkStart w:id="98" w:name="_Toc325070563"/>
      <w:bookmarkEnd w:id="98"/>
      <w:r>
        <w:rPr/>
        <w:t>4.6.7 Расчет надежности</w:t>
      </w:r>
    </w:p>
    <w:p>
      <w:pPr>
        <w:pStyle w:val="Normal"/>
        <w:rPr/>
      </w:pPr>
      <w:r>
        <w:rPr/>
        <w:t>Интенсивность отказа элементов с учетом условий эксплуатации изделия:</w:t>
      </w:r>
    </w:p>
    <w:p>
      <w:pPr>
        <w:pStyle w:val="Normal"/>
        <w:spacing w:lineRule="auto" w:line="276"/>
        <w:jc w:val="center"/>
        <w:rPr/>
      </w:pPr>
      <w:r>
        <w:rPr/>
        <w:object>
          <v:shape id="ole_rId149" style="width:120pt;height:18.75pt" o:ole="">
            <v:imagedata r:id="rId150" o:title=""/>
          </v:shape>
          <o:OLEObject Type="Embed" ProgID="" ShapeID="ole_rId149" DrawAspect="Content" ObjectID="_1219284951" r:id="rId149"/>
        </w:object>
      </w:r>
      <w:r>
        <w:rPr/>
        <w:t>,</w:t>
      </w:r>
    </w:p>
    <w:p>
      <w:pPr>
        <w:pStyle w:val="Normal"/>
        <w:rPr/>
      </w:pPr>
      <w:r>
        <w:rPr/>
        <w:t xml:space="preserve"> </w:t>
      </w:r>
      <w:r>
        <w:rPr/>
        <w:t xml:space="preserve">где  </w:t>
      </w:r>
      <w:r>
        <w:rPr/>
        <w:object>
          <v:shape id="ole_rId151" style="width:20.25pt;height:18.75pt" o:ole="">
            <v:imagedata r:id="rId152" o:title=""/>
          </v:shape>
          <o:OLEObject Type="Embed" ProgID="" ShapeID="ole_rId151" DrawAspect="Content" ObjectID="_1968415237" r:id="rId151"/>
        </w:object>
      </w:r>
      <w:r>
        <w:rPr/>
        <w:t>- номинальная интенсивность отказов (см. табл. 4.6.2.1)</w:t>
      </w:r>
    </w:p>
    <w:p>
      <w:pPr>
        <w:pStyle w:val="Normal"/>
        <w:rPr/>
      </w:pPr>
      <w:r>
        <w:rPr/>
        <w:t>k</w:t>
      </w:r>
      <w:r>
        <w:rPr>
          <w:vertAlign w:val="subscript"/>
        </w:rPr>
        <w:t>1</w:t>
      </w:r>
      <w:r>
        <w:rPr/>
        <w:t xml:space="preserve"> и k</w:t>
      </w:r>
      <w:r>
        <w:rPr>
          <w:vertAlign w:val="subscript"/>
        </w:rPr>
        <w:t>2</w:t>
      </w:r>
      <w:r>
        <w:rPr/>
        <w:t xml:space="preserve"> - поправочные коэффициенты в зависимости от воздействия мех. факторов;</w:t>
      </w:r>
    </w:p>
    <w:p>
      <w:pPr>
        <w:pStyle w:val="Normal"/>
        <w:rPr/>
      </w:pPr>
      <w:r>
        <w:rPr/>
        <w:t>k</w:t>
      </w:r>
      <w:r>
        <w:rPr>
          <w:vertAlign w:val="subscript"/>
        </w:rPr>
        <w:t>3</w:t>
      </w:r>
      <w:r>
        <w:rPr/>
        <w:t xml:space="preserve"> - поправочный коэффициент в зависимости от воздействия влажности и температуры;</w:t>
      </w:r>
    </w:p>
    <w:p>
      <w:pPr>
        <w:pStyle w:val="Normal"/>
        <w:rPr/>
      </w:pPr>
      <w:r>
        <w:rPr/>
        <w:t>k</w:t>
      </w:r>
      <w:r>
        <w:rPr>
          <w:vertAlign w:val="subscript"/>
        </w:rPr>
        <w:t>4</w:t>
      </w:r>
      <w:r>
        <w:rPr/>
        <w:t xml:space="preserve"> - поправочный коэффициент в зависимости от давления воздуха;</w:t>
      </w:r>
    </w:p>
    <w:p>
      <w:pPr>
        <w:pStyle w:val="Normal"/>
        <w:rPr/>
      </w:pPr>
      <w:r>
        <w:rPr/>
        <w:t>a</w:t>
      </w:r>
      <w:r>
        <w:rPr>
          <w:vertAlign w:val="subscript"/>
        </w:rPr>
        <w:t>i</w:t>
      </w:r>
      <w:r>
        <w:rPr/>
        <w:t>(T,k</w:t>
      </w:r>
      <w:r>
        <w:rPr>
          <w:vertAlign w:val="subscript"/>
        </w:rPr>
        <w:t>н</w:t>
      </w:r>
      <w:r>
        <w:rPr/>
        <w:t>) - поправочный коэффициент в зависимости от температуры поверхности элемента T и коэффициента нагрузки k</w:t>
      </w:r>
      <w:r>
        <w:rPr>
          <w:vertAlign w:val="subscript"/>
        </w:rPr>
        <w:t>н</w:t>
      </w:r>
      <w:r>
        <w:rPr/>
        <w:t xml:space="preserve"> (см. табл. 4.6.7.1);</w:t>
      </w:r>
    </w:p>
    <w:p>
      <w:pPr>
        <w:pStyle w:val="Normal"/>
        <w:rPr/>
      </w:pPr>
      <w:r>
        <w:rPr/>
        <w:t>k</w:t>
      </w:r>
      <w:r>
        <w:rPr>
          <w:vertAlign w:val="subscript"/>
        </w:rPr>
        <w:t>1</w:t>
      </w:r>
      <w:r>
        <w:rPr/>
        <w:t>=1,04, k</w:t>
      </w:r>
      <w:r>
        <w:rPr>
          <w:vertAlign w:val="subscript"/>
        </w:rPr>
        <w:t>2</w:t>
      </w:r>
      <w:r>
        <w:rPr/>
        <w:t xml:space="preserve">=1,03 (стационарные условия эксплуатации), </w:t>
      </w:r>
    </w:p>
    <w:p>
      <w:pPr>
        <w:pStyle w:val="Normal"/>
        <w:rPr/>
      </w:pPr>
      <w:r>
        <w:rPr/>
        <w:t>k</w:t>
      </w:r>
      <w:r>
        <w:rPr>
          <w:vertAlign w:val="subscript"/>
        </w:rPr>
        <w:t>3</w:t>
      </w:r>
      <w:r>
        <w:rPr/>
        <w:t>=2,0, k</w:t>
      </w:r>
      <w:r>
        <w:rPr>
          <w:vertAlign w:val="subscript"/>
        </w:rPr>
        <w:t>4</w:t>
      </w:r>
      <w:r>
        <w:rPr/>
        <w:t>=1 (нормальное давление).</w:t>
      </w:r>
    </w:p>
    <w:p>
      <w:pPr>
        <w:pStyle w:val="Normal"/>
        <w:rPr/>
      </w:pPr>
      <w:r>
        <w:rPr/>
        <w:t>В табл. 4.6.7.1 представлены данные о интенсивности отказов всех компонентов.</w:t>
      </w:r>
    </w:p>
    <w:p>
      <w:pPr>
        <w:pStyle w:val="Normal"/>
        <w:spacing w:lineRule="auto" w:line="240"/>
        <w:jc w:val="right"/>
        <w:rPr>
          <w:sz w:val="22"/>
        </w:rPr>
      </w:pPr>
      <w:r>
        <w:rPr>
          <w:sz w:val="22"/>
        </w:rPr>
        <w:t>Таблица 4.6.7.1 Интенсивности отказов компонентов</w:t>
      </w:r>
    </w:p>
    <w:tbl>
      <w:tblPr>
        <w:tblW w:w="9923" w:type="dxa"/>
        <w:jc w:val="left"/>
        <w:tblInd w:w="-3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1701"/>
        <w:gridCol w:w="1560"/>
        <w:gridCol w:w="1700"/>
        <w:gridCol w:w="1418"/>
      </w:tblGrid>
      <w:tr>
        <w:trPr>
          <w:trHeight w:val="579" w:hRule="atLeast"/>
        </w:trPr>
        <w:tc>
          <w:tcPr>
            <w:tcW w:w="35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Компоненты и ЭРЭ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Номинальная </w:t>
            </w:r>
          </w:p>
          <w:p>
            <w:pPr>
              <w:pStyle w:val="Normal"/>
              <w:spacing w:lineRule="auto" w:line="240"/>
              <w:ind w:left="0" w:right="0" w:firstLine="34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интенсивность </w:t>
            </w:r>
          </w:p>
          <w:p>
            <w:pPr>
              <w:pStyle w:val="Normal"/>
              <w:spacing w:lineRule="auto" w:line="240"/>
              <w:ind w:left="0" w:right="0" w:firstLine="34"/>
              <w:jc w:val="center"/>
              <w:rPr/>
            </w:pPr>
            <w:r>
              <w:rPr>
                <w:b/>
                <w:sz w:val="20"/>
                <w:szCs w:val="20"/>
              </w:rPr>
              <w:t xml:space="preserve">отказов, </w:t>
            </w:r>
            <w:r>
              <w:rPr>
                <w:b/>
                <w:sz w:val="20"/>
                <w:szCs w:val="20"/>
              </w:rPr>
              <w:drawing>
                <wp:inline distT="0" distB="0" distL="0" distR="0">
                  <wp:extent cx="800100" cy="238125"/>
                  <wp:effectExtent l="0" t="0" r="0" b="0"/>
                  <wp:docPr id="21" name="Рисунок 27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7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Поправочный коэффициент,</w:t>
            </w:r>
          </w:p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/>
              <w:t>a</w:t>
            </w:r>
            <w:r>
              <w:rPr>
                <w:vertAlign w:val="subscript"/>
              </w:rPr>
              <w:t>i</w:t>
            </w:r>
            <w:r>
              <w:rPr/>
              <w:t>(T,k</w:t>
            </w:r>
            <w:r>
              <w:rPr>
                <w:vertAlign w:val="subscript"/>
              </w:rPr>
              <w:t>н</w:t>
            </w:r>
            <w:r>
              <w:rPr/>
              <w:t>)</w:t>
            </w:r>
          </w:p>
        </w:tc>
        <w:tc>
          <w:tcPr>
            <w:tcW w:w="1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</w:r>
          </w:p>
          <w:p>
            <w:pPr>
              <w:pStyle w:val="Normal"/>
              <w:spacing w:lineRule="auto" w:line="240"/>
              <w:ind w:left="0" w:right="0" w:firstLine="34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Интенсивность </w:t>
            </w:r>
          </w:p>
          <w:p>
            <w:pPr>
              <w:pStyle w:val="Normal"/>
              <w:spacing w:lineRule="auto" w:line="240"/>
              <w:ind w:left="0" w:right="0" w:hanging="0"/>
              <w:jc w:val="center"/>
              <w:rPr/>
            </w:pPr>
            <w:r>
              <w:rPr>
                <w:b/>
                <w:sz w:val="20"/>
                <w:szCs w:val="20"/>
              </w:rPr>
              <w:t xml:space="preserve">отказов, </w:t>
            </w:r>
            <w:r>
              <w:rPr>
                <w:b/>
                <w:sz w:val="20"/>
                <w:szCs w:val="20"/>
              </w:rPr>
              <w:object>
                <v:shape id="ole_rId154" style="width:59.25pt;height:18.75pt" o:ole="">
                  <v:imagedata r:id="rId155" o:title=""/>
                </v:shape>
                <o:OLEObject Type="Embed" ProgID="" ShapeID="ole_rId154" DrawAspect="Content" ObjectID="_1318304658" r:id="rId154"/>
              </w:objec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hanging="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Количество</w:t>
            </w:r>
          </w:p>
        </w:tc>
      </w:tr>
      <w:tr>
        <w:trPr>
          <w:trHeight w:val="53" w:hRule="atLeast"/>
        </w:trPr>
        <w:tc>
          <w:tcPr>
            <w:tcW w:w="35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</w:rPr>
            </w:pPr>
            <w:r>
              <w:rPr>
                <w:sz w:val="22"/>
              </w:rPr>
              <w:t>Диоды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0,15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0,2</w:t>
            </w:r>
          </w:p>
        </w:tc>
        <w:tc>
          <w:tcPr>
            <w:tcW w:w="1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0,064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" w:hRule="atLeast"/>
        </w:trPr>
        <w:tc>
          <w:tcPr>
            <w:tcW w:w="35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</w:rPr>
            </w:pPr>
            <w:r>
              <w:rPr>
                <w:sz w:val="22"/>
              </w:rPr>
              <w:t>Конденсаторы керамические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0,02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0,05</w:t>
            </w:r>
          </w:p>
        </w:tc>
        <w:tc>
          <w:tcPr>
            <w:tcW w:w="1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0,0011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53" w:hRule="atLeast"/>
        </w:trPr>
        <w:tc>
          <w:tcPr>
            <w:tcW w:w="35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Резисторы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0,01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0,5</w:t>
            </w:r>
          </w:p>
        </w:tc>
        <w:tc>
          <w:tcPr>
            <w:tcW w:w="1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0,011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>
        <w:trPr>
          <w:trHeight w:val="53" w:hRule="atLeast"/>
        </w:trPr>
        <w:tc>
          <w:tcPr>
            <w:tcW w:w="35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Светодиоды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0,1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0,5</w:t>
            </w:r>
          </w:p>
        </w:tc>
        <w:tc>
          <w:tcPr>
            <w:tcW w:w="1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0,11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>
        <w:trPr>
          <w:trHeight w:val="53" w:hRule="atLeast"/>
        </w:trPr>
        <w:tc>
          <w:tcPr>
            <w:tcW w:w="35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Соединения контактные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0,05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0,3</w:t>
            </w:r>
          </w:p>
        </w:tc>
        <w:tc>
          <w:tcPr>
            <w:tcW w:w="1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0,032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>
        <w:trPr>
          <w:trHeight w:val="53" w:hRule="atLeast"/>
        </w:trPr>
        <w:tc>
          <w:tcPr>
            <w:tcW w:w="35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Схемы интегральные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0,2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0,7</w:t>
            </w:r>
          </w:p>
        </w:tc>
        <w:tc>
          <w:tcPr>
            <w:tcW w:w="1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0,03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>
        <w:trPr>
          <w:trHeight w:val="53" w:hRule="atLeast"/>
        </w:trPr>
        <w:tc>
          <w:tcPr>
            <w:tcW w:w="35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Транзисторы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0,18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0,2</w:t>
            </w:r>
          </w:p>
        </w:tc>
        <w:tc>
          <w:tcPr>
            <w:tcW w:w="1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/>
            </w:pPr>
            <w:r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  <w:lang w:val="en-US"/>
              </w:rPr>
              <w:t>,</w:t>
            </w:r>
            <w:r>
              <w:rPr>
                <w:sz w:val="22"/>
                <w:szCs w:val="22"/>
              </w:rPr>
              <w:t>077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>
        <w:trPr>
          <w:trHeight w:val="227" w:hRule="atLeast"/>
        </w:trPr>
        <w:tc>
          <w:tcPr>
            <w:tcW w:w="35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Пайка ручным способом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0,2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  <w:insideH w:val="single" w:sz="4" w:space="0" w:color="000001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0,43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/>
              <w:ind w:left="0" w:right="0" w:firstLine="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Рассчитаем суммарную интенсивность отказов и построим график зависимости вероятности отказов от времени (Рисунок 4.6.7.1):</w:t>
      </w:r>
    </w:p>
    <w:p>
      <w:pPr>
        <w:pStyle w:val="Normal"/>
        <w:rPr/>
      </w:pPr>
      <w:r>
        <w:rPr/>
        <w:t>Λ = (</w:t>
      </w:r>
      <w:r>
        <w:rPr>
          <w:sz w:val="22"/>
        </w:rPr>
        <w:t>0,064</w:t>
      </w:r>
      <w:r>
        <w:rPr/>
        <w:t>+0,</w:t>
      </w:r>
      <w:r>
        <w:rPr>
          <w:sz w:val="22"/>
        </w:rPr>
        <w:t>0011</w:t>
      </w:r>
      <w:r>
        <w:rPr/>
        <w:t>+4*0,</w:t>
      </w:r>
      <w:r>
        <w:rPr>
          <w:sz w:val="22"/>
          <w:szCs w:val="22"/>
        </w:rPr>
        <w:t xml:space="preserve"> 011</w:t>
      </w:r>
      <w:r>
        <w:rPr/>
        <w:t>+8*0,</w:t>
      </w:r>
      <w:r>
        <w:rPr>
          <w:sz w:val="22"/>
          <w:szCs w:val="22"/>
        </w:rPr>
        <w:t xml:space="preserve"> 11</w:t>
      </w:r>
      <w:r>
        <w:rPr/>
        <w:t>+8*0,</w:t>
      </w:r>
      <w:r>
        <w:rPr>
          <w:sz w:val="22"/>
          <w:szCs w:val="22"/>
        </w:rPr>
        <w:t>032</w:t>
      </w:r>
      <w:r>
        <w:rPr/>
        <w:t>+0,</w:t>
      </w:r>
      <w:r>
        <w:rPr>
          <w:sz w:val="22"/>
          <w:szCs w:val="22"/>
        </w:rPr>
        <w:t xml:space="preserve"> 03</w:t>
      </w:r>
      <w:r>
        <w:rPr/>
        <w:t>+0,</w:t>
      </w:r>
      <w:r>
        <w:rPr>
          <w:sz w:val="22"/>
          <w:szCs w:val="22"/>
        </w:rPr>
        <w:t>077</w:t>
      </w:r>
      <w:r>
        <w:rPr/>
        <w:t>+48*0,</w:t>
      </w:r>
      <w:r>
        <w:rPr>
          <w:sz w:val="22"/>
          <w:szCs w:val="22"/>
        </w:rPr>
        <w:t>43</w:t>
      </w:r>
      <w:r>
        <w:rPr/>
        <w:t>)*10^-6 = 2,1*10</w:t>
      </w:r>
      <w:r>
        <w:rPr>
          <w:vertAlign w:val="superscript"/>
        </w:rPr>
        <w:t>-5</w:t>
      </w:r>
    </w:p>
    <w:p>
      <w:pPr>
        <w:pStyle w:val="Normal"/>
        <w:jc w:val="left"/>
        <w:rPr/>
      </w:pPr>
      <w:r>
        <w:rPr/>
        <w:t>Тогда вероятность безотказной работы в течение 1000 ч будет равна:</w:t>
      </w:r>
    </w:p>
    <w:p>
      <w:pPr>
        <w:pStyle w:val="Normal"/>
        <w:rPr/>
      </w:pPr>
      <w:r>
        <w:rPr>
          <w:lang w:val="en-US"/>
        </w:rPr>
        <w:t>P(t) = exp(-</w:t>
      </w:r>
      <w:r>
        <w:rPr/>
        <w:t>Λ</w:t>
      </w:r>
      <w:r>
        <w:rPr>
          <w:lang w:val="en-US"/>
        </w:rPr>
        <w:t>t) = exp(-2.1*10</w:t>
      </w:r>
      <w:r>
        <w:rPr>
          <w:vertAlign w:val="superscript"/>
          <w:lang w:val="en-US"/>
        </w:rPr>
        <w:t>-5</w:t>
      </w:r>
      <w:r>
        <w:rPr>
          <w:lang w:val="en-US"/>
        </w:rPr>
        <w:t>*1000) = 0,98.</w:t>
      </w:r>
    </w:p>
    <w:p>
      <w:pPr>
        <w:pStyle w:val="Normal"/>
        <w:rPr/>
      </w:pPr>
      <w:r>
        <w:rPr/>
        <w:t>Исходя из полученных данных, вероятность безотказной работы в течение 1000ч удовлетворяет условиям, заданным в техническом задании (0,98 &gt; 0,90).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/>
      </w:pPr>
      <w:r>
        <w:rPr/>
        <w:drawing>
          <wp:inline distT="0" distB="0" distL="0" distR="0">
            <wp:extent cx="6152515" cy="2583815"/>
            <wp:effectExtent l="0" t="0" r="0" b="0"/>
            <wp:docPr id="22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sz w:val="22"/>
        </w:rPr>
      </w:pPr>
      <w:r>
        <w:rPr>
          <w:sz w:val="22"/>
        </w:rPr>
        <w:t>Рисунок 4.6.7.1. Зависимость вероятности отказов от времени эксплуатации</w:t>
      </w:r>
    </w:p>
    <w:p>
      <w:pPr>
        <w:pStyle w:val="Normal"/>
        <w:ind w:left="0" w:right="0" w:hanging="0"/>
        <w:jc w:val="center"/>
        <w:rPr>
          <w:sz w:val="22"/>
        </w:rPr>
      </w:pPr>
      <w:r>
        <w:rPr>
          <w:sz w:val="22"/>
        </w:rPr>
      </w:r>
    </w:p>
    <w:p>
      <w:pPr>
        <w:pStyle w:val="Normal"/>
        <w:spacing w:lineRule="auto" w:line="240"/>
        <w:ind w:left="0" w:right="0" w:hanging="0"/>
        <w:jc w:val="left"/>
        <w:rPr>
          <w:rFonts w:ascii="Cambria" w:hAnsi="Cambria"/>
          <w:b/>
          <w:b/>
          <w:iCs/>
          <w:color w:val="000000"/>
          <w:sz w:val="26"/>
        </w:rPr>
      </w:pPr>
      <w:r>
        <w:rPr>
          <w:rFonts w:ascii="Cambria" w:hAnsi="Cambria"/>
          <w:b/>
          <w:iCs/>
          <w:color w:val="000000"/>
          <w:sz w:val="26"/>
        </w:rPr>
      </w:r>
      <w:r>
        <w:br w:type="page"/>
      </w:r>
    </w:p>
    <w:p>
      <w:pPr>
        <w:pStyle w:val="Heading1"/>
        <w:rPr/>
      </w:pPr>
      <w:bookmarkStart w:id="99" w:name="_Toc325070564"/>
      <w:bookmarkStart w:id="100" w:name="_Toc323300607"/>
      <w:bookmarkEnd w:id="99"/>
      <w:bookmarkEnd w:id="100"/>
      <w:r>
        <w:rPr/>
        <w:t>Заключение</w:t>
      </w:r>
    </w:p>
    <w:p>
      <w:pPr>
        <w:pStyle w:val="Normal"/>
        <w:rPr/>
      </w:pPr>
      <w:r>
        <w:rPr/>
        <w:t xml:space="preserve">Итогом выполнения курсового проекта стало устройство обнаружения скрытых видеокамер «Гранат», предназначенный для защиты обнаружения скрытых объективов в любых помещениях. В ходе </w:t>
      </w:r>
      <w:r>
        <w:rPr>
          <w:szCs w:val="28"/>
        </w:rPr>
        <w:t xml:space="preserve">проделанной работы были достигнуты следующие результаты: </w:t>
      </w:r>
    </w:p>
    <w:p>
      <w:pPr>
        <w:pStyle w:val="ListParagraph"/>
        <w:numPr>
          <w:ilvl w:val="0"/>
          <w:numId w:val="11"/>
        </w:numPr>
        <w:jc w:val="left"/>
        <w:rPr>
          <w:szCs w:val="28"/>
        </w:rPr>
      </w:pPr>
      <w:r>
        <w:rPr>
          <w:szCs w:val="28"/>
        </w:rPr>
        <w:t xml:space="preserve">разработаны функциональная и принципиальные схемы блока; </w:t>
      </w:r>
    </w:p>
    <w:p>
      <w:pPr>
        <w:pStyle w:val="ListParagraph"/>
        <w:numPr>
          <w:ilvl w:val="0"/>
          <w:numId w:val="11"/>
        </w:numPr>
        <w:jc w:val="left"/>
        <w:rPr>
          <w:szCs w:val="28"/>
        </w:rPr>
      </w:pPr>
      <w:r>
        <w:rPr>
          <w:szCs w:val="28"/>
        </w:rPr>
        <w:t xml:space="preserve">разработана конструкция блока; </w:t>
      </w:r>
    </w:p>
    <w:p>
      <w:pPr>
        <w:pStyle w:val="ListParagraph"/>
        <w:numPr>
          <w:ilvl w:val="0"/>
          <w:numId w:val="11"/>
        </w:numPr>
        <w:jc w:val="left"/>
        <w:rPr>
          <w:szCs w:val="28"/>
        </w:rPr>
      </w:pPr>
      <w:r>
        <w:rPr>
          <w:szCs w:val="28"/>
        </w:rPr>
        <w:t>проведено распределение элементов электрической схемы;</w:t>
      </w:r>
    </w:p>
    <w:p>
      <w:pPr>
        <w:pStyle w:val="ListParagraph"/>
        <w:numPr>
          <w:ilvl w:val="0"/>
          <w:numId w:val="11"/>
        </w:numPr>
        <w:jc w:val="left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>решены задачи размещения ЭРЭ и трассировки печатного рисунка;</w:t>
      </w:r>
    </w:p>
    <w:p>
      <w:pPr>
        <w:pStyle w:val="ListParagraph"/>
        <w:numPr>
          <w:ilvl w:val="0"/>
          <w:numId w:val="11"/>
        </w:numPr>
        <w:jc w:val="left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>проведены необходимые конструкторские расчеты.</w:t>
      </w:r>
    </w:p>
    <w:p>
      <w:pPr>
        <w:pStyle w:val="TextBodyIndent"/>
        <w:rPr/>
      </w:pPr>
      <w:r>
        <w:rPr>
          <w:szCs w:val="28"/>
        </w:rPr>
        <w:t>Разработанный блок полностью удовлетворяет</w:t>
      </w:r>
      <w:r>
        <w:rPr/>
        <w:t xml:space="preserve"> предъявляемым к нему требованиям технического задания.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bookmarkStart w:id="101" w:name="_Toc323300608"/>
      <w:bookmarkStart w:id="102" w:name="_Toc325070565"/>
      <w:bookmarkStart w:id="103" w:name="_Toc324725551"/>
      <w:bookmarkEnd w:id="102"/>
      <w:bookmarkEnd w:id="103"/>
      <w:r>
        <w:rPr/>
        <w:t>Приложения</w:t>
      </w:r>
    </w:p>
    <w:p>
      <w:pPr>
        <w:pStyle w:val="Heading2"/>
        <w:rPr/>
      </w:pPr>
      <w:bookmarkStart w:id="104" w:name="_Toc325070566"/>
      <w:bookmarkStart w:id="105" w:name="_Toc324725552"/>
      <w:bookmarkEnd w:id="104"/>
      <w:bookmarkEnd w:id="105"/>
      <w:r>
        <w:rPr/>
        <w:t>Приложение А – Схема сборки разрабатываемого устройства</w:t>
      </w:r>
    </w:p>
    <w:p>
      <w:pPr>
        <w:pStyle w:val="Normal"/>
        <w:ind w:left="0" w:right="0" w:hanging="0"/>
        <w:rPr/>
      </w:pPr>
      <w:r>
        <w:rPr/>
        <w:t xml:space="preserve">Схема сборки разрабатываемого устройства представлена на </w:t>
      </w:r>
      <w:r>
        <w:rPr>
          <w:b/>
        </w:rPr>
        <w:t>ИУ4.02.01.00 ТП</w:t>
      </w:r>
      <w:r>
        <w:rPr/>
        <w:t>.</w:t>
      </w:r>
    </w:p>
    <w:p>
      <w:pPr>
        <w:pStyle w:val="Heading2"/>
        <w:rPr/>
      </w:pPr>
      <w:bookmarkStart w:id="106" w:name="_Toc325070567"/>
      <w:bookmarkStart w:id="107" w:name="_Toc324725553"/>
      <w:bookmarkEnd w:id="106"/>
      <w:bookmarkEnd w:id="107"/>
      <w:r>
        <w:rPr/>
        <w:t>Приложение Б – Список графических материалов</w:t>
      </w:r>
    </w:p>
    <w:p>
      <w:pPr>
        <w:pStyle w:val="Normal"/>
        <w:rPr/>
      </w:pPr>
      <w:r>
        <w:rPr/>
        <w:t>Список графических материалов (с указанием формата):</w:t>
      </w:r>
    </w:p>
    <w:p>
      <w:pPr>
        <w:pStyle w:val="Normal"/>
        <w:ind w:left="0" w:right="0" w:hanging="0"/>
        <w:rPr/>
      </w:pPr>
      <w:r>
        <w:rPr>
          <w:b/>
        </w:rPr>
        <w:t>ИУ4.02.01.00</w:t>
      </w:r>
      <w:r>
        <w:rPr/>
        <w:t xml:space="preserve"> Э1 – Устройство обнаружения скрытых видеокамер «Гранат». Схема электрическая структурная (А4).</w:t>
      </w:r>
    </w:p>
    <w:p>
      <w:pPr>
        <w:pStyle w:val="Normal"/>
        <w:ind w:left="0" w:right="0" w:hanging="0"/>
        <w:rPr/>
      </w:pPr>
      <w:r>
        <w:rPr>
          <w:b/>
        </w:rPr>
        <w:t>ИУ4.02.01.00</w:t>
      </w:r>
      <w:r>
        <w:rPr/>
        <w:t xml:space="preserve"> Э2 – Устройство обнаружения скрытых видеокамер «Гранат». Схема электрическая функциональная (А3).</w:t>
      </w:r>
    </w:p>
    <w:p>
      <w:pPr>
        <w:pStyle w:val="Normal"/>
        <w:ind w:left="0" w:right="0" w:hanging="0"/>
        <w:rPr/>
      </w:pPr>
      <w:r>
        <w:rPr>
          <w:b/>
        </w:rPr>
        <w:t>ИУ4.02.01.00</w:t>
      </w:r>
      <w:r>
        <w:rPr/>
        <w:t xml:space="preserve"> Э3 – Устройство обнаружения скрытых видеокамер «Гранат». Схема электрическая принципиальная (А3).</w:t>
      </w:r>
    </w:p>
    <w:p>
      <w:pPr>
        <w:pStyle w:val="Normal"/>
        <w:ind w:left="0" w:right="0" w:hanging="0"/>
        <w:rPr/>
      </w:pPr>
      <w:r>
        <w:rPr>
          <w:b/>
        </w:rPr>
        <w:t>ИУ4.02.01.00</w:t>
      </w:r>
      <w:r>
        <w:rPr/>
        <w:t xml:space="preserve"> – Временные диаграммы работы устройства обнаружения скрытых видеокамер «Гранат» (А1).</w:t>
      </w:r>
    </w:p>
    <w:p>
      <w:pPr>
        <w:pStyle w:val="Normal"/>
        <w:ind w:left="0" w:right="0" w:hanging="0"/>
        <w:rPr/>
      </w:pPr>
      <w:r>
        <w:rPr>
          <w:b/>
        </w:rPr>
        <w:t>ИУ4.02.01.00</w:t>
      </w:r>
      <w:r>
        <w:rPr/>
        <w:t xml:space="preserve"> – Плата печатная (А2).</w:t>
      </w:r>
    </w:p>
    <w:p>
      <w:pPr>
        <w:pStyle w:val="Normal"/>
        <w:ind w:left="0" w:right="0" w:hanging="0"/>
        <w:rPr/>
      </w:pPr>
      <w:r>
        <w:rPr>
          <w:b/>
        </w:rPr>
        <w:t>ИУ4.02.01.00</w:t>
      </w:r>
      <w:r>
        <w:rPr/>
        <w:t xml:space="preserve"> СБ – Электронная ячейка в сборе. Сборочный чертеж (А1).</w:t>
      </w:r>
    </w:p>
    <w:p>
      <w:pPr>
        <w:pStyle w:val="Normal"/>
        <w:ind w:left="0" w:right="0" w:hanging="0"/>
        <w:rPr/>
      </w:pPr>
      <w:r>
        <w:rPr>
          <w:b/>
        </w:rPr>
        <w:t>ИУ4.02.00.00</w:t>
      </w:r>
      <w:r>
        <w:rPr/>
        <w:t xml:space="preserve"> СБ – Устройство обнаружения скрытых видеокамер «Гранат».  Сборочный чертеж (А1).</w:t>
      </w:r>
    </w:p>
    <w:p>
      <w:pPr>
        <w:pStyle w:val="Normal"/>
        <w:ind w:left="0" w:right="0" w:hanging="0"/>
        <w:rPr/>
      </w:pPr>
      <w:r>
        <w:rPr>
          <w:b/>
        </w:rPr>
        <w:t>ИУ4.02.00.01</w:t>
      </w:r>
      <w:r>
        <w:rPr/>
        <w:t xml:space="preserve"> – Устройство обнаружения скрытых видеокамер «Гранат».  Корпус верх (А1).</w:t>
      </w:r>
    </w:p>
    <w:p>
      <w:pPr>
        <w:pStyle w:val="Normal"/>
        <w:ind w:left="0" w:right="0" w:hanging="0"/>
        <w:rPr/>
      </w:pPr>
      <w:r>
        <w:rPr>
          <w:b/>
        </w:rPr>
        <w:t>ИУ4.02.00.02</w:t>
      </w:r>
      <w:r>
        <w:rPr/>
        <w:t xml:space="preserve"> – Устройство обнаружения скрытых видеокамер «Гранат».  Корпус верх (А1).</w:t>
      </w:r>
    </w:p>
    <w:p>
      <w:pPr>
        <w:pStyle w:val="Normal"/>
        <w:ind w:left="0" w:right="0" w:hanging="0"/>
        <w:rPr/>
      </w:pPr>
      <w:r>
        <w:rPr>
          <w:b/>
        </w:rPr>
        <w:t>ИУ4.02.00.03</w:t>
      </w:r>
      <w:r>
        <w:rPr/>
        <w:t xml:space="preserve"> – Устройство обнаружения скрытых видеокамер «Гранат». Крышка АБ (А3).</w:t>
      </w:r>
    </w:p>
    <w:p>
      <w:pPr>
        <w:pStyle w:val="Heading2"/>
        <w:rPr/>
      </w:pPr>
      <w:bookmarkStart w:id="108" w:name="_Toc325070568"/>
      <w:bookmarkStart w:id="109" w:name="_Toc324725554"/>
      <w:bookmarkEnd w:id="108"/>
      <w:bookmarkEnd w:id="109"/>
      <w:r>
        <w:rPr/>
        <w:t>Приложение В - Спецификация</w:t>
      </w:r>
    </w:p>
    <w:p>
      <w:pPr>
        <w:pStyle w:val="Normal"/>
        <w:ind w:left="851" w:right="0" w:hanging="0"/>
        <w:rPr/>
      </w:pPr>
      <w:r>
        <w:rPr/>
        <w:t>Спецификация к чертежам и перечень элементов:</w:t>
      </w:r>
    </w:p>
    <w:p>
      <w:pPr>
        <w:pStyle w:val="Normal"/>
        <w:ind w:left="0" w:right="0" w:hanging="0"/>
        <w:rPr/>
      </w:pPr>
      <w:r>
        <w:rPr>
          <w:b/>
        </w:rPr>
        <w:t xml:space="preserve">ИУ4.02.01.00 ПЭ3 </w:t>
      </w:r>
      <w:r>
        <w:rPr/>
        <w:t>– Устройство обнаружения скрытых видеокамер «Гранат».  Перечень элементов.</w:t>
      </w:r>
    </w:p>
    <w:p>
      <w:pPr>
        <w:pStyle w:val="Normal"/>
        <w:ind w:left="0" w:right="0" w:hanging="0"/>
        <w:rPr/>
      </w:pPr>
      <w:r>
        <w:rPr>
          <w:b/>
        </w:rPr>
        <w:t>ИУ4.02.01.00 СБ</w:t>
      </w:r>
      <w:r>
        <w:rPr/>
        <w:t xml:space="preserve"> – Спецификация к сборочному чертежу устройства обнаружения скрытых видеокамер «Гранат»</w:t>
      </w:r>
      <w:r>
        <w:rPr>
          <w:b/>
        </w:rPr>
        <w:t>.</w:t>
      </w:r>
    </w:p>
    <w:p>
      <w:pPr>
        <w:pStyle w:val="Normal"/>
        <w:ind w:left="0" w:right="0" w:hanging="0"/>
        <w:rPr/>
      </w:pPr>
      <w:r>
        <w:rPr>
          <w:b/>
        </w:rPr>
        <w:t>ИУ4.02.02.00 СБ</w:t>
      </w:r>
      <w:r>
        <w:rPr/>
        <w:t xml:space="preserve"> – Спецификация к сборочному чертежу платы печатной в сборе устройства обнаружения скрытых видеокамер «Гранат».</w:t>
      </w:r>
    </w:p>
    <w:p>
      <w:pPr>
        <w:pStyle w:val="Heading1"/>
        <w:rPr/>
      </w:pPr>
      <w:bookmarkStart w:id="110" w:name="_Toc323300608"/>
      <w:bookmarkStart w:id="111" w:name="_Toc325070569"/>
      <w:bookmarkEnd w:id="110"/>
      <w:bookmarkEnd w:id="111"/>
      <w:r>
        <w:rPr/>
        <w:t>Список использованных источников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ind w:left="567" w:right="0" w:hanging="283"/>
        <w:contextualSpacing/>
        <w:rPr/>
      </w:pPr>
      <w:r>
        <w:rPr/>
        <w:t xml:space="preserve"> </w:t>
      </w:r>
      <w:r>
        <w:rPr/>
        <w:t>Конструкторско-технологические проектирование электронной аппаратуры: Учебник для вузов / К.И. Билибин, А.И, Власов, Л.В. Журавлева и др. Под общ. ред. В.А. Шахнова – М.: Изд-во МГТУ ми. Н.Э. Баумана, 2002. – 528 с.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ind w:left="567" w:right="0" w:hanging="283"/>
        <w:contextualSpacing/>
        <w:rPr/>
      </w:pPr>
      <w:r>
        <w:rPr/>
        <w:t xml:space="preserve"> </w:t>
      </w:r>
      <w:r>
        <w:rPr/>
        <w:t>Сборка и монтаж интегральных микросхем: Учеб. пособие / Романова М.П - М.:УлГТУ, 2008. – 95 с.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ind w:left="567" w:right="0" w:hanging="283"/>
        <w:contextualSpacing/>
        <w:rPr/>
      </w:pPr>
      <w:r>
        <w:rPr>
          <w:rStyle w:val="Applestylespan"/>
          <w:color w:val="000000"/>
        </w:rPr>
        <w:t xml:space="preserve"> </w:t>
      </w:r>
      <w:r>
        <w:rPr>
          <w:rStyle w:val="Applestylespan"/>
          <w:color w:val="000000"/>
        </w:rPr>
        <w:t xml:space="preserve">Проектирование и технология печатных плат: Учебник / </w:t>
      </w:r>
      <w:r>
        <w:rPr>
          <w:rStyle w:val="Applestylespan"/>
          <w:iCs/>
          <w:color w:val="000000"/>
        </w:rPr>
        <w:t>Пирогова Е. В.</w:t>
      </w:r>
      <w:r>
        <w:rPr>
          <w:rStyle w:val="Applestylespan"/>
          <w:color w:val="000000"/>
        </w:rPr>
        <w:t xml:space="preserve"> —</w:t>
      </w:r>
      <w:r>
        <w:rPr>
          <w:rStyle w:val="Appleconvertedspace"/>
          <w:color w:val="000000"/>
        </w:rPr>
        <w:t> </w:t>
      </w:r>
      <w:r>
        <w:rPr>
          <w:rStyle w:val="Applestylespan"/>
          <w:color w:val="000000"/>
        </w:rPr>
        <w:t>М.: ФОРУМ: ИНФРА-М, 2005. — 560 с.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ind w:left="567" w:right="0" w:hanging="283"/>
        <w:contextualSpacing/>
        <w:rPr/>
      </w:pPr>
      <w:r>
        <w:rPr>
          <w:rStyle w:val="Applestylespan"/>
          <w:color w:val="000000"/>
        </w:rPr>
        <w:t xml:space="preserve"> </w:t>
      </w:r>
      <w:r>
        <w:rPr>
          <w:rStyle w:val="Applestylespan"/>
          <w:color w:val="000000"/>
        </w:rPr>
        <w:t xml:space="preserve">Методические указания к курсовой работе «Компоновка и расчет конструктивных параметров блоков ЭВА» / А.Н. Чеканов, В.В. Съедугин, В.В. Маркелов </w:t>
      </w:r>
      <w:r>
        <w:rPr/>
        <w:t>– М.:МГТУ им. Н. Э. Баумана, 1980, 45с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ind w:left="567" w:right="0" w:hanging="283"/>
        <w:contextualSpacing/>
        <w:rPr/>
      </w:pPr>
      <w:r>
        <w:rPr/>
        <w:t>Теоретические основы конструирования и надежности ЭВС. Курс лекций  – М.:МГТУ им. Н. Э. Баумана, 2011, (рукопись)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ind w:left="567" w:right="0" w:hanging="283"/>
        <w:contextualSpacing/>
        <w:rPr/>
      </w:pPr>
      <w:r>
        <w:rPr/>
        <w:t>Технология ЭВС. Курс лекций – М.:МГТУ им. Н. Э. Баумана, 2011, (рукопись)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ind w:left="567" w:right="0" w:hanging="283"/>
        <w:contextualSpacing/>
        <w:rPr/>
      </w:pPr>
      <w:r>
        <w:rPr/>
        <w:t>Конструирование ЭВС. Курс лекций – М.:МГТУ им. Н. Э. Баумана, 2012, (рукопись)</w:t>
      </w:r>
    </w:p>
    <w:p>
      <w:pPr>
        <w:pStyle w:val="Normal"/>
        <w:pBdr/>
        <w:rPr/>
      </w:pPr>
      <w:r>
        <w:rPr/>
      </w:r>
    </w:p>
    <w:sectPr>
      <w:headerReference w:type="default" r:id="rId157"/>
      <w:footerReference w:type="default" r:id="rId158"/>
      <w:footerReference w:type="first" r:id="rId159"/>
      <w:type w:val="nextPage"/>
      <w:pgSz w:w="11906" w:h="16838"/>
      <w:pgMar w:left="1134" w:right="850" w:header="708" w:top="851" w:footer="416" w:bottom="851" w:gutter="0"/>
      <w:pgNumType w:start="1" w:fmt="decimal"/>
      <w:formProt w:val="false"/>
      <w:titlePg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Symbo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36</w:t>
    </w:r>
    <w:r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left="0" w:right="360" w:firstLine="709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suff w:val="space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707" w:hanging="360"/>
      </w:pPr>
    </w:lvl>
    <w:lvl w:ilvl="2">
      <w:start w:val="1"/>
      <w:numFmt w:val="lowerRoman"/>
      <w:lvlText w:val="%3."/>
      <w:lvlJc w:val="right"/>
      <w:pPr>
        <w:ind w:left="2427" w:hanging="180"/>
      </w:pPr>
    </w:lvl>
    <w:lvl w:ilvl="3">
      <w:start w:val="1"/>
      <w:numFmt w:val="decimal"/>
      <w:lvlText w:val="%4."/>
      <w:lvlJc w:val="left"/>
      <w:pPr>
        <w:ind w:left="3147" w:hanging="360"/>
      </w:pPr>
    </w:lvl>
    <w:lvl w:ilvl="4">
      <w:start w:val="1"/>
      <w:numFmt w:val="lowerLetter"/>
      <w:lvlText w:val="%5."/>
      <w:lvlJc w:val="left"/>
      <w:pPr>
        <w:ind w:left="3867" w:hanging="360"/>
      </w:pPr>
    </w:lvl>
    <w:lvl w:ilvl="5">
      <w:start w:val="1"/>
      <w:numFmt w:val="lowerRoman"/>
      <w:lvlText w:val="%6."/>
      <w:lvlJc w:val="right"/>
      <w:pPr>
        <w:ind w:left="4587" w:hanging="180"/>
      </w:pPr>
    </w:lvl>
    <w:lvl w:ilvl="6">
      <w:start w:val="1"/>
      <w:numFmt w:val="decimal"/>
      <w:lvlText w:val="%7."/>
      <w:lvlJc w:val="left"/>
      <w:pPr>
        <w:ind w:left="5307" w:hanging="360"/>
      </w:pPr>
    </w:lvl>
    <w:lvl w:ilvl="7">
      <w:start w:val="1"/>
      <w:numFmt w:val="lowerLetter"/>
      <w:lvlText w:val="%8."/>
      <w:lvlJc w:val="left"/>
      <w:pPr>
        <w:ind w:left="6027" w:hanging="360"/>
      </w:pPr>
    </w:lvl>
    <w:lvl w:ilvl="8">
      <w:start w:val="1"/>
      <w:numFmt w:val="lowerRoman"/>
      <w:lvlText w:val="%9."/>
      <w:lvlJc w:val="right"/>
      <w:pPr>
        <w:ind w:left="6747" w:hanging="180"/>
      </w:pPr>
    </w:lvl>
  </w:abstractNum>
  <w:abstractNum w:abstractNumId="7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6"/>
      <w:numFmt w:val="decimal"/>
      <w:lvlText w:val="%1.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  <w:rPr/>
    </w:lvl>
    <w:lvl w:ilvl="3">
      <w:start w:val="4"/>
      <w:numFmt w:val="decimal"/>
      <w:lvlText w:val="%1.%2.%3.%4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40"/>
  <w:defaultTabStop w:val="1038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360"/>
      <w:ind w:left="0" w:right="0" w:firstLine="709"/>
      <w:jc w:val="both"/>
    </w:pPr>
    <w:rPr>
      <w:rFonts w:ascii="Times New Roman" w:hAnsi="Times New Roman" w:eastAsia="Times New Roman" w:cs="Times New Roman"/>
      <w:color w:val="auto"/>
      <w:sz w:val="24"/>
      <w:szCs w:val="24"/>
      <w:lang w:val="ru-RU" w:eastAsia="ru-RU" w:bidi="ar-SA"/>
    </w:rPr>
  </w:style>
  <w:style w:type="paragraph" w:styleId="Heading1">
    <w:name w:val="Heading 1"/>
    <w:basedOn w:val="Normal"/>
    <w:qFormat/>
    <w:pPr>
      <w:keepNext/>
      <w:numPr>
        <w:ilvl w:val="0"/>
        <w:numId w:val="0"/>
      </w:numPr>
      <w:spacing w:before="0" w:after="240"/>
      <w:ind w:left="0" w:right="0" w:firstLine="1077"/>
      <w:jc w:val="left"/>
      <w:outlineLvl w:val="0"/>
    </w:pPr>
    <w:rPr>
      <w:rFonts w:ascii="Cambria" w:hAnsi="Cambria" w:cs="Arial"/>
      <w:b/>
      <w:bCs/>
      <w:sz w:val="32"/>
      <w:szCs w:val="32"/>
    </w:rPr>
  </w:style>
  <w:style w:type="paragraph" w:styleId="Heading2">
    <w:name w:val="Heading 2"/>
    <w:basedOn w:val="Normal"/>
    <w:qFormat/>
    <w:pPr>
      <w:keepNext/>
      <w:keepLines/>
      <w:numPr>
        <w:ilvl w:val="0"/>
        <w:numId w:val="0"/>
      </w:numPr>
      <w:spacing w:before="200" w:after="120"/>
      <w:ind w:left="0" w:right="0" w:firstLine="709"/>
      <w:outlineLvl w:val="1"/>
    </w:pPr>
    <w:rPr>
      <w:rFonts w:ascii="Cambria" w:hAnsi="Cambria" w:eastAsia="Times New Roman" w:cs="Times New Roman"/>
      <w:b/>
      <w:bCs/>
      <w:sz w:val="28"/>
      <w:szCs w:val="26"/>
    </w:rPr>
  </w:style>
  <w:style w:type="paragraph" w:styleId="Heading3">
    <w:name w:val="Heading 3"/>
    <w:basedOn w:val="Heading4"/>
    <w:qFormat/>
    <w:pPr>
      <w:numPr>
        <w:ilvl w:val="0"/>
        <w:numId w:val="0"/>
      </w:numPr>
      <w:spacing w:before="240" w:after="120"/>
      <w:ind w:left="0" w:right="0" w:firstLine="709"/>
      <w:outlineLvl w:val="2"/>
    </w:pPr>
    <w:rPr>
      <w:bCs w:val="false"/>
      <w:color w:val="000000"/>
      <w:sz w:val="26"/>
    </w:rPr>
  </w:style>
  <w:style w:type="paragraph" w:styleId="Heading4">
    <w:name w:val="Heading 4"/>
    <w:basedOn w:val="Normal"/>
    <w:qFormat/>
    <w:pPr>
      <w:keepNext/>
      <w:keepLines/>
      <w:numPr>
        <w:ilvl w:val="0"/>
        <w:numId w:val="0"/>
      </w:numPr>
      <w:spacing w:before="200" w:after="0"/>
      <w:ind w:left="0" w:right="0" w:firstLine="709"/>
      <w:outlineLvl w:val="3"/>
    </w:pPr>
    <w:rPr>
      <w:rFonts w:ascii="Cambria" w:hAnsi="Cambria" w:eastAsia="Times New Roman" w:cs="Times New Roman"/>
      <w:b/>
      <w:bCs/>
      <w:iCs/>
    </w:rPr>
  </w:style>
  <w:style w:type="paragraph" w:styleId="Heading5">
    <w:name w:val="Heading 5"/>
    <w:basedOn w:val="Normal"/>
    <w:qFormat/>
    <w:pPr>
      <w:keepNext/>
      <w:keepLines/>
      <w:numPr>
        <w:ilvl w:val="0"/>
        <w:numId w:val="0"/>
      </w:numPr>
      <w:spacing w:before="200" w:after="0"/>
      <w:ind w:left="0" w:right="0" w:firstLine="709"/>
      <w:outlineLvl w:val="4"/>
    </w:pPr>
    <w:rPr>
      <w:rFonts w:ascii="Cambria" w:hAnsi="Cambria" w:eastAsia="Times New Roman" w:cs="Times New Roman"/>
      <w:color w:val="243F60"/>
    </w:rPr>
  </w:style>
  <w:style w:type="paragraph" w:styleId="Heading8">
    <w:name w:val="Heading 8"/>
    <w:basedOn w:val="Normal"/>
    <w:qFormat/>
    <w:pPr>
      <w:numPr>
        <w:ilvl w:val="0"/>
        <w:numId w:val="0"/>
      </w:numPr>
      <w:spacing w:before="0" w:after="240"/>
      <w:ind w:left="0" w:right="0" w:firstLine="709"/>
      <w:jc w:val="center"/>
      <w:outlineLvl w:val="7"/>
    </w:pPr>
    <w:rPr>
      <w:b/>
      <w:iCs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Cambria" w:hAnsi="Cambria" w:cs="Arial"/>
      <w:b/>
      <w:bCs/>
      <w:sz w:val="32"/>
      <w:szCs w:val="32"/>
    </w:rPr>
  </w:style>
  <w:style w:type="character" w:styleId="8">
    <w:name w:val="Заголовок 8 Знак"/>
    <w:basedOn w:val="DefaultParagraphFont"/>
    <w:qFormat/>
    <w:rPr>
      <w:b/>
      <w:iCs/>
      <w:sz w:val="28"/>
      <w:szCs w:val="24"/>
    </w:rPr>
  </w:style>
  <w:style w:type="character" w:styleId="Emphasis">
    <w:name w:val="Emphasis"/>
    <w:basedOn w:val="DefaultParagraphFont"/>
    <w:qFormat/>
    <w:rPr>
      <w:rFonts w:ascii="Times New Roman" w:hAnsi="Times New Roman"/>
      <w:iCs/>
      <w:sz w:val="28"/>
    </w:rPr>
  </w:style>
  <w:style w:type="character" w:styleId="Style8">
    <w:name w:val="Верхний колонтитул Знак"/>
    <w:basedOn w:val="DefaultParagraphFont"/>
    <w:qFormat/>
    <w:rPr>
      <w:sz w:val="24"/>
      <w:szCs w:val="24"/>
    </w:rPr>
  </w:style>
  <w:style w:type="character" w:styleId="Pagenumber">
    <w:name w:val="page number"/>
    <w:basedOn w:val="DefaultParagraphFont"/>
    <w:qFormat/>
    <w:rPr/>
  </w:style>
  <w:style w:type="character" w:styleId="Style9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character" w:styleId="Style10">
    <w:name w:val="Основной текст с отступом Знак"/>
    <w:basedOn w:val="DefaultParagraphFont"/>
    <w:qFormat/>
    <w:rPr>
      <w:sz w:val="24"/>
      <w:szCs w:val="24"/>
    </w:rPr>
  </w:style>
  <w:style w:type="character" w:styleId="3">
    <w:name w:val="Заголовок 3 Знак"/>
    <w:basedOn w:val="DefaultParagraphFont"/>
    <w:qFormat/>
    <w:rPr>
      <w:rFonts w:ascii="Cambria" w:hAnsi="Cambria" w:eastAsia="Times New Roman" w:cs="Times New Roman"/>
      <w:b/>
      <w:iCs/>
      <w:color w:val="000000"/>
      <w:sz w:val="26"/>
      <w:szCs w:val="24"/>
    </w:rPr>
  </w:style>
  <w:style w:type="character" w:styleId="2">
    <w:name w:val="Заголовок 2 Знак"/>
    <w:basedOn w:val="DefaultParagraphFont"/>
    <w:qFormat/>
    <w:rPr>
      <w:rFonts w:ascii="Cambria" w:hAnsi="Cambria" w:eastAsia="Times New Roman" w:cs="Times New Roman"/>
      <w:b/>
      <w:bCs/>
      <w:sz w:val="28"/>
      <w:szCs w:val="26"/>
    </w:rPr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yle11">
    <w:name w:val="Нижний колонтитул Знак"/>
    <w:basedOn w:val="DefaultParagraphFont"/>
    <w:qFormat/>
    <w:rPr>
      <w:sz w:val="24"/>
      <w:szCs w:val="24"/>
    </w:rPr>
  </w:style>
  <w:style w:type="character" w:styleId="TNR12r">
    <w:name w:val="TNR_12_r Знак"/>
    <w:basedOn w:val="DefaultParagraphFont"/>
    <w:qFormat/>
    <w:rPr>
      <w:b/>
      <w:sz w:val="24"/>
      <w:szCs w:val="24"/>
    </w:rPr>
  </w:style>
  <w:style w:type="character" w:styleId="Style12">
    <w:name w:val="Основной текст Знак"/>
    <w:basedOn w:val="DefaultParagraphFont"/>
    <w:qFormat/>
    <w:rPr>
      <w:sz w:val="24"/>
      <w:szCs w:val="24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4">
    <w:name w:val="Заголовок 4 Знак"/>
    <w:basedOn w:val="DefaultParagraphFont"/>
    <w:qFormat/>
    <w:rPr>
      <w:rFonts w:ascii="Cambria" w:hAnsi="Cambria" w:eastAsia="Times New Roman" w:cs="Times New Roman"/>
      <w:b/>
      <w:bCs/>
      <w:iCs/>
      <w:sz w:val="24"/>
      <w:szCs w:val="24"/>
    </w:rPr>
  </w:style>
  <w:style w:type="character" w:styleId="Applestylespan">
    <w:name w:val="apple-style-span"/>
    <w:basedOn w:val="DefaultParagraphFont"/>
    <w:qFormat/>
    <w:rPr/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Style13">
    <w:name w:val="Текст примечания Знак"/>
    <w:basedOn w:val="DefaultParagraphFont"/>
    <w:qFormat/>
    <w:rPr/>
  </w:style>
  <w:style w:type="character" w:styleId="Style14">
    <w:name w:val="Тема примечания Знак"/>
    <w:basedOn w:val="Style13"/>
    <w:qFormat/>
    <w:rPr>
      <w:b/>
      <w:bCs/>
    </w:rPr>
  </w:style>
  <w:style w:type="character" w:styleId="Appleconvertedspace">
    <w:name w:val="apple-converted-space"/>
    <w:qFormat/>
    <w:rPr/>
  </w:style>
  <w:style w:type="character" w:styleId="MTDisplayEquation">
    <w:name w:val="MTDisplayEquation Знак"/>
    <w:basedOn w:val="DefaultParagraphFont"/>
    <w:qFormat/>
    <w:rPr>
      <w:rFonts w:eastAsia="Calibri" w:cs="Times New Roman"/>
      <w:sz w:val="24"/>
      <w:szCs w:val="22"/>
    </w:rPr>
  </w:style>
  <w:style w:type="character" w:styleId="11">
    <w:name w:val="Стиль1 Знак"/>
    <w:basedOn w:val="2"/>
    <w:qFormat/>
    <w:rPr>
      <w:rFonts w:ascii="Cambria" w:hAnsi="Cambria" w:eastAsia="Times New Roman" w:cs="Times New Roman"/>
      <w:b/>
      <w:bCs/>
      <w:sz w:val="28"/>
      <w:szCs w:val="26"/>
    </w:rPr>
  </w:style>
  <w:style w:type="character" w:styleId="5">
    <w:name w:val="Заголовок 5 Знак"/>
    <w:basedOn w:val="DefaultParagraphFont"/>
    <w:qFormat/>
    <w:rPr>
      <w:rFonts w:ascii="Cambria" w:hAnsi="Cambria" w:eastAsia="Times New Roman" w:cs="Times New Roman"/>
      <w:color w:val="243F60"/>
      <w:sz w:val="24"/>
      <w:szCs w:val="24"/>
    </w:rPr>
  </w:style>
  <w:style w:type="character" w:styleId="21">
    <w:name w:val="Стиль2 Знак"/>
    <w:basedOn w:val="3"/>
    <w:qFormat/>
    <w:rPr>
      <w:rFonts w:ascii="Cambria" w:hAnsi="Cambria" w:eastAsia="Times New Roman" w:cs="Times New Roman"/>
      <w:b/>
      <w:iCs/>
      <w:color w:val="000000"/>
      <w:sz w:val="24"/>
      <w:szCs w:val="24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b w:val="false"/>
      <w:i w:val="false"/>
      <w:sz w:val="28"/>
      <w:u w:val="none"/>
    </w:rPr>
  </w:style>
  <w:style w:type="character" w:styleId="ListLabel3">
    <w:name w:val="ListLabel 3"/>
    <w:qFormat/>
    <w:rPr>
      <w:b w:val="false"/>
      <w:i w:val="false"/>
      <w:sz w:val="24"/>
      <w:u w:val="none"/>
    </w:rPr>
  </w:style>
  <w:style w:type="character" w:styleId="ListLabel4">
    <w:name w:val="ListLabel 4"/>
    <w:qFormat/>
    <w:rPr>
      <w:rFonts w:eastAsia="Calibri" w:cs="Times New Roman"/>
    </w:rPr>
  </w:style>
  <w:style w:type="character" w:styleId="ListLabel5">
    <w:name w:val="ListLabel 5"/>
    <w:qFormat/>
    <w:rPr>
      <w:b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4"/>
      <w:u w:val="none"/>
      <w:effect w:val="blinkBackground"/>
      <w:vertAlign w:val="baseline"/>
      <w:em w:val="none"/>
    </w:rPr>
  </w:style>
  <w:style w:type="character" w:styleId="ListLabel6">
    <w:name w:val="ListLabel 6"/>
    <w:qFormat/>
    <w:rPr>
      <w:rFonts w:eastAsia="Times New Roman" w:cs="Times New Roman"/>
    </w:rPr>
  </w:style>
  <w:style w:type="character" w:styleId="IndexLink">
    <w:name w:val="Index Link"/>
    <w:qFormat/>
    <w:rPr/>
  </w:style>
  <w:style w:type="character" w:styleId="Style15">
    <w:name w:val="Основной шрифт абзаца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Text Body"/>
    <w:basedOn w:val="Normal"/>
    <w:pPr>
      <w:spacing w:before="0" w:after="12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0"/>
      <w:ind w:left="720" w:right="0" w:firstLine="709"/>
      <w:contextualSpacing/>
    </w:pPr>
    <w:rPr/>
  </w:style>
  <w:style w:type="paragraph" w:styleId="ContentsHeading">
    <w:name w:val="Contents Heading"/>
    <w:basedOn w:val="Heading1"/>
    <w:pPr>
      <w:keepLines/>
      <w:spacing w:lineRule="auto" w:line="276" w:before="480" w:after="0"/>
    </w:pPr>
    <w:rPr>
      <w:rFonts w:eastAsia="Times New Roman" w:cs="Times New Roman"/>
      <w:color w:val="365F91"/>
      <w:szCs w:val="28"/>
      <w:lang w:eastAsia="en-US"/>
    </w:rPr>
  </w:style>
  <w:style w:type="paragraph" w:styleId="Norm">
    <w:name w:val="norm"/>
    <w:basedOn w:val="Normal"/>
    <w:qFormat/>
    <w:pPr>
      <w:spacing w:before="280" w:after="280"/>
    </w:pPr>
    <w:rPr/>
  </w:style>
  <w:style w:type="paragraph" w:styleId="Sethead">
    <w:name w:val="sethead"/>
    <w:basedOn w:val="Normal"/>
    <w:qFormat/>
    <w:pPr>
      <w:spacing w:before="280" w:after="280"/>
    </w:pPr>
    <w:rPr/>
  </w:style>
  <w:style w:type="paragraph" w:styleId="Header">
    <w:name w:val="Head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TextBodyIndent">
    <w:name w:val="Text Body Indent"/>
    <w:basedOn w:val="Normal"/>
    <w:pPr>
      <w:ind w:left="0" w:right="0" w:firstLine="399"/>
    </w:pPr>
    <w:rPr/>
  </w:style>
  <w:style w:type="paragraph" w:styleId="NoSpacing">
    <w:name w:val="No Spacing"/>
    <w:qFormat/>
    <w:pPr>
      <w:widowControl/>
      <w:suppressAutoHyphens w:val="true"/>
      <w:kinsoku w:val="true"/>
      <w:overflowPunct w:val="true"/>
      <w:autoSpaceDE w:val="true"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val="ru-RU" w:eastAsia="ru-RU" w:bidi="ar-SA"/>
    </w:rPr>
  </w:style>
  <w:style w:type="paragraph" w:styleId="Contents1">
    <w:name w:val="Contents 1"/>
    <w:basedOn w:val="Normal"/>
    <w:autoRedefine/>
    <w:pPr>
      <w:tabs>
        <w:tab w:val="right" w:pos="9912" w:leader="dot"/>
      </w:tabs>
      <w:spacing w:lineRule="auto" w:line="276" w:before="0" w:after="100"/>
    </w:pPr>
    <w:rPr/>
  </w:style>
  <w:style w:type="paragraph" w:styleId="Contents2">
    <w:name w:val="Contents 2"/>
    <w:basedOn w:val="Normal"/>
    <w:autoRedefine/>
    <w:pPr>
      <w:tabs>
        <w:tab w:val="right" w:pos="9912" w:leader="dot"/>
      </w:tabs>
      <w:spacing w:before="0" w:after="100"/>
      <w:ind w:left="426" w:right="0" w:firstLine="709"/>
    </w:pPr>
    <w:rPr/>
  </w:style>
  <w:style w:type="paragraph" w:styleId="Contents3">
    <w:name w:val="Contents 3"/>
    <w:basedOn w:val="Normal"/>
    <w:autoRedefine/>
    <w:pPr>
      <w:tabs>
        <w:tab w:val="right" w:pos="9912" w:leader="dot"/>
      </w:tabs>
      <w:spacing w:lineRule="auto" w:line="276" w:before="0" w:after="100"/>
      <w:ind w:left="851" w:right="0" w:firstLine="709"/>
    </w:pPr>
    <w:rPr/>
  </w:style>
  <w:style w:type="paragraph" w:styleId="Footer">
    <w:name w:val="Foot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TNR12r1">
    <w:name w:val="TNR_12_r"/>
    <w:basedOn w:val="Normal"/>
    <w:qFormat/>
    <w:pPr>
      <w:numPr>
        <w:ilvl w:val="0"/>
        <w:numId w:val="0"/>
      </w:numPr>
      <w:spacing w:before="40" w:after="40"/>
      <w:ind w:left="0" w:right="0" w:hanging="0"/>
      <w:jc w:val="center"/>
      <w:outlineLvl w:val="2"/>
    </w:pPr>
    <w:rPr>
      <w:b/>
    </w:rPr>
  </w:style>
  <w:style w:type="paragraph" w:styleId="Style16">
    <w:name w:val="Обычный + По ширине"/>
    <w:basedOn w:val="Normal"/>
    <w:qFormat/>
    <w:pPr>
      <w:ind w:left="0" w:right="0" w:hanging="0"/>
      <w:jc w:val="left"/>
    </w:pPr>
    <w:rPr/>
  </w:style>
  <w:style w:type="paragraph" w:styleId="Style17">
    <w:name w:val="Текст таблицы"/>
    <w:basedOn w:val="TextBody"/>
    <w:qFormat/>
    <w:pPr>
      <w:overflowPunct w:val="true"/>
      <w:spacing w:before="0" w:after="0"/>
      <w:ind w:left="0" w:right="0" w:hanging="0"/>
      <w:textAlignment w:val="baseline"/>
    </w:pPr>
    <w:rPr>
      <w:szCs w:val="20"/>
    </w:rPr>
  </w:style>
  <w:style w:type="paragraph" w:styleId="Style18">
    <w:name w:val="Основной"/>
    <w:basedOn w:val="Normal"/>
    <w:qFormat/>
    <w:pPr>
      <w:ind w:left="0" w:right="0" w:firstLine="708"/>
    </w:pPr>
    <w:rPr>
      <w:rFonts w:eastAsia="PMingLiU"/>
      <w:spacing w:val="10"/>
      <w:szCs w:val="20"/>
    </w:rPr>
  </w:style>
  <w:style w:type="paragraph" w:styleId="NormalWeb">
    <w:name w:val="Normal (Web)"/>
    <w:basedOn w:val="Normal"/>
    <w:qFormat/>
    <w:pPr>
      <w:spacing w:before="280" w:after="280"/>
      <w:ind w:left="0" w:right="0" w:hanging="0"/>
      <w:jc w:val="left"/>
    </w:pPr>
    <w:rPr/>
  </w:style>
  <w:style w:type="paragraph" w:styleId="Parstyle03">
    <w:name w:val="parstyle03"/>
    <w:basedOn w:val="Normal"/>
    <w:qFormat/>
    <w:pPr>
      <w:spacing w:before="280" w:after="280"/>
      <w:ind w:left="0" w:right="0" w:hanging="0"/>
      <w:jc w:val="left"/>
    </w:pPr>
    <w:rPr/>
  </w:style>
  <w:style w:type="paragraph" w:styleId="Annotationtext">
    <w:name w:val="annotation text"/>
    <w:basedOn w:val="Normal"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MTDisplayEquation1">
    <w:name w:val="MTDisplayEquation"/>
    <w:basedOn w:val="Normal"/>
    <w:qFormat/>
    <w:pPr>
      <w:tabs>
        <w:tab w:val="center" w:pos="4840" w:leader="none"/>
        <w:tab w:val="right" w:pos="9680" w:leader="none"/>
      </w:tabs>
      <w:ind w:left="0" w:right="0" w:firstLine="851"/>
    </w:pPr>
    <w:rPr>
      <w:rFonts w:eastAsia="Calibri" w:cs="Times New Roman"/>
      <w:szCs w:val="22"/>
    </w:rPr>
  </w:style>
  <w:style w:type="paragraph" w:styleId="12">
    <w:name w:val="Стиль1"/>
    <w:basedOn w:val="Heading2"/>
    <w:qFormat/>
    <w:pPr/>
    <w:rPr/>
  </w:style>
  <w:style w:type="paragraph" w:styleId="22">
    <w:name w:val="Стиль2"/>
    <w:basedOn w:val="Heading3"/>
    <w:qFormat/>
    <w:pPr/>
    <w:rPr>
      <w:sz w:val="24"/>
    </w:rPr>
  </w:style>
  <w:style w:type="paragraph" w:styleId="NNosnova">
    <w:name w:val="N.N - osnova"/>
    <w:basedOn w:val="TextBodyIndent"/>
    <w:qFormat/>
    <w:pPr>
      <w:spacing w:lineRule="auto" w:line="276"/>
      <w:ind w:left="0" w:right="0" w:firstLine="708"/>
    </w:pPr>
    <w:rPr/>
  </w:style>
  <w:style w:type="paragraph" w:styleId="TableContents">
    <w:name w:val="Table Contents"/>
    <w:basedOn w:val="Normal"/>
    <w:qFormat/>
    <w:pPr/>
    <w:rPr/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Style19">
    <w:name w:val="Обычный"/>
    <w:qFormat/>
    <w:pPr>
      <w:widowControl w:val="false"/>
      <w:suppressAutoHyphens w:val="true"/>
      <w:kinsoku w:val="true"/>
      <w:overflowPunct w:val="true"/>
      <w:autoSpaceDE w:val="true"/>
      <w:bidi w:val="0"/>
      <w:spacing w:before="0" w:after="0"/>
      <w:ind w:left="0" w:right="0" w:firstLine="432"/>
      <w:jc w:val="both"/>
    </w:pPr>
    <w:rPr>
      <w:rFonts w:ascii="Times New Roman" w:hAnsi="Times New Roman" w:eastAsia="Times New Roman" w:cs="Times New Roman"/>
      <w:color w:val="auto"/>
      <w:sz w:val="24"/>
      <w:szCs w:val="24"/>
      <w:lang w:eastAsia="ar-SA" w:val="ru-RU" w:bidi="ar-SA"/>
    </w:rPr>
  </w:style>
  <w:style w:type="numbering" w:styleId="NoList">
    <w:name w:val="No List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oleObject" Target="embeddings/oleObject1.bin"/><Relationship Id="rId13" Type="http://schemas.openxmlformats.org/officeDocument/2006/relationships/image" Target="media/image11.emf"/><Relationship Id="rId14" Type="http://schemas.openxmlformats.org/officeDocument/2006/relationships/oleObject" Target="embeddings/oleObject2.bin"/><Relationship Id="rId15" Type="http://schemas.openxmlformats.org/officeDocument/2006/relationships/image" Target="media/image12.emf"/><Relationship Id="rId16" Type="http://schemas.openxmlformats.org/officeDocument/2006/relationships/oleObject" Target="embeddings/oleObject3.bin"/><Relationship Id="rId17" Type="http://schemas.openxmlformats.org/officeDocument/2006/relationships/image" Target="media/image13.emf"/><Relationship Id="rId18" Type="http://schemas.openxmlformats.org/officeDocument/2006/relationships/oleObject" Target="embeddings/oleObject4.bin"/><Relationship Id="rId19" Type="http://schemas.openxmlformats.org/officeDocument/2006/relationships/image" Target="media/image14.emf"/><Relationship Id="rId20" Type="http://schemas.openxmlformats.org/officeDocument/2006/relationships/oleObject" Target="embeddings/oleObject5.bin"/><Relationship Id="rId21" Type="http://schemas.openxmlformats.org/officeDocument/2006/relationships/image" Target="media/image15.emf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oleObject" Target="embeddings/oleObject6.bin"/><Relationship Id="rId28" Type="http://schemas.openxmlformats.org/officeDocument/2006/relationships/image" Target="media/image21.emf"/><Relationship Id="rId29" Type="http://schemas.openxmlformats.org/officeDocument/2006/relationships/oleObject" Target="embeddings/oleObject7.bin"/><Relationship Id="rId30" Type="http://schemas.openxmlformats.org/officeDocument/2006/relationships/image" Target="media/image22.emf"/><Relationship Id="rId31" Type="http://schemas.openxmlformats.org/officeDocument/2006/relationships/oleObject" Target="embeddings/oleObject8.bin"/><Relationship Id="rId32" Type="http://schemas.openxmlformats.org/officeDocument/2006/relationships/image" Target="media/image23.emf"/><Relationship Id="rId33" Type="http://schemas.openxmlformats.org/officeDocument/2006/relationships/oleObject" Target="embeddings/oleObject9.bin"/><Relationship Id="rId34" Type="http://schemas.openxmlformats.org/officeDocument/2006/relationships/image" Target="media/image24.emf"/><Relationship Id="rId35" Type="http://schemas.openxmlformats.org/officeDocument/2006/relationships/oleObject" Target="embeddings/oleObject10.bin"/><Relationship Id="rId36" Type="http://schemas.openxmlformats.org/officeDocument/2006/relationships/image" Target="media/image25.emf"/><Relationship Id="rId37" Type="http://schemas.openxmlformats.org/officeDocument/2006/relationships/oleObject" Target="embeddings/oleObject11.bin"/><Relationship Id="rId38" Type="http://schemas.openxmlformats.org/officeDocument/2006/relationships/image" Target="media/image26.emf"/><Relationship Id="rId39" Type="http://schemas.openxmlformats.org/officeDocument/2006/relationships/oleObject" Target="embeddings/oleObject12.bin"/><Relationship Id="rId40" Type="http://schemas.openxmlformats.org/officeDocument/2006/relationships/image" Target="media/image27.emf"/><Relationship Id="rId41" Type="http://schemas.openxmlformats.org/officeDocument/2006/relationships/oleObject" Target="embeddings/oleObject13.bin"/><Relationship Id="rId42" Type="http://schemas.openxmlformats.org/officeDocument/2006/relationships/image" Target="media/image28.emf"/><Relationship Id="rId43" Type="http://schemas.openxmlformats.org/officeDocument/2006/relationships/oleObject" Target="embeddings/oleObject14.bin"/><Relationship Id="rId44" Type="http://schemas.openxmlformats.org/officeDocument/2006/relationships/image" Target="media/image29.emf"/><Relationship Id="rId45" Type="http://schemas.openxmlformats.org/officeDocument/2006/relationships/oleObject" Target="embeddings/oleObject15.bin"/><Relationship Id="rId46" Type="http://schemas.openxmlformats.org/officeDocument/2006/relationships/image" Target="media/image30.emf"/><Relationship Id="rId47" Type="http://schemas.openxmlformats.org/officeDocument/2006/relationships/image" Target="media/image31.wmf"/><Relationship Id="rId48" Type="http://schemas.openxmlformats.org/officeDocument/2006/relationships/oleObject" Target="embeddings/oleObject16.bin"/><Relationship Id="rId49" Type="http://schemas.openxmlformats.org/officeDocument/2006/relationships/image" Target="media/image32.emf"/><Relationship Id="rId50" Type="http://schemas.openxmlformats.org/officeDocument/2006/relationships/oleObject" Target="embeddings/oleObject17.bin"/><Relationship Id="rId51" Type="http://schemas.openxmlformats.org/officeDocument/2006/relationships/image" Target="media/image33.emf"/><Relationship Id="rId52" Type="http://schemas.openxmlformats.org/officeDocument/2006/relationships/oleObject" Target="embeddings/oleObject18.bin"/><Relationship Id="rId53" Type="http://schemas.openxmlformats.org/officeDocument/2006/relationships/image" Target="media/image34.emf"/><Relationship Id="rId54" Type="http://schemas.openxmlformats.org/officeDocument/2006/relationships/oleObject" Target="embeddings/oleObject19.bin"/><Relationship Id="rId55" Type="http://schemas.openxmlformats.org/officeDocument/2006/relationships/image" Target="media/image35.emf"/><Relationship Id="rId56" Type="http://schemas.openxmlformats.org/officeDocument/2006/relationships/oleObject" Target="embeddings/oleObject20.bin"/><Relationship Id="rId57" Type="http://schemas.openxmlformats.org/officeDocument/2006/relationships/image" Target="media/image36.emf"/><Relationship Id="rId58" Type="http://schemas.openxmlformats.org/officeDocument/2006/relationships/oleObject" Target="embeddings/oleObject21.bin"/><Relationship Id="rId59" Type="http://schemas.openxmlformats.org/officeDocument/2006/relationships/image" Target="media/image37.emf"/><Relationship Id="rId60" Type="http://schemas.openxmlformats.org/officeDocument/2006/relationships/oleObject" Target="embeddings/oleObject22.bin"/><Relationship Id="rId61" Type="http://schemas.openxmlformats.org/officeDocument/2006/relationships/image" Target="media/image38.emf"/><Relationship Id="rId62" Type="http://schemas.openxmlformats.org/officeDocument/2006/relationships/oleObject" Target="embeddings/oleObject23.bin"/><Relationship Id="rId63" Type="http://schemas.openxmlformats.org/officeDocument/2006/relationships/image" Target="media/image39.emf"/><Relationship Id="rId64" Type="http://schemas.openxmlformats.org/officeDocument/2006/relationships/oleObject" Target="embeddings/oleObject24.bin"/><Relationship Id="rId65" Type="http://schemas.openxmlformats.org/officeDocument/2006/relationships/image" Target="media/image40.emf"/><Relationship Id="rId66" Type="http://schemas.openxmlformats.org/officeDocument/2006/relationships/oleObject" Target="embeddings/oleObject25.bin"/><Relationship Id="rId67" Type="http://schemas.openxmlformats.org/officeDocument/2006/relationships/image" Target="media/image41.emf"/><Relationship Id="rId68" Type="http://schemas.openxmlformats.org/officeDocument/2006/relationships/oleObject" Target="embeddings/oleObject26.bin"/><Relationship Id="rId69" Type="http://schemas.openxmlformats.org/officeDocument/2006/relationships/image" Target="media/image42.emf"/><Relationship Id="rId70" Type="http://schemas.openxmlformats.org/officeDocument/2006/relationships/image" Target="media/image43.png"/><Relationship Id="rId71" Type="http://schemas.openxmlformats.org/officeDocument/2006/relationships/oleObject" Target="embeddings/oleObject27.bin"/><Relationship Id="rId72" Type="http://schemas.openxmlformats.org/officeDocument/2006/relationships/image" Target="media/image44.emf"/><Relationship Id="rId73" Type="http://schemas.openxmlformats.org/officeDocument/2006/relationships/oleObject" Target="embeddings/oleObject28.bin"/><Relationship Id="rId74" Type="http://schemas.openxmlformats.org/officeDocument/2006/relationships/image" Target="media/image45.emf"/><Relationship Id="rId75" Type="http://schemas.openxmlformats.org/officeDocument/2006/relationships/oleObject" Target="embeddings/oleObject29.bin"/><Relationship Id="rId76" Type="http://schemas.openxmlformats.org/officeDocument/2006/relationships/image" Target="media/image46.emf"/><Relationship Id="rId77" Type="http://schemas.openxmlformats.org/officeDocument/2006/relationships/oleObject" Target="embeddings/oleObject30.bin"/><Relationship Id="rId78" Type="http://schemas.openxmlformats.org/officeDocument/2006/relationships/image" Target="media/image47.emf"/><Relationship Id="rId79" Type="http://schemas.openxmlformats.org/officeDocument/2006/relationships/oleObject" Target="embeddings/oleObject31.bin"/><Relationship Id="rId80" Type="http://schemas.openxmlformats.org/officeDocument/2006/relationships/image" Target="media/image48.emf"/><Relationship Id="rId81" Type="http://schemas.openxmlformats.org/officeDocument/2006/relationships/oleObject" Target="embeddings/oleObject32.bin"/><Relationship Id="rId82" Type="http://schemas.openxmlformats.org/officeDocument/2006/relationships/image" Target="media/image49.emf"/><Relationship Id="rId83" Type="http://schemas.openxmlformats.org/officeDocument/2006/relationships/oleObject" Target="embeddings/oleObject33.bin"/><Relationship Id="rId84" Type="http://schemas.openxmlformats.org/officeDocument/2006/relationships/image" Target="media/image50.emf"/><Relationship Id="rId85" Type="http://schemas.openxmlformats.org/officeDocument/2006/relationships/oleObject" Target="embeddings/oleObject34.bin"/><Relationship Id="rId86" Type="http://schemas.openxmlformats.org/officeDocument/2006/relationships/image" Target="media/image51.emf"/><Relationship Id="rId87" Type="http://schemas.openxmlformats.org/officeDocument/2006/relationships/oleObject" Target="embeddings/oleObject35.bin"/><Relationship Id="rId88" Type="http://schemas.openxmlformats.org/officeDocument/2006/relationships/image" Target="media/image52.emf"/><Relationship Id="rId89" Type="http://schemas.openxmlformats.org/officeDocument/2006/relationships/oleObject" Target="embeddings/oleObject36.bin"/><Relationship Id="rId90" Type="http://schemas.openxmlformats.org/officeDocument/2006/relationships/image" Target="media/image53.emf"/><Relationship Id="rId91" Type="http://schemas.openxmlformats.org/officeDocument/2006/relationships/oleObject" Target="embeddings/oleObject37.bin"/><Relationship Id="rId92" Type="http://schemas.openxmlformats.org/officeDocument/2006/relationships/image" Target="media/image54.emf"/><Relationship Id="rId93" Type="http://schemas.openxmlformats.org/officeDocument/2006/relationships/oleObject" Target="embeddings/oleObject38.bin"/><Relationship Id="rId94" Type="http://schemas.openxmlformats.org/officeDocument/2006/relationships/image" Target="media/image55.emf"/><Relationship Id="rId95" Type="http://schemas.openxmlformats.org/officeDocument/2006/relationships/oleObject" Target="embeddings/oleObject39.bin"/><Relationship Id="rId96" Type="http://schemas.openxmlformats.org/officeDocument/2006/relationships/image" Target="media/image56.emf"/><Relationship Id="rId97" Type="http://schemas.openxmlformats.org/officeDocument/2006/relationships/oleObject" Target="embeddings/oleObject40.bin"/><Relationship Id="rId98" Type="http://schemas.openxmlformats.org/officeDocument/2006/relationships/image" Target="media/image57.emf"/><Relationship Id="rId99" Type="http://schemas.openxmlformats.org/officeDocument/2006/relationships/oleObject" Target="embeddings/oleObject41.bin"/><Relationship Id="rId100" Type="http://schemas.openxmlformats.org/officeDocument/2006/relationships/image" Target="media/image58.emf"/><Relationship Id="rId101" Type="http://schemas.openxmlformats.org/officeDocument/2006/relationships/oleObject" Target="embeddings/oleObject42.bin"/><Relationship Id="rId102" Type="http://schemas.openxmlformats.org/officeDocument/2006/relationships/image" Target="media/image59.emf"/><Relationship Id="rId103" Type="http://schemas.openxmlformats.org/officeDocument/2006/relationships/oleObject" Target="embeddings/oleObject43.bin"/><Relationship Id="rId104" Type="http://schemas.openxmlformats.org/officeDocument/2006/relationships/image" Target="media/image60.emf"/><Relationship Id="rId105" Type="http://schemas.openxmlformats.org/officeDocument/2006/relationships/oleObject" Target="embeddings/oleObject44.bin"/><Relationship Id="rId106" Type="http://schemas.openxmlformats.org/officeDocument/2006/relationships/image" Target="media/image61.emf"/><Relationship Id="rId107" Type="http://schemas.openxmlformats.org/officeDocument/2006/relationships/oleObject" Target="embeddings/oleObject45.bin"/><Relationship Id="rId108" Type="http://schemas.openxmlformats.org/officeDocument/2006/relationships/image" Target="media/image62.emf"/><Relationship Id="rId109" Type="http://schemas.openxmlformats.org/officeDocument/2006/relationships/oleObject" Target="embeddings/oleObject46.bin"/><Relationship Id="rId110" Type="http://schemas.openxmlformats.org/officeDocument/2006/relationships/image" Target="media/image63.emf"/><Relationship Id="rId111" Type="http://schemas.openxmlformats.org/officeDocument/2006/relationships/oleObject" Target="embeddings/oleObject47.bin"/><Relationship Id="rId112" Type="http://schemas.openxmlformats.org/officeDocument/2006/relationships/image" Target="media/image64.emf"/><Relationship Id="rId113" Type="http://schemas.openxmlformats.org/officeDocument/2006/relationships/oleObject" Target="embeddings/oleObject48.bin"/><Relationship Id="rId114" Type="http://schemas.openxmlformats.org/officeDocument/2006/relationships/image" Target="media/image65.emf"/><Relationship Id="rId115" Type="http://schemas.openxmlformats.org/officeDocument/2006/relationships/oleObject" Target="embeddings/oleObject49.bin"/><Relationship Id="rId116" Type="http://schemas.openxmlformats.org/officeDocument/2006/relationships/image" Target="media/image66.emf"/><Relationship Id="rId117" Type="http://schemas.openxmlformats.org/officeDocument/2006/relationships/oleObject" Target="embeddings/oleObject50.bin"/><Relationship Id="rId118" Type="http://schemas.openxmlformats.org/officeDocument/2006/relationships/image" Target="media/image67.emf"/><Relationship Id="rId119" Type="http://schemas.openxmlformats.org/officeDocument/2006/relationships/oleObject" Target="embeddings/oleObject51.bin"/><Relationship Id="rId120" Type="http://schemas.openxmlformats.org/officeDocument/2006/relationships/image" Target="media/image68.emf"/><Relationship Id="rId121" Type="http://schemas.openxmlformats.org/officeDocument/2006/relationships/oleObject" Target="embeddings/oleObject52.bin"/><Relationship Id="rId122" Type="http://schemas.openxmlformats.org/officeDocument/2006/relationships/image" Target="media/image69.emf"/><Relationship Id="rId123" Type="http://schemas.openxmlformats.org/officeDocument/2006/relationships/oleObject" Target="embeddings/oleObject53.bin"/><Relationship Id="rId124" Type="http://schemas.openxmlformats.org/officeDocument/2006/relationships/image" Target="media/image70.emf"/><Relationship Id="rId125" Type="http://schemas.openxmlformats.org/officeDocument/2006/relationships/oleObject" Target="embeddings/oleObject54.bin"/><Relationship Id="rId126" Type="http://schemas.openxmlformats.org/officeDocument/2006/relationships/image" Target="media/image71.emf"/><Relationship Id="rId127" Type="http://schemas.openxmlformats.org/officeDocument/2006/relationships/oleObject" Target="embeddings/oleObject55.bin"/><Relationship Id="rId128" Type="http://schemas.openxmlformats.org/officeDocument/2006/relationships/image" Target="media/image72.emf"/><Relationship Id="rId129" Type="http://schemas.openxmlformats.org/officeDocument/2006/relationships/oleObject" Target="embeddings/oleObject56.bin"/><Relationship Id="rId130" Type="http://schemas.openxmlformats.org/officeDocument/2006/relationships/image" Target="media/image73.emf"/><Relationship Id="rId131" Type="http://schemas.openxmlformats.org/officeDocument/2006/relationships/oleObject" Target="embeddings/oleObject57.bin"/><Relationship Id="rId132" Type="http://schemas.openxmlformats.org/officeDocument/2006/relationships/image" Target="media/image74.emf"/><Relationship Id="rId133" Type="http://schemas.openxmlformats.org/officeDocument/2006/relationships/oleObject" Target="embeddings/oleObject58.bin"/><Relationship Id="rId134" Type="http://schemas.openxmlformats.org/officeDocument/2006/relationships/image" Target="media/image75.emf"/><Relationship Id="rId135" Type="http://schemas.openxmlformats.org/officeDocument/2006/relationships/oleObject" Target="embeddings/oleObject59.bin"/><Relationship Id="rId136" Type="http://schemas.openxmlformats.org/officeDocument/2006/relationships/image" Target="media/image76.emf"/><Relationship Id="rId137" Type="http://schemas.openxmlformats.org/officeDocument/2006/relationships/oleObject" Target="embeddings/oleObject60.bin"/><Relationship Id="rId138" Type="http://schemas.openxmlformats.org/officeDocument/2006/relationships/image" Target="media/image77.emf"/><Relationship Id="rId139" Type="http://schemas.openxmlformats.org/officeDocument/2006/relationships/oleObject" Target="embeddings/oleObject61.bin"/><Relationship Id="rId140" Type="http://schemas.openxmlformats.org/officeDocument/2006/relationships/image" Target="media/image78.emf"/><Relationship Id="rId141" Type="http://schemas.openxmlformats.org/officeDocument/2006/relationships/oleObject" Target="embeddings/oleObject62.bin"/><Relationship Id="rId142" Type="http://schemas.openxmlformats.org/officeDocument/2006/relationships/image" Target="media/image79.emf"/><Relationship Id="rId143" Type="http://schemas.openxmlformats.org/officeDocument/2006/relationships/image" Target="media/image80.png"/><Relationship Id="rId144" Type="http://schemas.openxmlformats.org/officeDocument/2006/relationships/image" Target="media/image81.png"/><Relationship Id="rId145" Type="http://schemas.openxmlformats.org/officeDocument/2006/relationships/oleObject" Target="embeddings/oleObject63.bin"/><Relationship Id="rId146" Type="http://schemas.openxmlformats.org/officeDocument/2006/relationships/image" Target="media/image82.emf"/><Relationship Id="rId147" Type="http://schemas.openxmlformats.org/officeDocument/2006/relationships/oleObject" Target="embeddings/oleObject64.bin"/><Relationship Id="rId148" Type="http://schemas.openxmlformats.org/officeDocument/2006/relationships/image" Target="media/image83.emf"/><Relationship Id="rId149" Type="http://schemas.openxmlformats.org/officeDocument/2006/relationships/oleObject" Target="embeddings/oleObject65.bin"/><Relationship Id="rId150" Type="http://schemas.openxmlformats.org/officeDocument/2006/relationships/image" Target="media/image84.emf"/><Relationship Id="rId151" Type="http://schemas.openxmlformats.org/officeDocument/2006/relationships/oleObject" Target="embeddings/oleObject66.bin"/><Relationship Id="rId152" Type="http://schemas.openxmlformats.org/officeDocument/2006/relationships/image" Target="media/image85.emf"/><Relationship Id="rId153" Type="http://schemas.openxmlformats.org/officeDocument/2006/relationships/image" Target="media/image86.wmf"/><Relationship Id="rId154" Type="http://schemas.openxmlformats.org/officeDocument/2006/relationships/oleObject" Target="embeddings/oleObject67.bin"/><Relationship Id="rId155" Type="http://schemas.openxmlformats.org/officeDocument/2006/relationships/image" Target="media/image87.emf"/><Relationship Id="rId156" Type="http://schemas.openxmlformats.org/officeDocument/2006/relationships/image" Target="media/image88.png"/><Relationship Id="rId157" Type="http://schemas.openxmlformats.org/officeDocument/2006/relationships/header" Target="header1.xml"/><Relationship Id="rId158" Type="http://schemas.openxmlformats.org/officeDocument/2006/relationships/footer" Target="footer1.xml"/><Relationship Id="rId159" Type="http://schemas.openxmlformats.org/officeDocument/2006/relationships/footer" Target="footer2.xml"/><Relationship Id="rId160" Type="http://schemas.openxmlformats.org/officeDocument/2006/relationships/numbering" Target="numbering.xml"/><Relationship Id="rId161" Type="http://schemas.openxmlformats.org/officeDocument/2006/relationships/fontTable" Target="fontTable.xml"/><Relationship Id="rId16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1042</TotalTime>
  <Application>LibreOffice/4.4.3.2$Linux_x86 LibreOffice_project/40m0$Build-2</Application>
  <Paragraphs>887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2015-12-07T22:38:43Z</dcterms:created>
  <dc:language>en-US</dc:language>
  <dcterms:modified xsi:type="dcterms:W3CDTF">2015-12-20T18:59:03Z</dcterms:modified>
  <cp:revision>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