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B3A5C" w:val="clear"/>
            <w:tcMar>
              <w:top w:type="dxa" w:w="400"/>
              <w:left w:type="dxa" w:w="400"/>
              <w:bottom w:type="dxa" w:w="400"/>
              <w:right w:type="dxa" w:w="400"/>
            </w:tcMar>
          </w:tcPr>
          <w:p>
            <w:pPr>
              <w:spacing w:after="80" w:before="160"/>
              <w:jc w:val="center"/>
            </w:pPr>
            <w:r>
              <w:rPr>
                <w:rFonts w:ascii="Arial" w:cs="Arial" w:eastAsia="Arial" w:hAnsi="Arial"/>
                <w:b/>
                <w:bCs/>
                <w:color w:val="FFFFFF"/>
                <w:sz w:val="48"/>
                <w:szCs w:val="48"/>
              </w:rPr>
              <w:t xml:space="preserve">VERTEX METALS LTD</w:t>
            </w:r>
          </w:p>
          <w:p>
            <w:pPr>
              <w:spacing w:after="40" w:before="40"/>
              <w:jc w:val="center"/>
            </w:pPr>
            <w:r>
              <w:rPr>
                <w:rFonts w:ascii="Arial" w:cs="Arial" w:eastAsia="Arial" w:hAnsi="Arial"/>
                <w:color w:val="A8C8E8"/>
                <w:sz w:val="24"/>
                <w:szCs w:val="24"/>
              </w:rPr>
              <w:t xml:space="preserve">Anti-Money Laundering, Counter-Terrorist Financing</w:t>
            </w:r>
          </w:p>
          <w:p>
            <w:pPr>
              <w:spacing w:after="160" w:before="40"/>
              <w:jc w:val="center"/>
            </w:pPr>
            <w:r>
              <w:rPr>
                <w:rFonts w:ascii="Arial" w:cs="Arial" w:eastAsia="Arial" w:hAnsi="Arial"/>
                <w:color w:val="A8C8E8"/>
                <w:sz w:val="24"/>
                <w:szCs w:val="24"/>
              </w:rPr>
              <w:t xml:space="preserve">&amp; Know Your Customer Policy</w:t>
            </w:r>
          </w:p>
        </w:tc>
      </w:tr>
    </w:tbl>
    <w:p>
      <w:pPr>
        <w:spacing w:after="8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Document Control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Document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Anti-Money Laundering, CTF &amp; KYC Policy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Company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Vertex Metals Ltd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Jurisdiction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Isle of Man (incorporated); UK trading operations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Date of Issue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April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Review Date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April 2027 (annual)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Policy 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Martyn Bourner, Money Laundering Reporting Officer (MLRO)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Approved By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Board of Directors — Vertex Metals Ltd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r>
    </w:tbl>
    <w:p>
      <w:pPr>
        <w:spacing w:after="80" w:before="80"/>
      </w:pPr>
      <w:r>
        <w:t xml:space="preserve"/>
      </w:r>
    </w:p>
    <w:p>
      <w:pPr>
        <w:spacing w:after="80" w:before="80"/>
      </w:pPr>
      <w:r>
        <w:t xml:space="preserve"/>
      </w:r>
    </w:p>
    <w:p>
      <w:pPr>
        <w:pStyle w:val="Heading1"/>
        <w:pBdr>
          <w:bottom w:val="single" w:color="4A90C4" w:sz="4" w:space="4"/>
        </w:pBdr>
        <w:spacing w:after="120" w:before="360"/>
      </w:pPr>
      <w:r>
        <w:rPr>
          <w:rFonts w:ascii="Arial" w:cs="Arial" w:eastAsia="Arial" w:hAnsi="Arial"/>
          <w:b/>
          <w:bCs/>
          <w:color w:val="1B3A5C"/>
          <w:sz w:val="28"/>
          <w:szCs w:val="28"/>
        </w:rPr>
        <w:t xml:space="preserve">1. Introduction and Purpose</w:t>
      </w:r>
    </w:p>
    <w:p>
      <w:pPr>
        <w:spacing w:after="80" w:before="80"/>
      </w:pPr>
      <w:r>
        <w:rPr>
          <w:rFonts w:ascii="Arial" w:cs="Arial" w:eastAsia="Arial" w:hAnsi="Arial"/>
          <w:sz w:val="20"/>
          <w:szCs w:val="20"/>
        </w:rPr>
        <w:t xml:space="preserve">Vertex Metals Ltd ("the Company") is a commodity trading intermediary incorporated on the Isle of Man under the Companies Act 1931. The Company connects metal and mineral exporters in India with buyers in the United Kingdom, acting as principal in trades by facilitating sourcing, logistics, documentation and margin on transactions.</w:t>
      </w:r>
    </w:p>
    <w:p>
      <w:pPr>
        <w:spacing w:after="80" w:before="80"/>
      </w:pPr>
      <w:r>
        <w:t xml:space="preserve"/>
      </w:r>
    </w:p>
    <w:p>
      <w:pPr>
        <w:spacing w:after="80" w:before="80"/>
      </w:pPr>
      <w:r>
        <w:rPr>
          <w:rFonts w:ascii="Arial" w:cs="Arial" w:eastAsia="Arial" w:hAnsi="Arial"/>
          <w:sz w:val="20"/>
          <w:szCs w:val="20"/>
        </w:rPr>
        <w:t xml:space="preserve">This policy establishes the Company's framework for complying with all applicable anti-money laundering (AML) and counter-terrorist financing (CTF) obligations, and sets out the Know Your Customer (KYC) and Customer Due Diligence (CDD) procedures that govern the Company's relationships with both suppliers and buyers.</w:t>
      </w:r>
    </w:p>
    <w:p>
      <w:pPr>
        <w:spacing w:after="80" w:before="80"/>
      </w:pPr>
      <w:r>
        <w:t xml:space="preserve"/>
      </w:r>
    </w:p>
    <w:p>
      <w:pPr>
        <w:spacing w:after="80" w:before="80"/>
      </w:pPr>
      <w:r>
        <w:rPr>
          <w:rFonts w:ascii="Arial" w:cs="Arial" w:eastAsia="Arial" w:hAnsi="Arial"/>
          <w:sz w:val="20"/>
          <w:szCs w:val="20"/>
        </w:rPr>
        <w:t xml:space="preserve">This policy has been prepared in accordance with:</w:t>
      </w:r>
    </w:p>
    <w:p>
      <w:pPr>
        <w:pStyle w:val="ListParagraph"/>
        <w:numPr>
          <w:ilvl w:val="0"/>
          <w:numId w:val="2"/>
        </w:numPr>
        <w:spacing w:after="40" w:before="40"/>
      </w:pPr>
      <w:r>
        <w:rPr>
          <w:rFonts w:ascii="Arial" w:cs="Arial" w:eastAsia="Arial" w:hAnsi="Arial"/>
          <w:sz w:val="20"/>
          <w:szCs w:val="20"/>
        </w:rPr>
        <w:t xml:space="preserve">The Proceeds of Crime Act 2008 (Isle of Man)</w:t>
      </w:r>
    </w:p>
    <w:p>
      <w:pPr>
        <w:pStyle w:val="ListParagraph"/>
        <w:numPr>
          <w:ilvl w:val="0"/>
          <w:numId w:val="2"/>
        </w:numPr>
        <w:spacing w:after="40" w:before="40"/>
      </w:pPr>
      <w:r>
        <w:rPr>
          <w:rFonts w:ascii="Arial" w:cs="Arial" w:eastAsia="Arial" w:hAnsi="Arial"/>
          <w:sz w:val="20"/>
          <w:szCs w:val="20"/>
        </w:rPr>
        <w:t xml:space="preserve">The Anti-Terrorism and Crime Act 2003 (Isle of Man)</w:t>
      </w:r>
    </w:p>
    <w:p>
      <w:pPr>
        <w:pStyle w:val="ListParagraph"/>
        <w:numPr>
          <w:ilvl w:val="0"/>
          <w:numId w:val="2"/>
        </w:numPr>
        <w:spacing w:after="40" w:before="40"/>
      </w:pPr>
      <w:r>
        <w:rPr>
          <w:rFonts w:ascii="Arial" w:cs="Arial" w:eastAsia="Arial" w:hAnsi="Arial"/>
          <w:sz w:val="20"/>
          <w:szCs w:val="20"/>
        </w:rPr>
        <w:t xml:space="preserve">The Anti-Money Laundering and Countering the Financing of Terrorism Code 2019 (IOM AML/CFT Code)</w:t>
      </w:r>
    </w:p>
    <w:p>
      <w:pPr>
        <w:pStyle w:val="ListParagraph"/>
        <w:numPr>
          <w:ilvl w:val="0"/>
          <w:numId w:val="2"/>
        </w:numPr>
        <w:spacing w:after="40" w:before="40"/>
      </w:pPr>
      <w:r>
        <w:rPr>
          <w:rFonts w:ascii="Arial" w:cs="Arial" w:eastAsia="Arial" w:hAnsi="Arial"/>
          <w:sz w:val="20"/>
          <w:szCs w:val="20"/>
        </w:rPr>
        <w:t xml:space="preserve">The Designated Businesses (Registration and Oversight) Act 2015 (Isle of Man)</w:t>
      </w:r>
    </w:p>
    <w:p>
      <w:pPr>
        <w:pStyle w:val="ListParagraph"/>
        <w:numPr>
          <w:ilvl w:val="0"/>
          <w:numId w:val="2"/>
        </w:numPr>
        <w:spacing w:after="40" w:before="40"/>
      </w:pPr>
      <w:r>
        <w:rPr>
          <w:rFonts w:ascii="Arial" w:cs="Arial" w:eastAsia="Arial" w:hAnsi="Arial"/>
          <w:sz w:val="20"/>
          <w:szCs w:val="20"/>
        </w:rPr>
        <w:t xml:space="preserve">The Money Laundering, Terrorist Financing and Transfer of Funds (Information on the Payer) Regulations 2017 (UK MLRs)</w:t>
      </w:r>
    </w:p>
    <w:p>
      <w:pPr>
        <w:pStyle w:val="ListParagraph"/>
        <w:numPr>
          <w:ilvl w:val="0"/>
          <w:numId w:val="2"/>
        </w:numPr>
        <w:spacing w:after="40" w:before="40"/>
      </w:pPr>
      <w:r>
        <w:rPr>
          <w:rFonts w:ascii="Arial" w:cs="Arial" w:eastAsia="Arial" w:hAnsi="Arial"/>
          <w:sz w:val="20"/>
          <w:szCs w:val="20"/>
        </w:rPr>
        <w:t xml:space="preserve">UK financial sanctions legislation and OFSI reporting obligations (from May 2025)</w:t>
      </w:r>
    </w:p>
    <w:p>
      <w:pPr>
        <w:pStyle w:val="ListParagraph"/>
        <w:numPr>
          <w:ilvl w:val="0"/>
          <w:numId w:val="2"/>
        </w:numPr>
        <w:spacing w:after="40" w:before="40"/>
      </w:pPr>
      <w:r>
        <w:rPr>
          <w:rFonts w:ascii="Arial" w:cs="Arial" w:eastAsia="Arial" w:hAnsi="Arial"/>
          <w:sz w:val="20"/>
          <w:szCs w:val="20"/>
        </w:rPr>
        <w:t xml:space="preserve">FATF Recommendations applicable to Designated Non-Financial Businesses and Professions (DNFBPs)</w:t>
      </w:r>
    </w:p>
    <w:p>
      <w:pPr>
        <w:spacing w:after="80" w:before="80"/>
      </w:pPr>
      <w:r>
        <w:t xml:space="preserve"/>
      </w:r>
    </w:p>
    <w:p>
      <w:pPr>
        <w:pStyle w:val="Heading1"/>
        <w:pBdr>
          <w:bottom w:val="single" w:color="4A90C4" w:sz="4" w:space="4"/>
        </w:pBdr>
        <w:spacing w:after="120" w:before="360"/>
      </w:pPr>
      <w:r>
        <w:rPr>
          <w:rFonts w:ascii="Arial" w:cs="Arial" w:eastAsia="Arial" w:hAnsi="Arial"/>
          <w:b/>
          <w:bCs/>
          <w:color w:val="1B3A5C"/>
          <w:sz w:val="28"/>
          <w:szCs w:val="28"/>
        </w:rPr>
        <w:t xml:space="preserve">2. Scope of This Policy</w:t>
      </w:r>
    </w:p>
    <w:p>
      <w:pPr>
        <w:spacing w:after="80" w:before="80"/>
      </w:pPr>
      <w:r>
        <w:rPr>
          <w:rFonts w:ascii="Arial" w:cs="Arial" w:eastAsia="Arial" w:hAnsi="Arial"/>
          <w:sz w:val="20"/>
          <w:szCs w:val="20"/>
        </w:rPr>
        <w:t xml:space="preserve">This policy applies to:</w:t>
      </w:r>
    </w:p>
    <w:p>
      <w:pPr>
        <w:pStyle w:val="ListParagraph"/>
        <w:numPr>
          <w:ilvl w:val="0"/>
          <w:numId w:val="2"/>
        </w:numPr>
        <w:spacing w:after="40" w:before="40"/>
      </w:pPr>
      <w:r>
        <w:rPr>
          <w:rFonts w:ascii="Arial" w:cs="Arial" w:eastAsia="Arial" w:hAnsi="Arial"/>
          <w:sz w:val="20"/>
          <w:szCs w:val="20"/>
        </w:rPr>
        <w:t xml:space="preserve">All directors, officers, and persons acting on behalf of Vertex Metals Ltd</w:t>
      </w:r>
    </w:p>
    <w:p>
      <w:pPr>
        <w:pStyle w:val="ListParagraph"/>
        <w:numPr>
          <w:ilvl w:val="0"/>
          <w:numId w:val="2"/>
        </w:numPr>
        <w:spacing w:after="40" w:before="40"/>
      </w:pPr>
      <w:r>
        <w:rPr>
          <w:rFonts w:ascii="Arial" w:cs="Arial" w:eastAsia="Arial" w:hAnsi="Arial"/>
          <w:sz w:val="20"/>
          <w:szCs w:val="20"/>
        </w:rPr>
        <w:t xml:space="preserve">All business relationships with suppliers (Indian exporters and manufacturers)</w:t>
      </w:r>
    </w:p>
    <w:p>
      <w:pPr>
        <w:pStyle w:val="ListParagraph"/>
        <w:numPr>
          <w:ilvl w:val="0"/>
          <w:numId w:val="2"/>
        </w:numPr>
        <w:spacing w:after="40" w:before="40"/>
      </w:pPr>
      <w:r>
        <w:rPr>
          <w:rFonts w:ascii="Arial" w:cs="Arial" w:eastAsia="Arial" w:hAnsi="Arial"/>
          <w:sz w:val="20"/>
          <w:szCs w:val="20"/>
        </w:rPr>
        <w:t xml:space="preserve">All business relationships with buyers (UK-based industrial purchasers)</w:t>
      </w:r>
    </w:p>
    <w:p>
      <w:pPr>
        <w:pStyle w:val="ListParagraph"/>
        <w:numPr>
          <w:ilvl w:val="0"/>
          <w:numId w:val="2"/>
        </w:numPr>
        <w:spacing w:after="40" w:before="40"/>
      </w:pPr>
      <w:r>
        <w:rPr>
          <w:rFonts w:ascii="Arial" w:cs="Arial" w:eastAsia="Arial" w:hAnsi="Arial"/>
          <w:sz w:val="20"/>
          <w:szCs w:val="20"/>
        </w:rPr>
        <w:t xml:space="preserve">All transactions, regardless of value or payment method</w:t>
      </w:r>
    </w:p>
    <w:p>
      <w:pPr>
        <w:spacing w:after="80" w:before="80"/>
      </w:pPr>
      <w:r>
        <w:t xml:space="preserve"/>
      </w:r>
    </w:p>
    <w:p>
      <w:pPr>
        <w:spacing w:after="80" w:before="80"/>
      </w:pPr>
      <w:r>
        <w:rPr>
          <w:rFonts w:ascii="Arial" w:cs="Arial" w:eastAsia="Arial" w:hAnsi="Arial"/>
          <w:sz w:val="20"/>
          <w:szCs w:val="20"/>
        </w:rPr>
        <w:t xml:space="preserve">The policy applies to the Company's current MVP trading activity in Aluminium Alloy Core Wire (EC Grade / 6XXX series) and will extend to all future product lines as they are introduced.</w:t>
      </w:r>
    </w:p>
    <w:p>
      <w:pPr>
        <w:spacing w:after="80" w:before="80"/>
      </w:pPr>
      <w:r>
        <w:t xml:space="preserve"/>
      </w:r>
    </w:p>
    <w:p>
      <w:pPr>
        <w:pStyle w:val="Heading1"/>
        <w:pBdr>
          <w:bottom w:val="single" w:color="4A90C4" w:sz="4" w:space="4"/>
        </w:pBdr>
        <w:spacing w:after="120" w:before="360"/>
      </w:pPr>
      <w:r>
        <w:rPr>
          <w:rFonts w:ascii="Arial" w:cs="Arial" w:eastAsia="Arial" w:hAnsi="Arial"/>
          <w:b/>
          <w:bCs/>
          <w:color w:val="1B3A5C"/>
          <w:sz w:val="28"/>
          <w:szCs w:val="28"/>
        </w:rPr>
        <w:t xml:space="preserve">3. Regulatory Registration and Oversight</w:t>
      </w:r>
    </w:p>
    <w:p>
      <w:pPr>
        <w:pStyle w:val="Heading2"/>
        <w:spacing w:after="80" w:before="240"/>
      </w:pPr>
      <w:r>
        <w:rPr>
          <w:rFonts w:ascii="Arial" w:cs="Arial" w:eastAsia="Arial" w:hAnsi="Arial"/>
          <w:b/>
          <w:bCs/>
          <w:color w:val="1B3A5C"/>
          <w:sz w:val="24"/>
          <w:szCs w:val="24"/>
        </w:rPr>
        <w:t xml:space="preserve">3.1 Isle of Man — Designated Business</w:t>
      </w:r>
    </w:p>
    <w:p>
      <w:pPr>
        <w:spacing w:after="80" w:before="80"/>
      </w:pPr>
      <w:r>
        <w:rPr>
          <w:rFonts w:ascii="Arial" w:cs="Arial" w:eastAsia="Arial" w:hAnsi="Arial"/>
          <w:sz w:val="20"/>
          <w:szCs w:val="20"/>
        </w:rPr>
        <w:t xml:space="preserve">As a high-value goods dealer operating from the Isle of Man, the Company is registered as a Designated Business under the Designated Businesses (Registration and Oversight) Act 2015. The Company's AML/CFT compliance is overseen by the Isle of Man Financial Services Authority (IOM FSA).</w:t>
      </w:r>
    </w:p>
    <w:p>
      <w:pPr>
        <w:spacing w:after="80" w:before="80"/>
      </w:pPr>
      <w:r>
        <w:t xml:space="preserve"/>
      </w:r>
    </w:p>
    <w:p>
      <w:pPr>
        <w:spacing w:after="80" w:before="80"/>
      </w:pPr>
      <w:r>
        <w:rPr>
          <w:rFonts w:ascii="Arial" w:cs="Arial" w:eastAsia="Arial" w:hAnsi="Arial"/>
          <w:sz w:val="20"/>
          <w:szCs w:val="20"/>
        </w:rPr>
        <w:t xml:space="preserve">Suspicious activity reports (SARs) on the Isle of Man are filed with the IOM Financial Intelligence Unit (FIU) via the THEMIS online reporting system.</w:t>
      </w:r>
    </w:p>
    <w:p>
      <w:pPr>
        <w:spacing w:after="80" w:before="80"/>
      </w:pPr>
      <w:r>
        <w:t xml:space="preserve"/>
      </w:r>
    </w:p>
    <w:p>
      <w:pPr>
        <w:pStyle w:val="Heading2"/>
        <w:spacing w:after="80" w:before="240"/>
      </w:pPr>
      <w:r>
        <w:rPr>
          <w:rFonts w:ascii="Arial" w:cs="Arial" w:eastAsia="Arial" w:hAnsi="Arial"/>
          <w:b/>
          <w:bCs/>
          <w:color w:val="1B3A5C"/>
          <w:sz w:val="24"/>
          <w:szCs w:val="24"/>
        </w:rPr>
        <w:t xml:space="preserve">3.2 UK — Cash Payment Policy</w:t>
      </w:r>
    </w:p>
    <w:p>
      <w:pPr>
        <w:spacing w:after="80" w:before="80"/>
      </w:pPr>
      <w:r>
        <w:rPr>
          <w:rFonts w:ascii="Arial" w:cs="Arial" w:eastAsia="Arial" w:hAnsi="Arial"/>
          <w:sz w:val="20"/>
          <w:szCs w:val="20"/>
        </w:rPr>
        <w:t xml:space="preserve">The Company operates a strict no-cash policy. All transactions are settled exclusively by bank transfer or Irrevocable Transferable Documentary Letter of Credit (ITDLC). The Company does not accept or make cash payments in any currency, including deposits of cash by customers into the Company's bank account or payments of cash to any third party for the Company's benefit.</w:t>
      </w:r>
    </w:p>
    <w:p>
      <w:pPr>
        <w:spacing w:after="80" w:before="80"/>
      </w:pPr>
      <w:r>
        <w:t xml:space="preserve"/>
      </w:r>
    </w:p>
    <w:p>
      <w:pPr>
        <w:spacing w:after="80" w:before="80"/>
      </w:pPr>
      <w:r>
        <w:rPr>
          <w:rFonts w:ascii="Arial" w:cs="Arial" w:eastAsia="Arial" w:hAnsi="Arial"/>
          <w:sz w:val="20"/>
          <w:szCs w:val="20"/>
        </w:rPr>
        <w:t xml:space="preserve">This no-cash policy is a fundamental commercial and compliance position of the Company and is communicated to all buyers and suppliers at the outset of any relationship. All contracts and terms of business will include an explicit statement of this policy.</w:t>
      </w:r>
    </w:p>
    <w:p>
      <w:pPr>
        <w:spacing w:after="80" w:before="80"/>
      </w:pPr>
      <w:r>
        <w:t xml:space="preserve"/>
      </w:r>
    </w:p>
    <w:p>
      <w:pPr>
        <w:spacing w:after="80" w:before="80"/>
      </w:pPr>
      <w:r>
        <w:rPr>
          <w:rFonts w:ascii="Arial" w:cs="Arial" w:eastAsia="Arial" w:hAnsi="Arial"/>
          <w:sz w:val="20"/>
          <w:szCs w:val="20"/>
        </w:rPr>
        <w:t xml:space="preserve">As the Company does not accept high-value cash payments, it does not meet the definition of a High Value Dealer (HVD) under the UK Money Laundering, Terrorist Financing and Transfer of Funds Regulations 2017. However, the Company maintains AML procedures consistent with best practice for the metals trading sector and will register as an HVD with HMRC immediately should any change in trading practice require it.</w:t>
      </w:r>
    </w:p>
    <w:p>
      <w:pPr>
        <w:spacing w:after="80" w:before="80"/>
      </w:pPr>
      <w:r>
        <w:t xml:space="preserve"/>
      </w:r>
    </w:p>
    <w:p>
      <w:pPr>
        <w:spacing w:after="80" w:before="80"/>
      </w:pPr>
      <w:r>
        <w:rPr>
          <w:rFonts w:ascii="Arial" w:cs="Arial" w:eastAsia="Arial" w:hAnsi="Arial"/>
          <w:sz w:val="20"/>
          <w:szCs w:val="20"/>
        </w:rPr>
        <w:t xml:space="preserve">UK suspicious activity reports are filed with the National Crime Agency (NCA) via the Suspicious Activity Reports (SAR) online system.</w:t>
      </w:r>
    </w:p>
    <w:p>
      <w:pPr>
        <w:spacing w:after="80" w:before="80"/>
      </w:pPr>
      <w:r>
        <w:t xml:space="preserve"/>
      </w:r>
    </w:p>
    <w:p>
      <w:pPr>
        <w:pStyle w:val="Heading2"/>
        <w:spacing w:after="80" w:before="240"/>
      </w:pPr>
      <w:r>
        <w:rPr>
          <w:rFonts w:ascii="Arial" w:cs="Arial" w:eastAsia="Arial" w:hAnsi="Arial"/>
          <w:b/>
          <w:bCs/>
          <w:color w:val="1B3A5C"/>
          <w:sz w:val="24"/>
          <w:szCs w:val="24"/>
        </w:rPr>
        <w:t xml:space="preserve">3.3 Financial Sanctions Reporting</w:t>
      </w:r>
    </w:p>
    <w:p>
      <w:pPr>
        <w:spacing w:after="80" w:before="80"/>
      </w:pPr>
      <w:r>
        <w:rPr>
          <w:rFonts w:ascii="Arial" w:cs="Arial" w:eastAsia="Arial" w:hAnsi="Arial"/>
          <w:sz w:val="20"/>
          <w:szCs w:val="20"/>
        </w:rPr>
        <w:t xml:space="preserve">From 14 May 2025, the Company is a relevant firm for the purposes of UK financial sanctions obligations. The Company must report to the Office of Financial Sanctions Implementation (OFSI) at HM Treasury if it has evidence, or reasonable grounds to suspect, that any person it deals with has breached financial sanctions regulations. Reports are submitted via the OFSI Compliance Reporting Form.</w:t>
      </w:r>
    </w:p>
    <w:p>
      <w:pPr>
        <w:spacing w:after="80" w:before="80"/>
      </w:pPr>
      <w:r>
        <w:t xml:space="preserve"/>
      </w:r>
    </w:p>
    <w:p>
      <w:pPr>
        <w:pStyle w:val="Heading1"/>
        <w:pBdr>
          <w:bottom w:val="single" w:color="4A90C4" w:sz="4" w:space="4"/>
        </w:pBdr>
        <w:spacing w:after="120" w:before="360"/>
      </w:pPr>
      <w:r>
        <w:rPr>
          <w:rFonts w:ascii="Arial" w:cs="Arial" w:eastAsia="Arial" w:hAnsi="Arial"/>
          <w:b/>
          <w:bCs/>
          <w:color w:val="1B3A5C"/>
          <w:sz w:val="28"/>
          <w:szCs w:val="28"/>
        </w:rPr>
        <w:t xml:space="preserve">4. Money Laundering Reporting Officer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MLRO 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Martyn Bourner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Role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Director &amp; Company Secretary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Responsibilities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Receives internal suspicion reports; decides whether to file SARs with IOM FIU or UK NCA; maintains AML/CFT records; reviews and updates this policy annually; ensures staff awareness and training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Deputy MLRO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Jackson Paul (Director) — assumes MLRO responsibilities in the absence of the primary MLRO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Contact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mlro@vertexmetalsltd.com</w:t>
            </w:r>
          </w:p>
        </w:tc>
      </w:tr>
    </w:tbl>
    <w:p>
      <w:pPr>
        <w:spacing w:after="80" w:before="80"/>
      </w:pPr>
      <w:r>
        <w:t xml:space="preserve"/>
      </w:r>
    </w:p>
    <w:p>
      <w:pPr>
        <w:spacing w:after="80" w:before="80"/>
      </w:pPr>
      <w:r>
        <w:rPr>
          <w:rFonts w:ascii="Arial" w:cs="Arial" w:eastAsia="Arial" w:hAnsi="Arial"/>
          <w:sz w:val="20"/>
          <w:szCs w:val="20"/>
        </w:rPr>
        <w:t xml:space="preserve">The MLRO must be consulted before any business relationship is established with a new supplier or buyer. Any director or officer who becomes aware of or suspects money laundering or terrorist financing activity must report this to the MLRO promptly and in writing.</w:t>
      </w:r>
    </w:p>
    <w:p>
      <w:pPr>
        <w:spacing w:after="80" w:before="80"/>
      </w:pPr>
      <w:r>
        <w:t xml:space="preserve"/>
      </w:r>
    </w:p>
    <w:p>
      <w:pPr>
        <w:pStyle w:val="Heading1"/>
        <w:pBdr>
          <w:bottom w:val="single" w:color="4A90C4" w:sz="4" w:space="4"/>
        </w:pBdr>
        <w:spacing w:after="120" w:before="360"/>
      </w:pPr>
      <w:r>
        <w:rPr>
          <w:rFonts w:ascii="Arial" w:cs="Arial" w:eastAsia="Arial" w:hAnsi="Arial"/>
          <w:b/>
          <w:bCs/>
          <w:color w:val="1B3A5C"/>
          <w:sz w:val="28"/>
          <w:szCs w:val="28"/>
        </w:rPr>
        <w:t xml:space="preserve">5. Business Risk Assessment</w:t>
      </w:r>
    </w:p>
    <w:p>
      <w:pPr>
        <w:spacing w:after="80" w:before="80"/>
      </w:pPr>
      <w:r>
        <w:rPr>
          <w:rFonts w:ascii="Arial" w:cs="Arial" w:eastAsia="Arial" w:hAnsi="Arial"/>
          <w:sz w:val="20"/>
          <w:szCs w:val="20"/>
        </w:rPr>
        <w:t xml:space="preserve">The Company has conducted a business-wide risk assessment to identify and assess the money laundering, terrorist financing and proliferation financing (ML/TF/PF) risks arising from its operations. This assessment will be reviewed annually and whenever there is a material change to the business.</w:t>
      </w:r>
    </w:p>
    <w:p>
      <w:pPr>
        <w:spacing w:after="80" w:before="80"/>
      </w:pPr>
      <w:r>
        <w:t xml:space="preserve"/>
      </w:r>
    </w:p>
    <w:p>
      <w:pPr>
        <w:pStyle w:val="Heading2"/>
        <w:spacing w:after="80" w:before="240"/>
      </w:pPr>
      <w:r>
        <w:rPr>
          <w:rFonts w:ascii="Arial" w:cs="Arial" w:eastAsia="Arial" w:hAnsi="Arial"/>
          <w:b/>
          <w:bCs/>
          <w:color w:val="1B3A5C"/>
          <w:sz w:val="24"/>
          <w:szCs w:val="24"/>
        </w:rPr>
        <w:t xml:space="preserve">5.1 Inherent Risk Factors</w:t>
      </w:r>
    </w:p>
    <w:p>
      <w:pPr>
        <w:pStyle w:val="ListParagraph"/>
        <w:numPr>
          <w:ilvl w:val="0"/>
          <w:numId w:val="2"/>
        </w:numPr>
        <w:spacing w:after="40" w:before="40"/>
      </w:pPr>
      <w:r>
        <w:rPr>
          <w:rFonts w:ascii="Arial" w:cs="Arial" w:eastAsia="Arial" w:hAnsi="Arial"/>
          <w:sz w:val="20"/>
          <w:szCs w:val="20"/>
        </w:rPr>
        <w:t xml:space="preserve">Cross-border commodity trading (India to UK) — elevated jurisdictional complexity</w:t>
      </w:r>
    </w:p>
    <w:p>
      <w:pPr>
        <w:pStyle w:val="ListParagraph"/>
        <w:numPr>
          <w:ilvl w:val="0"/>
          <w:numId w:val="2"/>
        </w:numPr>
        <w:spacing w:after="40" w:before="40"/>
      </w:pPr>
      <w:r>
        <w:rPr>
          <w:rFonts w:ascii="Arial" w:cs="Arial" w:eastAsia="Arial" w:hAnsi="Arial"/>
          <w:sz w:val="20"/>
          <w:szCs w:val="20"/>
        </w:rPr>
        <w:t xml:space="preserve">High-value transactions — commercial metal shipments typically exceed £50,000 per consignment</w:t>
      </w:r>
    </w:p>
    <w:p>
      <w:pPr>
        <w:pStyle w:val="ListParagraph"/>
        <w:numPr>
          <w:ilvl w:val="0"/>
          <w:numId w:val="2"/>
        </w:numPr>
        <w:spacing w:after="40" w:before="40"/>
      </w:pPr>
      <w:r>
        <w:rPr>
          <w:rFonts w:ascii="Arial" w:cs="Arial" w:eastAsia="Arial" w:hAnsi="Arial"/>
          <w:sz w:val="20"/>
          <w:szCs w:val="20"/>
        </w:rPr>
        <w:t xml:space="preserve">Letter of Credit settlements — complex financial instruments that can obscure beneficial ownership if misused</w:t>
      </w:r>
    </w:p>
    <w:p>
      <w:pPr>
        <w:pStyle w:val="ListParagraph"/>
        <w:numPr>
          <w:ilvl w:val="0"/>
          <w:numId w:val="2"/>
        </w:numPr>
        <w:spacing w:after="40" w:before="40"/>
      </w:pPr>
      <w:r>
        <w:rPr>
          <w:rFonts w:ascii="Arial" w:cs="Arial" w:eastAsia="Arial" w:hAnsi="Arial"/>
          <w:sz w:val="20"/>
          <w:szCs w:val="20"/>
        </w:rPr>
        <w:t xml:space="preserve">Intermediary business model — Company acts as principal between supplier and buyer, creating information asymmetry</w:t>
      </w:r>
    </w:p>
    <w:p>
      <w:pPr>
        <w:pStyle w:val="ListParagraph"/>
        <w:numPr>
          <w:ilvl w:val="0"/>
          <w:numId w:val="2"/>
        </w:numPr>
        <w:spacing w:after="40" w:before="40"/>
      </w:pPr>
      <w:r>
        <w:rPr>
          <w:rFonts w:ascii="Arial" w:cs="Arial" w:eastAsia="Arial" w:hAnsi="Arial"/>
          <w:sz w:val="20"/>
          <w:szCs w:val="20"/>
        </w:rPr>
        <w:t xml:space="preserve">India supply chain — India is not a high-risk jurisdiction per FATF but supply chain transparency requires active management</w:t>
      </w:r>
    </w:p>
    <w:p>
      <w:pPr>
        <w:spacing w:after="80" w:before="80"/>
      </w:pPr>
      <w:r>
        <w:t xml:space="preserve"/>
      </w:r>
    </w:p>
    <w:p>
      <w:pPr>
        <w:pStyle w:val="Heading2"/>
        <w:spacing w:after="80" w:before="240"/>
      </w:pPr>
      <w:r>
        <w:rPr>
          <w:rFonts w:ascii="Arial" w:cs="Arial" w:eastAsia="Arial" w:hAnsi="Arial"/>
          <w:b/>
          <w:bCs/>
          <w:color w:val="1B3A5C"/>
          <w:sz w:val="24"/>
          <w:szCs w:val="24"/>
        </w:rPr>
        <w:t xml:space="preserve">5.2 Mitigating Factors</w:t>
      </w:r>
    </w:p>
    <w:p>
      <w:pPr>
        <w:pStyle w:val="ListParagraph"/>
        <w:numPr>
          <w:ilvl w:val="0"/>
          <w:numId w:val="2"/>
        </w:numPr>
        <w:spacing w:after="40" w:before="40"/>
      </w:pPr>
      <w:r>
        <w:rPr>
          <w:rFonts w:ascii="Arial" w:cs="Arial" w:eastAsia="Arial" w:hAnsi="Arial"/>
          <w:sz w:val="20"/>
          <w:szCs w:val="20"/>
        </w:rPr>
        <w:t xml:space="preserve">All settlements by bank transfer or ITDLC — no cash accepted</w:t>
      </w:r>
    </w:p>
    <w:p>
      <w:pPr>
        <w:pStyle w:val="ListParagraph"/>
        <w:numPr>
          <w:ilvl w:val="0"/>
          <w:numId w:val="2"/>
        </w:numPr>
        <w:spacing w:after="40" w:before="40"/>
      </w:pPr>
      <w:r>
        <w:rPr>
          <w:rFonts w:ascii="Arial" w:cs="Arial" w:eastAsia="Arial" w:hAnsi="Arial"/>
          <w:sz w:val="20"/>
          <w:szCs w:val="20"/>
        </w:rPr>
        <w:t xml:space="preserve">Both directors are IOM-resident with documented professional backgrounds</w:t>
      </w:r>
    </w:p>
    <w:p>
      <w:pPr>
        <w:pStyle w:val="ListParagraph"/>
        <w:numPr>
          <w:ilvl w:val="0"/>
          <w:numId w:val="2"/>
        </w:numPr>
        <w:spacing w:after="40" w:before="40"/>
      </w:pPr>
      <w:r>
        <w:rPr>
          <w:rFonts w:ascii="Arial" w:cs="Arial" w:eastAsia="Arial" w:hAnsi="Arial"/>
          <w:sz w:val="20"/>
          <w:szCs w:val="20"/>
        </w:rPr>
        <w:t xml:space="preserve">UK buyers are established industrial manufacturers — typically low ML/TF risk profile</w:t>
      </w:r>
    </w:p>
    <w:p>
      <w:pPr>
        <w:pStyle w:val="ListParagraph"/>
        <w:numPr>
          <w:ilvl w:val="0"/>
          <w:numId w:val="2"/>
        </w:numPr>
        <w:spacing w:after="40" w:before="40"/>
      </w:pPr>
      <w:r>
        <w:rPr>
          <w:rFonts w:ascii="Arial" w:cs="Arial" w:eastAsia="Arial" w:hAnsi="Arial"/>
          <w:sz w:val="20"/>
          <w:szCs w:val="20"/>
        </w:rPr>
        <w:t xml:space="preserve">Supplier base limited to verified Indian manufacturers in known industrial clusters (Gujarat, Odisha)</w:t>
      </w:r>
    </w:p>
    <w:p>
      <w:pPr>
        <w:pStyle w:val="ListParagraph"/>
        <w:numPr>
          <w:ilvl w:val="0"/>
          <w:numId w:val="2"/>
        </w:numPr>
        <w:spacing w:after="40" w:before="40"/>
      </w:pPr>
      <w:r>
        <w:rPr>
          <w:rFonts w:ascii="Arial" w:cs="Arial" w:eastAsia="Arial" w:hAnsi="Arial"/>
          <w:sz w:val="20"/>
          <w:szCs w:val="20"/>
        </w:rPr>
        <w:t xml:space="preserve">Full KYC/CDD conducted on all counterparties before first transaction</w:t>
      </w:r>
    </w:p>
    <w:p>
      <w:pPr>
        <w:pStyle w:val="ListParagraph"/>
        <w:numPr>
          <w:ilvl w:val="0"/>
          <w:numId w:val="2"/>
        </w:numPr>
        <w:spacing w:after="40" w:before="40"/>
      </w:pPr>
      <w:r>
        <w:rPr>
          <w:rFonts w:ascii="Arial" w:cs="Arial" w:eastAsia="Arial" w:hAnsi="Arial"/>
          <w:sz w:val="20"/>
          <w:szCs w:val="20"/>
        </w:rPr>
        <w:t xml:space="preserve">Sanctions screening conducted on all counterparties at onboarding and at regular intervals</w:t>
      </w:r>
    </w:p>
    <w:p>
      <w:pPr>
        <w:spacing w:after="80" w:before="80"/>
      </w:pPr>
      <w:r>
        <w:t xml:space="preserve"/>
      </w:r>
    </w:p>
    <w:p>
      <w:pPr>
        <w:pStyle w:val="Heading2"/>
        <w:spacing w:after="80" w:before="240"/>
      </w:pPr>
      <w:r>
        <w:rPr>
          <w:rFonts w:ascii="Arial" w:cs="Arial" w:eastAsia="Arial" w:hAnsi="Arial"/>
          <w:b/>
          <w:bCs/>
          <w:color w:val="1B3A5C"/>
          <w:sz w:val="24"/>
          <w:szCs w:val="24"/>
        </w:rPr>
        <w:t xml:space="preserve">5.3 Overall Risk Rating</w:t>
      </w:r>
    </w:p>
    <w:p>
      <w:pPr>
        <w:spacing w:after="80" w:before="80"/>
      </w:pPr>
      <w:r>
        <w:rPr>
          <w:rFonts w:ascii="Arial" w:cs="Arial" w:eastAsia="Arial" w:hAnsi="Arial"/>
          <w:sz w:val="20"/>
          <w:szCs w:val="20"/>
        </w:rPr>
        <w:t xml:space="preserve">The Company's overall inherent ML/TF risk is assessed as MEDIUM, reduced to LOW-MEDIUM following application of the mitigating controls in this policy. This assessment will be updated annually.</w:t>
      </w:r>
    </w:p>
    <w:p>
      <w:pPr>
        <w:spacing w:after="80" w:before="80"/>
      </w:pPr>
      <w:r>
        <w:t xml:space="preserve"/>
      </w:r>
    </w:p>
    <w:p>
      <w:pPr>
        <w:pStyle w:val="Heading1"/>
        <w:pBdr>
          <w:bottom w:val="single" w:color="4A90C4" w:sz="4" w:space="4"/>
        </w:pBdr>
        <w:spacing w:after="120" w:before="360"/>
      </w:pPr>
      <w:r>
        <w:rPr>
          <w:rFonts w:ascii="Arial" w:cs="Arial" w:eastAsia="Arial" w:hAnsi="Arial"/>
          <w:b/>
          <w:bCs/>
          <w:color w:val="1B3A5C"/>
          <w:sz w:val="28"/>
          <w:szCs w:val="28"/>
        </w:rPr>
        <w:t xml:space="preserve">6. Know Your Customer and Customer Due Diligence</w:t>
      </w:r>
    </w:p>
    <w:p>
      <w:pPr>
        <w:spacing w:after="80" w:before="80"/>
      </w:pPr>
      <w:r>
        <w:rPr>
          <w:rFonts w:ascii="Arial" w:cs="Arial" w:eastAsia="Arial" w:hAnsi="Arial"/>
          <w:sz w:val="20"/>
          <w:szCs w:val="20"/>
        </w:rPr>
        <w:t xml:space="preserve">The Company applies Customer Due Diligence (CDD) to all counterparties — both buyers (UK clients) and suppliers (Indian exporters) — before establishing a business relationship and on a continuing basis throughout that relationship. CDD is required for all new business relationships and for occasional transactions above applicable thresholds.</w:t>
      </w:r>
    </w:p>
    <w:p>
      <w:pPr>
        <w:spacing w:after="80" w:before="80"/>
      </w:pPr>
      <w:r>
        <w:t xml:space="preserve"/>
      </w:r>
    </w:p>
    <w:p>
      <w:pPr>
        <w:pStyle w:val="Heading2"/>
        <w:spacing w:after="80" w:before="240"/>
      </w:pPr>
      <w:r>
        <w:rPr>
          <w:rFonts w:ascii="Arial" w:cs="Arial" w:eastAsia="Arial" w:hAnsi="Arial"/>
          <w:b/>
          <w:bCs/>
          <w:color w:val="1B3A5C"/>
          <w:sz w:val="24"/>
          <w:szCs w:val="24"/>
        </w:rPr>
        <w:t xml:space="preserve">6.1 Standard CDD — UK Buyers</w:t>
      </w:r>
    </w:p>
    <w:p>
      <w:pPr>
        <w:spacing w:after="80" w:before="80"/>
      </w:pPr>
      <w:r>
        <w:rPr>
          <w:rFonts w:ascii="Arial" w:cs="Arial" w:eastAsia="Arial" w:hAnsi="Arial"/>
          <w:sz w:val="20"/>
          <w:szCs w:val="20"/>
        </w:rPr>
        <w:t xml:space="preserve">For all new UK buyer relationships, the following information must be obtained and verified before the first transaction:</w:t>
      </w:r>
    </w:p>
    <w:p>
      <w:pPr>
        <w:spacing w:after="8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Item Required</w:t>
            </w:r>
          </w:p>
        </w:tc>
        <w:tc>
          <w:tcPr>
            <w:tcW w:type="dxa" w:w="554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Acceptable Evidence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Company name and registered number</w:t>
            </w:r>
          </w:p>
        </w:tc>
        <w:tc>
          <w:tcPr>
            <w:tcW w:type="dxa" w:w="5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Companies House search (verified online)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Registered and trading address</w:t>
            </w:r>
          </w:p>
        </w:tc>
        <w:tc>
          <w:tcPr>
            <w:tcW w:type="dxa" w:w="5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Companies House; company website; letterhead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Directors and beneficial owners (25%+)</w:t>
            </w:r>
          </w:p>
        </w:tc>
        <w:tc>
          <w:tcPr>
            <w:tcW w:type="dxa" w:w="5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Companies House persons of significant control (PSC) register; confirmation statement</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Nature and purpose of business relationship</w:t>
            </w:r>
          </w:p>
        </w:tc>
        <w:tc>
          <w:tcPr>
            <w:tcW w:type="dxa" w:w="5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Written statement from buyer; procurement enquiry documentation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Expected transaction volumes and values</w:t>
            </w:r>
          </w:p>
        </w:tc>
        <w:tc>
          <w:tcPr>
            <w:tcW w:type="dxa" w:w="5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Purchase order; RFQ response; written confirmation</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Sanctions screening (all directors and UBOs)</w:t>
            </w:r>
          </w:p>
        </w:tc>
        <w:tc>
          <w:tcPr>
            <w:tcW w:type="dxa" w:w="5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UK consolidated sanctions list; OFSI; UN; EU lists — screened and recorded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PEP screening (all directors and UBOs)</w:t>
            </w:r>
          </w:p>
        </w:tc>
        <w:tc>
          <w:tcPr>
            <w:tcW w:type="dxa" w:w="5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PEP database check; adverse media search — screened and recorded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Confirmed payment method</w:t>
            </w:r>
          </w:p>
        </w:tc>
        <w:tc>
          <w:tcPr>
            <w:tcW w:type="dxa" w:w="5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Written confirmation that payment will be by bank transfer or LC — cash not accepted</w:t>
            </w:r>
          </w:p>
        </w:tc>
      </w:tr>
    </w:tbl>
    <w:p>
      <w:pPr>
        <w:spacing w:after="80" w:before="80"/>
      </w:pPr>
      <w:r>
        <w:t xml:space="preserve"/>
      </w:r>
    </w:p>
    <w:p>
      <w:pPr>
        <w:pStyle w:val="Heading2"/>
        <w:spacing w:after="80" w:before="240"/>
      </w:pPr>
      <w:r>
        <w:rPr>
          <w:rFonts w:ascii="Arial" w:cs="Arial" w:eastAsia="Arial" w:hAnsi="Arial"/>
          <w:b/>
          <w:bCs/>
          <w:color w:val="1B3A5C"/>
          <w:sz w:val="24"/>
          <w:szCs w:val="24"/>
        </w:rPr>
        <w:t xml:space="preserve">6.2 Standard CDD — Indian Suppliers</w:t>
      </w:r>
    </w:p>
    <w:p>
      <w:pPr>
        <w:spacing w:after="80" w:before="80"/>
      </w:pPr>
      <w:r>
        <w:rPr>
          <w:rFonts w:ascii="Arial" w:cs="Arial" w:eastAsia="Arial" w:hAnsi="Arial"/>
          <w:sz w:val="20"/>
          <w:szCs w:val="20"/>
        </w:rPr>
        <w:t xml:space="preserve">For all new supplier relationships, the following information must be obtained and verified before the first purchase order is placed:</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Certificate of incorporation and company registration documents (Ministry of Corporate Affairs, India)</w:t>
      </w:r>
    </w:p>
    <w:p>
      <w:pPr>
        <w:pStyle w:val="ListParagraph"/>
        <w:numPr>
          <w:ilvl w:val="0"/>
          <w:numId w:val="2"/>
        </w:numPr>
        <w:spacing w:after="40" w:before="40"/>
      </w:pPr>
      <w:r>
        <w:rPr>
          <w:rFonts w:ascii="Arial" w:cs="Arial" w:eastAsia="Arial" w:hAnsi="Arial"/>
          <w:sz w:val="20"/>
          <w:szCs w:val="20"/>
        </w:rPr>
        <w:t xml:space="preserve">Details of directors and beneficial owners (25%+ shareholding) with identity verification</w:t>
      </w:r>
    </w:p>
    <w:p>
      <w:pPr>
        <w:pStyle w:val="ListParagraph"/>
        <w:numPr>
          <w:ilvl w:val="0"/>
          <w:numId w:val="2"/>
        </w:numPr>
        <w:spacing w:after="40" w:before="40"/>
      </w:pPr>
      <w:r>
        <w:rPr>
          <w:rFonts w:ascii="Arial" w:cs="Arial" w:eastAsia="Arial" w:hAnsi="Arial"/>
          <w:sz w:val="20"/>
          <w:szCs w:val="20"/>
        </w:rPr>
        <w:t xml:space="preserve">Export licence or relevant trade registration (IEC — Import Export Code from DGFT)</w:t>
      </w:r>
    </w:p>
    <w:p>
      <w:pPr>
        <w:pStyle w:val="ListParagraph"/>
        <w:numPr>
          <w:ilvl w:val="0"/>
          <w:numId w:val="2"/>
        </w:numPr>
        <w:spacing w:after="40" w:before="40"/>
      </w:pPr>
      <w:r>
        <w:rPr>
          <w:rFonts w:ascii="Arial" w:cs="Arial" w:eastAsia="Arial" w:hAnsi="Arial"/>
          <w:sz w:val="20"/>
          <w:szCs w:val="20"/>
        </w:rPr>
        <w:t xml:space="preserve">Nature of manufacturing operations — which products, from which facilities, using which production methods</w:t>
      </w:r>
    </w:p>
    <w:p>
      <w:pPr>
        <w:pStyle w:val="ListParagraph"/>
        <w:numPr>
          <w:ilvl w:val="0"/>
          <w:numId w:val="2"/>
        </w:numPr>
        <w:spacing w:after="40" w:before="40"/>
      </w:pPr>
      <w:r>
        <w:rPr>
          <w:rFonts w:ascii="Arial" w:cs="Arial" w:eastAsia="Arial" w:hAnsi="Arial"/>
          <w:sz w:val="20"/>
          <w:szCs w:val="20"/>
        </w:rPr>
        <w:t xml:space="preserve">Carbon intensity credentials — power source used in production; whether third-party CBAM emissions verification has been completed for EU customers</w:t>
      </w:r>
    </w:p>
    <w:p>
      <w:pPr>
        <w:pStyle w:val="ListParagraph"/>
        <w:numPr>
          <w:ilvl w:val="0"/>
          <w:numId w:val="2"/>
        </w:numPr>
        <w:spacing w:after="40" w:before="40"/>
      </w:pPr>
      <w:r>
        <w:rPr>
          <w:rFonts w:ascii="Arial" w:cs="Arial" w:eastAsia="Arial" w:hAnsi="Arial"/>
          <w:sz w:val="20"/>
          <w:szCs w:val="20"/>
        </w:rPr>
        <w:t xml:space="preserve">Sanctions screening against UK consolidated list, OFSI, UN and EU sanctions lists</w:t>
      </w:r>
    </w:p>
    <w:p>
      <w:pPr>
        <w:pStyle w:val="ListParagraph"/>
        <w:numPr>
          <w:ilvl w:val="0"/>
          <w:numId w:val="2"/>
        </w:numPr>
        <w:spacing w:after="40" w:before="40"/>
      </w:pPr>
      <w:r>
        <w:rPr>
          <w:rFonts w:ascii="Arial" w:cs="Arial" w:eastAsia="Arial" w:hAnsi="Arial"/>
          <w:sz w:val="20"/>
          <w:szCs w:val="20"/>
        </w:rPr>
        <w:t xml:space="preserve">Adverse media screening on the company and its principal directors</w:t>
      </w:r>
    </w:p>
    <w:p>
      <w:pPr>
        <w:pStyle w:val="ListParagraph"/>
        <w:numPr>
          <w:ilvl w:val="0"/>
          <w:numId w:val="2"/>
        </w:numPr>
        <w:spacing w:after="40" w:before="40"/>
      </w:pPr>
      <w:r>
        <w:rPr>
          <w:rFonts w:ascii="Arial" w:cs="Arial" w:eastAsia="Arial" w:hAnsi="Arial"/>
          <w:sz w:val="20"/>
          <w:szCs w:val="20"/>
        </w:rPr>
        <w:t xml:space="preserve">Bank account details in the name of the supplier entity (not a third party)</w:t>
      </w:r>
    </w:p>
    <w:p>
      <w:pPr>
        <w:spacing w:after="80" w:before="80"/>
      </w:pPr>
      <w:r>
        <w:t xml:space="preserve"/>
      </w:r>
    </w:p>
    <w:p>
      <w:pPr>
        <w:pStyle w:val="Heading2"/>
        <w:spacing w:after="80" w:before="240"/>
      </w:pPr>
      <w:r>
        <w:rPr>
          <w:rFonts w:ascii="Arial" w:cs="Arial" w:eastAsia="Arial" w:hAnsi="Arial"/>
          <w:b/>
          <w:bCs/>
          <w:color w:val="1B3A5C"/>
          <w:sz w:val="24"/>
          <w:szCs w:val="24"/>
        </w:rPr>
        <w:t xml:space="preserve">6.3 Enhanced Due Diligence (EDD)</w:t>
      </w:r>
    </w:p>
    <w:p>
      <w:pPr>
        <w:spacing w:after="80" w:before="80"/>
      </w:pPr>
      <w:r>
        <w:rPr>
          <w:rFonts w:ascii="Arial" w:cs="Arial" w:eastAsia="Arial" w:hAnsi="Arial"/>
          <w:sz w:val="20"/>
          <w:szCs w:val="20"/>
        </w:rPr>
        <w:t xml:space="preserve">Enhanced Due Diligence must be applied in addition to standard CDD where any of the following apply:</w:t>
      </w:r>
    </w:p>
    <w:p>
      <w:pPr>
        <w:pStyle w:val="ListParagraph"/>
        <w:numPr>
          <w:ilvl w:val="0"/>
          <w:numId w:val="2"/>
        </w:numPr>
        <w:spacing w:after="40" w:before="40"/>
      </w:pPr>
      <w:r>
        <w:rPr>
          <w:rFonts w:ascii="Arial" w:cs="Arial" w:eastAsia="Arial" w:hAnsi="Arial"/>
          <w:sz w:val="20"/>
          <w:szCs w:val="20"/>
        </w:rPr>
        <w:t xml:space="preserve">The counterparty is identified as a Politically Exposed Person (PEP) or connected to one</w:t>
      </w:r>
    </w:p>
    <w:p>
      <w:pPr>
        <w:pStyle w:val="ListParagraph"/>
        <w:numPr>
          <w:ilvl w:val="0"/>
          <w:numId w:val="2"/>
        </w:numPr>
        <w:spacing w:after="40" w:before="40"/>
      </w:pPr>
      <w:r>
        <w:rPr>
          <w:rFonts w:ascii="Arial" w:cs="Arial" w:eastAsia="Arial" w:hAnsi="Arial"/>
          <w:sz w:val="20"/>
          <w:szCs w:val="20"/>
        </w:rPr>
        <w:t xml:space="preserve">The counterparty is based in or connected to a high-risk jurisdiction per FATF guidance or UK government designation</w:t>
      </w:r>
    </w:p>
    <w:p>
      <w:pPr>
        <w:pStyle w:val="ListParagraph"/>
        <w:numPr>
          <w:ilvl w:val="0"/>
          <w:numId w:val="2"/>
        </w:numPr>
        <w:spacing w:after="40" w:before="40"/>
      </w:pPr>
      <w:r>
        <w:rPr>
          <w:rFonts w:ascii="Arial" w:cs="Arial" w:eastAsia="Arial" w:hAnsi="Arial"/>
          <w:sz w:val="20"/>
          <w:szCs w:val="20"/>
        </w:rPr>
        <w:t xml:space="preserve">The transaction structure is complex, unusually large, or follows an unusual pattern with no apparent commercial rationale</w:t>
      </w:r>
    </w:p>
    <w:p>
      <w:pPr>
        <w:pStyle w:val="ListParagraph"/>
        <w:numPr>
          <w:ilvl w:val="0"/>
          <w:numId w:val="2"/>
        </w:numPr>
        <w:spacing w:after="40" w:before="40"/>
      </w:pPr>
      <w:r>
        <w:rPr>
          <w:rFonts w:ascii="Arial" w:cs="Arial" w:eastAsia="Arial" w:hAnsi="Arial"/>
          <w:sz w:val="20"/>
          <w:szCs w:val="20"/>
        </w:rPr>
        <w:t xml:space="preserve">The counterparty cannot provide satisfactory identification documentation</w:t>
      </w:r>
    </w:p>
    <w:p>
      <w:pPr>
        <w:pStyle w:val="ListParagraph"/>
        <w:numPr>
          <w:ilvl w:val="0"/>
          <w:numId w:val="2"/>
        </w:numPr>
        <w:spacing w:after="40" w:before="40"/>
      </w:pPr>
      <w:r>
        <w:rPr>
          <w:rFonts w:ascii="Arial" w:cs="Arial" w:eastAsia="Arial" w:hAnsi="Arial"/>
          <w:sz w:val="20"/>
          <w:szCs w:val="20"/>
        </w:rPr>
        <w:t xml:space="preserve">The counterparty requests anonymity, unusual payment routes, or third-party payment arrangements</w:t>
      </w:r>
    </w:p>
    <w:p>
      <w:pPr>
        <w:pStyle w:val="ListParagraph"/>
        <w:numPr>
          <w:ilvl w:val="0"/>
          <w:numId w:val="2"/>
        </w:numPr>
        <w:spacing w:after="40" w:before="40"/>
      </w:pPr>
      <w:r>
        <w:rPr>
          <w:rFonts w:ascii="Arial" w:cs="Arial" w:eastAsia="Arial" w:hAnsi="Arial"/>
          <w:sz w:val="20"/>
          <w:szCs w:val="20"/>
        </w:rPr>
        <w:t xml:space="preserve">The beneficial ownership structure is complex or obscured through multiple layers of entities</w:t>
      </w:r>
    </w:p>
    <w:p>
      <w:pPr>
        <w:spacing w:after="80" w:before="80"/>
      </w:pPr>
      <w:r>
        <w:t xml:space="preserve"/>
      </w:r>
    </w:p>
    <w:p>
      <w:pPr>
        <w:spacing w:after="80" w:before="80"/>
      </w:pPr>
      <w:r>
        <w:rPr>
          <w:rFonts w:ascii="Arial" w:cs="Arial" w:eastAsia="Arial" w:hAnsi="Arial"/>
          <w:sz w:val="20"/>
          <w:szCs w:val="20"/>
        </w:rPr>
        <w:t xml:space="preserve">EDD requires senior management (MLRO or Director) approval before proceeding, additional source of funds verification, and enhanced ongoing monitoring. All EDD decisions must be documented in the relevant client file.</w:t>
      </w:r>
    </w:p>
    <w:p>
      <w:pPr>
        <w:spacing w:after="80" w:before="80"/>
      </w:pPr>
      <w:r>
        <w:t xml:space="preserve"/>
      </w:r>
    </w:p>
    <w:p>
      <w:pPr>
        <w:pStyle w:val="Heading2"/>
        <w:spacing w:after="80" w:before="240"/>
      </w:pPr>
      <w:r>
        <w:rPr>
          <w:rFonts w:ascii="Arial" w:cs="Arial" w:eastAsia="Arial" w:hAnsi="Arial"/>
          <w:b/>
          <w:bCs/>
          <w:color w:val="1B3A5C"/>
          <w:sz w:val="24"/>
          <w:szCs w:val="24"/>
        </w:rPr>
        <w:t xml:space="preserve">6.4 Simplified Due Diligence (SDD)</w:t>
      </w:r>
    </w:p>
    <w:p>
      <w:pPr>
        <w:spacing w:after="80" w:before="80"/>
      </w:pPr>
      <w:r>
        <w:rPr>
          <w:rFonts w:ascii="Arial" w:cs="Arial" w:eastAsia="Arial" w:hAnsi="Arial"/>
          <w:sz w:val="20"/>
          <w:szCs w:val="20"/>
        </w:rPr>
        <w:t xml:space="preserve">Simplified Due Diligence may be applied only where the MLRO is satisfied that the risk of ML/TF is genuinely low and specific criteria are met. Given the nature of the Company's business, SDD will rarely be appropriate and requires MLRO approval to apply.</w:t>
      </w:r>
    </w:p>
    <w:p>
      <w:pPr>
        <w:spacing w:after="80" w:before="80"/>
      </w:pPr>
      <w:r>
        <w:t xml:space="preserve"/>
      </w:r>
    </w:p>
    <w:p>
      <w:pPr>
        <w:pStyle w:val="Heading1"/>
        <w:pBdr>
          <w:bottom w:val="single" w:color="4A90C4" w:sz="4" w:space="4"/>
        </w:pBdr>
        <w:spacing w:after="120" w:before="360"/>
      </w:pPr>
      <w:r>
        <w:rPr>
          <w:rFonts w:ascii="Arial" w:cs="Arial" w:eastAsia="Arial" w:hAnsi="Arial"/>
          <w:b/>
          <w:bCs/>
          <w:color w:val="1B3A5C"/>
          <w:sz w:val="28"/>
          <w:szCs w:val="28"/>
        </w:rPr>
        <w:t xml:space="preserve">7. Ongoing Monitoring</w:t>
      </w:r>
    </w:p>
    <w:p>
      <w:pPr>
        <w:spacing w:after="80" w:before="80"/>
      </w:pPr>
      <w:r>
        <w:rPr>
          <w:rFonts w:ascii="Arial" w:cs="Arial" w:eastAsia="Arial" w:hAnsi="Arial"/>
          <w:sz w:val="20"/>
          <w:szCs w:val="20"/>
        </w:rPr>
        <w:t xml:space="preserve">CDD is not a one-time exercise. The Company will maintain and update KYC records throughout the lifetime of each business relationship. Ongoing monitoring includes:</w:t>
      </w:r>
    </w:p>
    <w:p>
      <w:pPr>
        <w:pStyle w:val="ListParagraph"/>
        <w:numPr>
          <w:ilvl w:val="0"/>
          <w:numId w:val="2"/>
        </w:numPr>
        <w:spacing w:after="40" w:before="40"/>
      </w:pPr>
      <w:r>
        <w:rPr>
          <w:rFonts w:ascii="Arial" w:cs="Arial" w:eastAsia="Arial" w:hAnsi="Arial"/>
          <w:sz w:val="20"/>
          <w:szCs w:val="20"/>
        </w:rPr>
        <w:t xml:space="preserve">Re-screening all active counterparties against UK, OFSI, UN and EU sanctions lists at a minimum of every six months, and immediately upon any new sanctions designation that may be relevant</w:t>
      </w:r>
    </w:p>
    <w:p>
      <w:pPr>
        <w:pStyle w:val="ListParagraph"/>
        <w:numPr>
          <w:ilvl w:val="0"/>
          <w:numId w:val="2"/>
        </w:numPr>
        <w:spacing w:after="40" w:before="40"/>
      </w:pPr>
      <w:r>
        <w:rPr>
          <w:rFonts w:ascii="Arial" w:cs="Arial" w:eastAsia="Arial" w:hAnsi="Arial"/>
          <w:sz w:val="20"/>
          <w:szCs w:val="20"/>
        </w:rPr>
        <w:t xml:space="preserve">Annual review of CDD files for active relationships to confirm information remains current and accurate</w:t>
      </w:r>
    </w:p>
    <w:p>
      <w:pPr>
        <w:pStyle w:val="ListParagraph"/>
        <w:numPr>
          <w:ilvl w:val="0"/>
          <w:numId w:val="2"/>
        </w:numPr>
        <w:spacing w:after="40" w:before="40"/>
      </w:pPr>
      <w:r>
        <w:rPr>
          <w:rFonts w:ascii="Arial" w:cs="Arial" w:eastAsia="Arial" w:hAnsi="Arial"/>
          <w:sz w:val="20"/>
          <w:szCs w:val="20"/>
        </w:rPr>
        <w:t xml:space="preserve">Monitoring of transaction activity to identify patterns inconsistent with the established profile of the counterparty — including unexpected changes in volume, value, product type, or payment method</w:t>
      </w:r>
    </w:p>
    <w:p>
      <w:pPr>
        <w:pStyle w:val="ListParagraph"/>
        <w:numPr>
          <w:ilvl w:val="0"/>
          <w:numId w:val="2"/>
        </w:numPr>
        <w:spacing w:after="40" w:before="40"/>
      </w:pPr>
      <w:r>
        <w:rPr>
          <w:rFonts w:ascii="Arial" w:cs="Arial" w:eastAsia="Arial" w:hAnsi="Arial"/>
          <w:sz w:val="20"/>
          <w:szCs w:val="20"/>
        </w:rPr>
        <w:t xml:space="preserve">Refreshing full CDD on any counterparty where ownership, control, or key personnel changes materially</w:t>
      </w:r>
    </w:p>
    <w:p>
      <w:pPr>
        <w:pStyle w:val="ListParagraph"/>
        <w:numPr>
          <w:ilvl w:val="0"/>
          <w:numId w:val="2"/>
        </w:numPr>
        <w:spacing w:after="40" w:before="40"/>
      </w:pPr>
      <w:r>
        <w:rPr>
          <w:rFonts w:ascii="Arial" w:cs="Arial" w:eastAsia="Arial" w:hAnsi="Arial"/>
          <w:sz w:val="20"/>
          <w:szCs w:val="20"/>
        </w:rPr>
        <w:t xml:space="preserve">Trigger review if adverse media emerges in relation to any counterparty</w:t>
      </w:r>
    </w:p>
    <w:p>
      <w:pPr>
        <w:spacing w:after="80" w:before="80"/>
      </w:pPr>
      <w:r>
        <w:t xml:space="preserve"/>
      </w:r>
    </w:p>
    <w:p>
      <w:pPr>
        <w:spacing w:after="80" w:before="80"/>
      </w:pPr>
      <w:r>
        <w:rPr>
          <w:rFonts w:ascii="Arial" w:cs="Arial" w:eastAsia="Arial" w:hAnsi="Arial"/>
          <w:sz w:val="20"/>
          <w:szCs w:val="20"/>
        </w:rPr>
        <w:t xml:space="preserve">The MLRO is responsible for maintaining a schedule of ongoing monitoring reviews and ensuring they are conducted on time.</w:t>
      </w:r>
    </w:p>
    <w:p>
      <w:pPr>
        <w:spacing w:after="80" w:before="80"/>
      </w:pPr>
      <w:r>
        <w:t xml:space="preserve"/>
      </w:r>
    </w:p>
    <w:p>
      <w:pPr>
        <w:pStyle w:val="Heading1"/>
        <w:pBdr>
          <w:bottom w:val="single" w:color="4A90C4" w:sz="4" w:space="4"/>
        </w:pBdr>
        <w:spacing w:after="120" w:before="360"/>
      </w:pPr>
      <w:r>
        <w:rPr>
          <w:rFonts w:ascii="Arial" w:cs="Arial" w:eastAsia="Arial" w:hAnsi="Arial"/>
          <w:b/>
          <w:bCs/>
          <w:color w:val="1B3A5C"/>
          <w:sz w:val="28"/>
          <w:szCs w:val="28"/>
        </w:rPr>
        <w:t xml:space="preserve">8. Record Keeping</w:t>
      </w:r>
    </w:p>
    <w:p>
      <w:pPr>
        <w:spacing w:after="80" w:before="80"/>
      </w:pPr>
      <w:r>
        <w:rPr>
          <w:rFonts w:ascii="Arial" w:cs="Arial" w:eastAsia="Arial" w:hAnsi="Arial"/>
          <w:sz w:val="20"/>
          <w:szCs w:val="20"/>
        </w:rPr>
        <w:t xml:space="preserve">The Company will retain the following records for a minimum period of five years from the date the business relationship ends or the transaction is completed:</w:t>
      </w:r>
    </w:p>
    <w:p>
      <w:pPr>
        <w:pStyle w:val="ListParagraph"/>
        <w:numPr>
          <w:ilvl w:val="0"/>
          <w:numId w:val="2"/>
        </w:numPr>
        <w:spacing w:after="40" w:before="40"/>
      </w:pPr>
      <w:r>
        <w:rPr>
          <w:rFonts w:ascii="Arial" w:cs="Arial" w:eastAsia="Arial" w:hAnsi="Arial"/>
          <w:sz w:val="20"/>
          <w:szCs w:val="20"/>
        </w:rPr>
        <w:t xml:space="preserve">All CDD and EDD documentation obtained for each counterparty</w:t>
      </w:r>
    </w:p>
    <w:p>
      <w:pPr>
        <w:pStyle w:val="ListParagraph"/>
        <w:numPr>
          <w:ilvl w:val="0"/>
          <w:numId w:val="2"/>
        </w:numPr>
        <w:spacing w:after="40" w:before="40"/>
      </w:pPr>
      <w:r>
        <w:rPr>
          <w:rFonts w:ascii="Arial" w:cs="Arial" w:eastAsia="Arial" w:hAnsi="Arial"/>
          <w:sz w:val="20"/>
          <w:szCs w:val="20"/>
        </w:rPr>
        <w:t xml:space="preserve">All sanctions and PEP screening records including date, source, and result of each search</w:t>
      </w:r>
    </w:p>
    <w:p>
      <w:pPr>
        <w:pStyle w:val="ListParagraph"/>
        <w:numPr>
          <w:ilvl w:val="0"/>
          <w:numId w:val="2"/>
        </w:numPr>
        <w:spacing w:after="40" w:before="40"/>
      </w:pPr>
      <w:r>
        <w:rPr>
          <w:rFonts w:ascii="Arial" w:cs="Arial" w:eastAsia="Arial" w:hAnsi="Arial"/>
          <w:sz w:val="20"/>
          <w:szCs w:val="20"/>
        </w:rPr>
        <w:t xml:space="preserve">All transaction records including invoices, bills of lading, letters of credit, and bank payment confirmations</w:t>
      </w:r>
    </w:p>
    <w:p>
      <w:pPr>
        <w:pStyle w:val="ListParagraph"/>
        <w:numPr>
          <w:ilvl w:val="0"/>
          <w:numId w:val="2"/>
        </w:numPr>
        <w:spacing w:after="40" w:before="40"/>
      </w:pPr>
      <w:r>
        <w:rPr>
          <w:rFonts w:ascii="Arial" w:cs="Arial" w:eastAsia="Arial" w:hAnsi="Arial"/>
          <w:sz w:val="20"/>
          <w:szCs w:val="20"/>
        </w:rPr>
        <w:t xml:space="preserve">All internal suspicion reports and any SARs filed with the IOM FIU or UK NCA</w:t>
      </w:r>
    </w:p>
    <w:p>
      <w:pPr>
        <w:pStyle w:val="ListParagraph"/>
        <w:numPr>
          <w:ilvl w:val="0"/>
          <w:numId w:val="2"/>
        </w:numPr>
        <w:spacing w:after="40" w:before="40"/>
      </w:pPr>
      <w:r>
        <w:rPr>
          <w:rFonts w:ascii="Arial" w:cs="Arial" w:eastAsia="Arial" w:hAnsi="Arial"/>
          <w:sz w:val="20"/>
          <w:szCs w:val="20"/>
        </w:rPr>
        <w:t xml:space="preserve">All OFSI reports filed</w:t>
      </w:r>
    </w:p>
    <w:p>
      <w:pPr>
        <w:pStyle w:val="ListParagraph"/>
        <w:numPr>
          <w:ilvl w:val="0"/>
          <w:numId w:val="2"/>
        </w:numPr>
        <w:spacing w:after="40" w:before="40"/>
      </w:pPr>
      <w:r>
        <w:rPr>
          <w:rFonts w:ascii="Arial" w:cs="Arial" w:eastAsia="Arial" w:hAnsi="Arial"/>
          <w:sz w:val="20"/>
          <w:szCs w:val="20"/>
        </w:rPr>
        <w:t xml:space="preserve">Records of MLRO approvals and decisions</w:t>
      </w:r>
    </w:p>
    <w:p>
      <w:pPr>
        <w:pStyle w:val="ListParagraph"/>
        <w:numPr>
          <w:ilvl w:val="0"/>
          <w:numId w:val="2"/>
        </w:numPr>
        <w:spacing w:after="40" w:before="40"/>
      </w:pPr>
      <w:r>
        <w:rPr>
          <w:rFonts w:ascii="Arial" w:cs="Arial" w:eastAsia="Arial" w:hAnsi="Arial"/>
          <w:sz w:val="20"/>
          <w:szCs w:val="20"/>
        </w:rPr>
        <w:t xml:space="preserve">Minutes of any board-level AML/CFT discussions</w:t>
      </w:r>
    </w:p>
    <w:p>
      <w:pPr>
        <w:spacing w:after="80" w:before="80"/>
      </w:pPr>
      <w:r>
        <w:t xml:space="preserve"/>
      </w:r>
    </w:p>
    <w:p>
      <w:pPr>
        <w:spacing w:after="80" w:before="80"/>
      </w:pPr>
      <w:r>
        <w:rPr>
          <w:rFonts w:ascii="Arial" w:cs="Arial" w:eastAsia="Arial" w:hAnsi="Arial"/>
          <w:sz w:val="20"/>
          <w:szCs w:val="20"/>
        </w:rPr>
        <w:t xml:space="preserve">Records will be stored securely using the Company's designated file management system. Access will be restricted to the MLRO, Deputy MLRO, and any person authorised by the MLRO. Records will be made available to the IOM FSA, IOM FIU, HMRC, or any other competent authority upon lawful request.</w:t>
      </w:r>
    </w:p>
    <w:p>
      <w:pPr>
        <w:spacing w:after="80" w:before="80"/>
      </w:pPr>
      <w:r>
        <w:t xml:space="preserve"/>
      </w:r>
    </w:p>
    <w:p>
      <w:pPr>
        <w:pStyle w:val="Heading1"/>
        <w:pBdr>
          <w:bottom w:val="single" w:color="4A90C4" w:sz="4" w:space="4"/>
        </w:pBdr>
        <w:spacing w:after="120" w:before="360"/>
      </w:pPr>
      <w:r>
        <w:rPr>
          <w:rFonts w:ascii="Arial" w:cs="Arial" w:eastAsia="Arial" w:hAnsi="Arial"/>
          <w:b/>
          <w:bCs/>
          <w:color w:val="1B3A5C"/>
          <w:sz w:val="28"/>
          <w:szCs w:val="28"/>
        </w:rPr>
        <w:t xml:space="preserve">9. Identifying and Reporting Suspicious Activity</w:t>
      </w:r>
    </w:p>
    <w:p>
      <w:pPr>
        <w:pStyle w:val="Heading2"/>
        <w:spacing w:after="80" w:before="240"/>
      </w:pPr>
      <w:r>
        <w:rPr>
          <w:rFonts w:ascii="Arial" w:cs="Arial" w:eastAsia="Arial" w:hAnsi="Arial"/>
          <w:b/>
          <w:bCs/>
          <w:color w:val="1B3A5C"/>
          <w:sz w:val="24"/>
          <w:szCs w:val="24"/>
        </w:rPr>
        <w:t xml:space="preserve">9.1 What Constitutes Suspicion</w:t>
      </w:r>
    </w:p>
    <w:p>
      <w:pPr>
        <w:spacing w:after="80" w:before="80"/>
      </w:pPr>
      <w:r>
        <w:rPr>
          <w:rFonts w:ascii="Arial" w:cs="Arial" w:eastAsia="Arial" w:hAnsi="Arial"/>
          <w:sz w:val="20"/>
          <w:szCs w:val="20"/>
        </w:rPr>
        <w:t xml:space="preserve">Any director or person acting for the Company must report to the MLRO if they know or suspect, or have reasonable grounds to know or suspect, that a person is engaged in money laundering or terrorist financing. Suspicion does not require certainty — a genuine concern based on available information is sufficient to trigger a report.</w:t>
      </w:r>
    </w:p>
    <w:p>
      <w:pPr>
        <w:spacing w:after="80" w:before="80"/>
      </w:pPr>
      <w:r>
        <w:t xml:space="preserve"/>
      </w:r>
    </w:p>
    <w:p>
      <w:pPr>
        <w:spacing w:after="80" w:before="80"/>
      </w:pPr>
      <w:r>
        <w:rPr>
          <w:rFonts w:ascii="Arial" w:cs="Arial" w:eastAsia="Arial" w:hAnsi="Arial"/>
          <w:sz w:val="20"/>
          <w:szCs w:val="20"/>
        </w:rPr>
        <w:t xml:space="preserve">Red flags specific to the Company's business include:</w:t>
      </w:r>
    </w:p>
    <w:p>
      <w:pPr>
        <w:pStyle w:val="ListParagraph"/>
        <w:numPr>
          <w:ilvl w:val="0"/>
          <w:numId w:val="2"/>
        </w:numPr>
        <w:spacing w:after="40" w:before="40"/>
      </w:pPr>
      <w:r>
        <w:rPr>
          <w:rFonts w:ascii="Arial" w:cs="Arial" w:eastAsia="Arial" w:hAnsi="Arial"/>
          <w:sz w:val="20"/>
          <w:szCs w:val="20"/>
        </w:rPr>
        <w:t xml:space="preserve">A buyer or supplier who is unwilling to provide KYC documentation or who provides documentation that appears inconsistent or falsified</w:t>
      </w:r>
    </w:p>
    <w:p>
      <w:pPr>
        <w:pStyle w:val="ListParagraph"/>
        <w:numPr>
          <w:ilvl w:val="0"/>
          <w:numId w:val="2"/>
        </w:numPr>
        <w:spacing w:after="40" w:before="40"/>
      </w:pPr>
      <w:r>
        <w:rPr>
          <w:rFonts w:ascii="Arial" w:cs="Arial" w:eastAsia="Arial" w:hAnsi="Arial"/>
          <w:sz w:val="20"/>
          <w:szCs w:val="20"/>
        </w:rPr>
        <w:t xml:space="preserve">A buyer who requests payment to a third party not named in the contract</w:t>
      </w:r>
    </w:p>
    <w:p>
      <w:pPr>
        <w:pStyle w:val="ListParagraph"/>
        <w:numPr>
          <w:ilvl w:val="0"/>
          <w:numId w:val="2"/>
        </w:numPr>
        <w:spacing w:after="40" w:before="40"/>
      </w:pPr>
      <w:r>
        <w:rPr>
          <w:rFonts w:ascii="Arial" w:cs="Arial" w:eastAsia="Arial" w:hAnsi="Arial"/>
          <w:sz w:val="20"/>
          <w:szCs w:val="20"/>
        </w:rPr>
        <w:t xml:space="preserve">A supplier whose bank account is in a different name or jurisdiction to the company</w:t>
      </w:r>
    </w:p>
    <w:p>
      <w:pPr>
        <w:pStyle w:val="ListParagraph"/>
        <w:numPr>
          <w:ilvl w:val="0"/>
          <w:numId w:val="2"/>
        </w:numPr>
        <w:spacing w:after="40" w:before="40"/>
      </w:pPr>
      <w:r>
        <w:rPr>
          <w:rFonts w:ascii="Arial" w:cs="Arial" w:eastAsia="Arial" w:hAnsi="Arial"/>
          <w:sz w:val="20"/>
          <w:szCs w:val="20"/>
        </w:rPr>
        <w:t xml:space="preserve">Pressure to complete transactions unusually quickly without commercial justification</w:t>
      </w:r>
    </w:p>
    <w:p>
      <w:pPr>
        <w:pStyle w:val="ListParagraph"/>
        <w:numPr>
          <w:ilvl w:val="0"/>
          <w:numId w:val="2"/>
        </w:numPr>
        <w:spacing w:after="40" w:before="40"/>
      </w:pPr>
      <w:r>
        <w:rPr>
          <w:rFonts w:ascii="Arial" w:cs="Arial" w:eastAsia="Arial" w:hAnsi="Arial"/>
          <w:sz w:val="20"/>
          <w:szCs w:val="20"/>
        </w:rPr>
        <w:t xml:space="preserve">Requests to split transactions in a way that appears designed to stay below reporting thresholds</w:t>
      </w:r>
    </w:p>
    <w:p>
      <w:pPr>
        <w:pStyle w:val="ListParagraph"/>
        <w:numPr>
          <w:ilvl w:val="0"/>
          <w:numId w:val="2"/>
        </w:numPr>
        <w:spacing w:after="40" w:before="40"/>
      </w:pPr>
      <w:r>
        <w:rPr>
          <w:rFonts w:ascii="Arial" w:cs="Arial" w:eastAsia="Arial" w:hAnsi="Arial"/>
          <w:sz w:val="20"/>
          <w:szCs w:val="20"/>
        </w:rPr>
        <w:t xml:space="preserve">Goods or payment routing through jurisdictions with no apparent commercial reason</w:t>
      </w:r>
    </w:p>
    <w:p>
      <w:pPr>
        <w:pStyle w:val="ListParagraph"/>
        <w:numPr>
          <w:ilvl w:val="0"/>
          <w:numId w:val="2"/>
        </w:numPr>
        <w:spacing w:after="40" w:before="40"/>
      </w:pPr>
      <w:r>
        <w:rPr>
          <w:rFonts w:ascii="Arial" w:cs="Arial" w:eastAsia="Arial" w:hAnsi="Arial"/>
          <w:sz w:val="20"/>
          <w:szCs w:val="20"/>
        </w:rPr>
        <w:t xml:space="preserve">A counterparty whose described business activity does not match the nature of the transaction</w:t>
      </w:r>
    </w:p>
    <w:p>
      <w:pPr>
        <w:pStyle w:val="ListParagraph"/>
        <w:numPr>
          <w:ilvl w:val="0"/>
          <w:numId w:val="2"/>
        </w:numPr>
        <w:spacing w:after="40" w:before="40"/>
      </w:pPr>
      <w:r>
        <w:rPr>
          <w:rFonts w:ascii="Arial" w:cs="Arial" w:eastAsia="Arial" w:hAnsi="Arial"/>
          <w:sz w:val="20"/>
          <w:szCs w:val="20"/>
        </w:rPr>
        <w:t xml:space="preserve">Any match, or potential match, on sanctions or PEP screening</w:t>
      </w:r>
    </w:p>
    <w:p>
      <w:pPr>
        <w:spacing w:after="80" w:before="80"/>
      </w:pPr>
      <w:r>
        <w:t xml:space="preserve"/>
      </w:r>
    </w:p>
    <w:p>
      <w:pPr>
        <w:pStyle w:val="Heading2"/>
        <w:spacing w:after="80" w:before="240"/>
      </w:pPr>
      <w:r>
        <w:rPr>
          <w:rFonts w:ascii="Arial" w:cs="Arial" w:eastAsia="Arial" w:hAnsi="Arial"/>
          <w:b/>
          <w:bCs/>
          <w:color w:val="1B3A5C"/>
          <w:sz w:val="24"/>
          <w:szCs w:val="24"/>
        </w:rPr>
        <w:t xml:space="preserve">9.2 Internal Reporting Procedure</w:t>
      </w:r>
    </w:p>
    <w:p>
      <w:pPr>
        <w:spacing w:after="80" w:before="80"/>
      </w:pPr>
      <w:r>
        <w:rPr>
          <w:rFonts w:ascii="Arial" w:cs="Arial" w:eastAsia="Arial" w:hAnsi="Arial"/>
          <w:sz w:val="20"/>
          <w:szCs w:val="20"/>
        </w:rPr>
        <w:t xml:space="preserve">Any suspicion must be reported to the MLRO promptly and in writing using the Company's internal suspicion report template. The person making the report (the Reporter) must not:</w:t>
      </w:r>
    </w:p>
    <w:p>
      <w:pPr>
        <w:pStyle w:val="ListParagraph"/>
        <w:numPr>
          <w:ilvl w:val="0"/>
          <w:numId w:val="2"/>
        </w:numPr>
        <w:spacing w:after="40" w:before="40"/>
      </w:pPr>
      <w:r>
        <w:rPr>
          <w:rFonts w:ascii="Arial" w:cs="Arial" w:eastAsia="Arial" w:hAnsi="Arial"/>
          <w:sz w:val="20"/>
          <w:szCs w:val="20"/>
        </w:rPr>
        <w:t xml:space="preserve">Tip off the subject of the suspicion that a report has been made or is being considered</w:t>
      </w:r>
    </w:p>
    <w:p>
      <w:pPr>
        <w:pStyle w:val="ListParagraph"/>
        <w:numPr>
          <w:ilvl w:val="0"/>
          <w:numId w:val="2"/>
        </w:numPr>
        <w:spacing w:after="40" w:before="40"/>
      </w:pPr>
      <w:r>
        <w:rPr>
          <w:rFonts w:ascii="Arial" w:cs="Arial" w:eastAsia="Arial" w:hAnsi="Arial"/>
          <w:sz w:val="20"/>
          <w:szCs w:val="20"/>
        </w:rPr>
        <w:t xml:space="preserve">Continue processing the transaction until the MLRO has made a decision</w:t>
      </w:r>
    </w:p>
    <w:p>
      <w:pPr>
        <w:pStyle w:val="ListParagraph"/>
        <w:numPr>
          <w:ilvl w:val="0"/>
          <w:numId w:val="2"/>
        </w:numPr>
        <w:spacing w:after="40" w:before="40"/>
      </w:pPr>
      <w:r>
        <w:rPr>
          <w:rFonts w:ascii="Arial" w:cs="Arial" w:eastAsia="Arial" w:hAnsi="Arial"/>
          <w:sz w:val="20"/>
          <w:szCs w:val="20"/>
        </w:rPr>
        <w:t xml:space="preserve">Refuse to make a report due to uncertainty — if in doubt, report</w:t>
      </w:r>
    </w:p>
    <w:p>
      <w:pPr>
        <w:spacing w:after="80" w:before="80"/>
      </w:pPr>
      <w:r>
        <w:t xml:space="preserve"/>
      </w:r>
    </w:p>
    <w:p>
      <w:pPr>
        <w:spacing w:after="80" w:before="80"/>
      </w:pPr>
      <w:r>
        <w:rPr>
          <w:rFonts w:ascii="Arial" w:cs="Arial" w:eastAsia="Arial" w:hAnsi="Arial"/>
          <w:sz w:val="20"/>
          <w:szCs w:val="20"/>
        </w:rPr>
        <w:t xml:space="preserve">The MLRO will review the internal report within 5 business days and decide whether to: file a SAR with the IOM FIU and/or UK NCA; seek consent to proceed with the transaction (if applicable); decline the relationship or transaction; or take no further action with documented reasoning.</w:t>
      </w:r>
    </w:p>
    <w:p>
      <w:pPr>
        <w:spacing w:after="80" w:before="80"/>
      </w:pPr>
      <w:r>
        <w:t xml:space="preserve"/>
      </w:r>
    </w:p>
    <w:p>
      <w:pPr>
        <w:pStyle w:val="Heading2"/>
        <w:spacing w:after="80" w:before="240"/>
      </w:pPr>
      <w:r>
        <w:rPr>
          <w:rFonts w:ascii="Arial" w:cs="Arial" w:eastAsia="Arial" w:hAnsi="Arial"/>
          <w:b/>
          <w:bCs/>
          <w:color w:val="1B3A5C"/>
          <w:sz w:val="24"/>
          <w:szCs w:val="24"/>
        </w:rPr>
        <w:t xml:space="preserve">9.3 Tipping Off</w:t>
      </w:r>
    </w:p>
    <w:p>
      <w:pPr>
        <w:spacing w:after="80" w:before="80"/>
      </w:pPr>
      <w:r>
        <w:rPr>
          <w:rFonts w:ascii="Arial" w:cs="Arial" w:eastAsia="Arial" w:hAnsi="Arial"/>
          <w:sz w:val="20"/>
          <w:szCs w:val="20"/>
        </w:rPr>
        <w:t xml:space="preserve">It is a criminal offence under the Proceeds of Crime Act 2008 (Isle of Man) and the UK Proceeds of Crime Act 2002 to disclose to a person who is the subject of a suspicion report, or to any other person, that a SAR has been made or that an investigation is being considered. All persons acting for the Company must be aware of this prohibition.</w:t>
      </w:r>
    </w:p>
    <w:p>
      <w:pPr>
        <w:spacing w:after="80" w:before="80"/>
      </w:pPr>
      <w:r>
        <w:t xml:space="preserve"/>
      </w:r>
    </w:p>
    <w:p>
      <w:pPr>
        <w:pStyle w:val="Heading1"/>
        <w:pBdr>
          <w:bottom w:val="single" w:color="4A90C4" w:sz="4" w:space="4"/>
        </w:pBdr>
        <w:spacing w:after="120" w:before="360"/>
      </w:pPr>
      <w:r>
        <w:rPr>
          <w:rFonts w:ascii="Arial" w:cs="Arial" w:eastAsia="Arial" w:hAnsi="Arial"/>
          <w:b/>
          <w:bCs/>
          <w:color w:val="1B3A5C"/>
          <w:sz w:val="28"/>
          <w:szCs w:val="28"/>
        </w:rPr>
        <w:t xml:space="preserve">10. No-Cash Policy Statement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4A90C4" w:sz="6"/>
              <w:left w:val="single" w:color="4A90C4" w:sz="6"/>
              <w:bottom w:val="single" w:color="4A90C4" w:sz="6"/>
              <w:right w:val="single" w:color="4A90C4" w:sz="6"/>
            </w:tcBorders>
            <w:shd w:fill="D6E4F0" w:val="clear"/>
            <w:tcMar>
              <w:top w:type="dxa" w:w="200"/>
              <w:left w:type="dxa" w:w="240"/>
              <w:bottom w:type="dxa" w:w="200"/>
              <w:right w:type="dxa" w:w="240"/>
            </w:tcMar>
          </w:tcPr>
          <w:p>
            <w:pPr>
              <w:spacing w:after="80" w:before="80"/>
            </w:pPr>
            <w:r>
              <w:rPr>
                <w:rFonts w:ascii="Arial" w:cs="Arial" w:eastAsia="Arial" w:hAnsi="Arial"/>
                <w:b/>
                <w:bCs/>
                <w:color w:val="1B3A5C"/>
                <w:sz w:val="20"/>
                <w:szCs w:val="20"/>
              </w:rPr>
              <w:t xml:space="preserve">FORMAL POLICY STATEMENT</w:t>
            </w:r>
          </w:p>
          <w:p>
            <w:pPr>
              <w:spacing w:after="80" w:before="80"/>
            </w:pPr>
            <w:r>
              <w:rPr>
                <w:rFonts w:ascii="Arial" w:cs="Arial" w:eastAsia="Arial" w:hAnsi="Arial"/>
                <w:sz w:val="20"/>
                <w:szCs w:val="20"/>
              </w:rPr>
              <w:t xml:space="preserve">Vertex Metals Ltd does not accept or make cash payments in any currency, in any amount, for any purpose in connection with its trading activities. This includes direct cash deposits into the Company's bank account, and payments of cash to any third party on behalf of the Company or for the Company's benefit.</w:t>
            </w:r>
          </w:p>
          <w:p>
            <w:pPr>
              <w:spacing w:after="80" w:before="80"/>
            </w:pPr>
            <w:r>
              <w:rPr>
                <w:rFonts w:ascii="Arial" w:cs="Arial" w:eastAsia="Arial" w:hAnsi="Arial"/>
                <w:sz w:val="20"/>
                <w:szCs w:val="20"/>
              </w:rPr>
              <w:t xml:space="preserve">All transaction settlements are made exclusively by: (a) bank transfer between named business accounts; or (b) Irrevocable Transferable Documentary Letter of Credit (ITDLC) issued by an established commercial bank.</w:t>
            </w:r>
          </w:p>
          <w:p>
            <w:pPr>
              <w:spacing w:after="80" w:before="80"/>
            </w:pPr>
            <w:r>
              <w:rPr>
                <w:rFonts w:ascii="Arial" w:cs="Arial" w:eastAsia="Arial" w:hAnsi="Arial"/>
                <w:sz w:val="20"/>
                <w:szCs w:val="20"/>
              </w:rPr>
              <w:t xml:space="preserve">This policy is communicated to all counterparties at the commencement of all business relationships and is incorporated into all contracts and terms of trade.</w:t>
            </w:r>
          </w:p>
        </w:tc>
      </w:tr>
    </w:tbl>
    <w:p>
      <w:pPr>
        <w:spacing w:after="80" w:before="80"/>
      </w:pPr>
      <w:r>
        <w:t xml:space="preserve"/>
      </w:r>
    </w:p>
    <w:p>
      <w:pPr>
        <w:pStyle w:val="Heading1"/>
        <w:pBdr>
          <w:bottom w:val="single" w:color="4A90C4" w:sz="4" w:space="4"/>
        </w:pBdr>
        <w:spacing w:after="120" w:before="360"/>
      </w:pPr>
      <w:r>
        <w:rPr>
          <w:rFonts w:ascii="Arial" w:cs="Arial" w:eastAsia="Arial" w:hAnsi="Arial"/>
          <w:b/>
          <w:bCs/>
          <w:color w:val="1B3A5C"/>
          <w:sz w:val="28"/>
          <w:szCs w:val="28"/>
        </w:rPr>
        <w:t xml:space="preserve">11. Sanctions Compliance</w:t>
      </w:r>
    </w:p>
    <w:p>
      <w:pPr>
        <w:spacing w:after="80" w:before="80"/>
      </w:pPr>
      <w:r>
        <w:rPr>
          <w:rFonts w:ascii="Arial" w:cs="Arial" w:eastAsia="Arial" w:hAnsi="Arial"/>
          <w:sz w:val="20"/>
          <w:szCs w:val="20"/>
        </w:rPr>
        <w:t xml:space="preserve">The Company will not enter into any business relationship or transaction with any person, entity, or vessel that is subject to financial sanctions imposed by the United Kingdom, the United Nations Security Council, or the European Union, or that is owned or controlled by a sanctioned party.</w:t>
      </w:r>
    </w:p>
    <w:p>
      <w:pPr>
        <w:spacing w:after="80" w:before="80"/>
      </w:pPr>
      <w:r>
        <w:t xml:space="preserve"/>
      </w:r>
    </w:p>
    <w:p>
      <w:pPr>
        <w:spacing w:after="80" w:before="80"/>
      </w:pPr>
      <w:r>
        <w:rPr>
          <w:rFonts w:ascii="Arial" w:cs="Arial" w:eastAsia="Arial" w:hAnsi="Arial"/>
          <w:sz w:val="20"/>
          <w:szCs w:val="20"/>
        </w:rPr>
        <w:t xml:space="preserve">Sanctions screening will be conducted:</w:t>
      </w:r>
    </w:p>
    <w:p>
      <w:pPr>
        <w:pStyle w:val="ListParagraph"/>
        <w:numPr>
          <w:ilvl w:val="0"/>
          <w:numId w:val="2"/>
        </w:numPr>
        <w:spacing w:after="40" w:before="40"/>
      </w:pPr>
      <w:r>
        <w:rPr>
          <w:rFonts w:ascii="Arial" w:cs="Arial" w:eastAsia="Arial" w:hAnsi="Arial"/>
          <w:sz w:val="20"/>
          <w:szCs w:val="20"/>
        </w:rPr>
        <w:t xml:space="preserve">At the point of initial onboarding of all counterparties</w:t>
      </w:r>
    </w:p>
    <w:p>
      <w:pPr>
        <w:pStyle w:val="ListParagraph"/>
        <w:numPr>
          <w:ilvl w:val="0"/>
          <w:numId w:val="2"/>
        </w:numPr>
        <w:spacing w:after="40" w:before="40"/>
      </w:pPr>
      <w:r>
        <w:rPr>
          <w:rFonts w:ascii="Arial" w:cs="Arial" w:eastAsia="Arial" w:hAnsi="Arial"/>
          <w:sz w:val="20"/>
          <w:szCs w:val="20"/>
        </w:rPr>
        <w:t xml:space="preserve">At a minimum of every six months for all active counterparties</w:t>
      </w:r>
    </w:p>
    <w:p>
      <w:pPr>
        <w:pStyle w:val="ListParagraph"/>
        <w:numPr>
          <w:ilvl w:val="0"/>
          <w:numId w:val="2"/>
        </w:numPr>
        <w:spacing w:after="40" w:before="40"/>
      </w:pPr>
      <w:r>
        <w:rPr>
          <w:rFonts w:ascii="Arial" w:cs="Arial" w:eastAsia="Arial" w:hAnsi="Arial"/>
          <w:sz w:val="20"/>
          <w:szCs w:val="20"/>
        </w:rPr>
        <w:t xml:space="preserve">Immediately upon becoming aware of any new sanctions designation that may be relevant to an existing counterparty</w:t>
      </w:r>
    </w:p>
    <w:p>
      <w:pPr>
        <w:pStyle w:val="ListParagraph"/>
        <w:numPr>
          <w:ilvl w:val="0"/>
          <w:numId w:val="2"/>
        </w:numPr>
        <w:spacing w:after="40" w:before="40"/>
      </w:pPr>
      <w:r>
        <w:rPr>
          <w:rFonts w:ascii="Arial" w:cs="Arial" w:eastAsia="Arial" w:hAnsi="Arial"/>
          <w:sz w:val="20"/>
          <w:szCs w:val="20"/>
        </w:rPr>
        <w:t xml:space="preserve">Before each new transaction with a counterparty where there has been a gap of more than 90 days since the last screen</w:t>
      </w:r>
    </w:p>
    <w:p>
      <w:pPr>
        <w:spacing w:after="80" w:before="80"/>
      </w:pPr>
      <w:r>
        <w:t xml:space="preserve"/>
      </w:r>
    </w:p>
    <w:p>
      <w:pPr>
        <w:spacing w:after="80" w:before="80"/>
      </w:pPr>
      <w:r>
        <w:rPr>
          <w:rFonts w:ascii="Arial" w:cs="Arial" w:eastAsia="Arial" w:hAnsi="Arial"/>
          <w:sz w:val="20"/>
          <w:szCs w:val="20"/>
        </w:rPr>
        <w:t xml:space="preserve">The sources to be checked for each screen include the UK consolidated financial sanctions list (maintained by OFSI), the UN Security Council consolidated list, and the EU financial sanctions list. All screens must be documented with the date, source, and result recorded in the counterparty's file.</w:t>
      </w:r>
    </w:p>
    <w:p>
      <w:pPr>
        <w:spacing w:after="80" w:before="80"/>
      </w:pPr>
      <w:r>
        <w:t xml:space="preserve"/>
      </w:r>
    </w:p>
    <w:p>
      <w:pPr>
        <w:spacing w:after="80" w:before="80"/>
      </w:pPr>
      <w:r>
        <w:rPr>
          <w:rFonts w:ascii="Arial" w:cs="Arial" w:eastAsia="Arial" w:hAnsi="Arial"/>
          <w:sz w:val="20"/>
          <w:szCs w:val="20"/>
        </w:rPr>
        <w:t xml:space="preserve">Where a sanctions match or potential match is identified, the MLRO must be notified immediately. No transaction may proceed until the MLRO has assessed the match and made a determination. Where a match is confirmed, a report must be made to OFSI without delay.</w:t>
      </w:r>
    </w:p>
    <w:p>
      <w:pPr>
        <w:spacing w:after="80" w:before="80"/>
      </w:pPr>
      <w:r>
        <w:t xml:space="preserve"/>
      </w:r>
    </w:p>
    <w:p>
      <w:pPr>
        <w:pStyle w:val="Heading1"/>
        <w:pBdr>
          <w:bottom w:val="single" w:color="4A90C4" w:sz="4" w:space="4"/>
        </w:pBdr>
        <w:spacing w:after="120" w:before="360"/>
      </w:pPr>
      <w:r>
        <w:rPr>
          <w:rFonts w:ascii="Arial" w:cs="Arial" w:eastAsia="Arial" w:hAnsi="Arial"/>
          <w:b/>
          <w:bCs/>
          <w:color w:val="1B3A5C"/>
          <w:sz w:val="28"/>
          <w:szCs w:val="28"/>
        </w:rPr>
        <w:t xml:space="preserve">12. Carbon Border Adjustment Mechanism (CBAM) Compliance</w:t>
      </w:r>
    </w:p>
    <w:p>
      <w:pPr>
        <w:spacing w:after="80" w:before="80"/>
      </w:pPr>
      <w:r>
        <w:rPr>
          <w:rFonts w:ascii="Arial" w:cs="Arial" w:eastAsia="Arial" w:hAnsi="Arial"/>
          <w:sz w:val="20"/>
          <w:szCs w:val="20"/>
        </w:rPr>
        <w:t xml:space="preserve">The UK Carbon Border Adjustment Mechanism takes effect from 1 January 2027, applying a carbon levy to aluminium imports above the £50,000 annual threshold. As the Importer of Record for aluminium wire imports from India, the Company will be an obligated entity under UK CBAM.</w:t>
      </w:r>
    </w:p>
    <w:p>
      <w:pPr>
        <w:spacing w:after="80" w:before="80"/>
      </w:pPr>
      <w:r>
        <w:t xml:space="preserve"/>
      </w:r>
    </w:p>
    <w:p>
      <w:pPr>
        <w:spacing w:after="80" w:before="80"/>
      </w:pPr>
      <w:r>
        <w:rPr>
          <w:rFonts w:ascii="Arial" w:cs="Arial" w:eastAsia="Arial" w:hAnsi="Arial"/>
          <w:sz w:val="20"/>
          <w:szCs w:val="20"/>
        </w:rPr>
        <w:t xml:space="preserve">To manage CBAM compliance and cost exposure:</w:t>
      </w:r>
    </w:p>
    <w:p>
      <w:pPr>
        <w:pStyle w:val="ListParagraph"/>
        <w:numPr>
          <w:ilvl w:val="0"/>
          <w:numId w:val="2"/>
        </w:numPr>
        <w:spacing w:after="40" w:before="40"/>
      </w:pPr>
      <w:r>
        <w:rPr>
          <w:rFonts w:ascii="Arial" w:cs="Arial" w:eastAsia="Arial" w:hAnsi="Arial"/>
          <w:sz w:val="20"/>
          <w:szCs w:val="20"/>
        </w:rPr>
        <w:t xml:space="preserve">All supplier onboarding will include enquiry into the carbon intensity of the supplier's production facility and the energy source used</w:t>
      </w:r>
    </w:p>
    <w:p>
      <w:pPr>
        <w:pStyle w:val="ListParagraph"/>
        <w:numPr>
          <w:ilvl w:val="0"/>
          <w:numId w:val="2"/>
        </w:numPr>
        <w:spacing w:after="40" w:before="40"/>
      </w:pPr>
      <w:r>
        <w:rPr>
          <w:rFonts w:ascii="Arial" w:cs="Arial" w:eastAsia="Arial" w:hAnsi="Arial"/>
          <w:sz w:val="20"/>
          <w:szCs w:val="20"/>
        </w:rPr>
        <w:t xml:space="preserve">Suppliers will be required to provide, or demonstrate a plan to provide, third-party verified installation-level emissions data prior to 1 January 2027</w:t>
      </w:r>
    </w:p>
    <w:p>
      <w:pPr>
        <w:pStyle w:val="ListParagraph"/>
        <w:numPr>
          <w:ilvl w:val="0"/>
          <w:numId w:val="2"/>
        </w:numPr>
        <w:spacing w:after="40" w:before="40"/>
      </w:pPr>
      <w:r>
        <w:rPr>
          <w:rFonts w:ascii="Arial" w:cs="Arial" w:eastAsia="Arial" w:hAnsi="Arial"/>
          <w:sz w:val="20"/>
          <w:szCs w:val="20"/>
        </w:rPr>
        <w:t xml:space="preserve">Preference will be given to suppliers who have already engaged with EU CBAM reporting requirements, as this indicates verified data is available</w:t>
      </w:r>
    </w:p>
    <w:p>
      <w:pPr>
        <w:pStyle w:val="ListParagraph"/>
        <w:numPr>
          <w:ilvl w:val="0"/>
          <w:numId w:val="2"/>
        </w:numPr>
        <w:spacing w:after="40" w:before="40"/>
      </w:pPr>
      <w:r>
        <w:rPr>
          <w:rFonts w:ascii="Arial" w:cs="Arial" w:eastAsia="Arial" w:hAnsi="Arial"/>
          <w:sz w:val="20"/>
          <w:szCs w:val="20"/>
        </w:rPr>
        <w:t xml:space="preserve">The Company will register with HMRC for UK CBAM purposes prior to the 1 January 2027 commencement date</w:t>
      </w:r>
    </w:p>
    <w:p>
      <w:pPr>
        <w:pStyle w:val="ListParagraph"/>
        <w:numPr>
          <w:ilvl w:val="0"/>
          <w:numId w:val="2"/>
        </w:numPr>
        <w:spacing w:after="40" w:before="40"/>
      </w:pPr>
      <w:r>
        <w:rPr>
          <w:rFonts w:ascii="Arial" w:cs="Arial" w:eastAsia="Arial" w:hAnsi="Arial"/>
          <w:sz w:val="20"/>
          <w:szCs w:val="20"/>
        </w:rPr>
        <w:t xml:space="preserve">CBAM liability will be calculated and reported annually for the 2027 accounting period, with the first payment due by 31 May 2028</w:t>
      </w:r>
    </w:p>
    <w:p>
      <w:pPr>
        <w:spacing w:after="80" w:before="80"/>
      </w:pPr>
      <w:r>
        <w:t xml:space="preserve"/>
      </w:r>
    </w:p>
    <w:p>
      <w:pPr>
        <w:spacing w:after="80" w:before="80"/>
      </w:pPr>
      <w:r>
        <w:rPr>
          <w:rFonts w:ascii="Arial" w:cs="Arial" w:eastAsia="Arial" w:hAnsi="Arial"/>
          <w:sz w:val="20"/>
          <w:szCs w:val="20"/>
        </w:rPr>
        <w:t xml:space="preserve">CBAM compliance documentation will be retained for a minimum of five years and made available to HMRC on request.</w:t>
      </w:r>
    </w:p>
    <w:p>
      <w:pPr>
        <w:spacing w:after="80" w:before="80"/>
      </w:pPr>
      <w:r>
        <w:t xml:space="preserve"/>
      </w:r>
    </w:p>
    <w:p>
      <w:pPr>
        <w:pStyle w:val="Heading1"/>
        <w:pBdr>
          <w:bottom w:val="single" w:color="4A90C4" w:sz="4" w:space="4"/>
        </w:pBdr>
        <w:spacing w:after="120" w:before="360"/>
      </w:pPr>
      <w:r>
        <w:rPr>
          <w:rFonts w:ascii="Arial" w:cs="Arial" w:eastAsia="Arial" w:hAnsi="Arial"/>
          <w:b/>
          <w:bCs/>
          <w:color w:val="1B3A5C"/>
          <w:sz w:val="28"/>
          <w:szCs w:val="28"/>
        </w:rPr>
        <w:t xml:space="preserve">13. Training and Awareness</w:t>
      </w:r>
    </w:p>
    <w:p>
      <w:pPr>
        <w:spacing w:after="80" w:before="80"/>
      </w:pPr>
      <w:r>
        <w:rPr>
          <w:rFonts w:ascii="Arial" w:cs="Arial" w:eastAsia="Arial" w:hAnsi="Arial"/>
          <w:sz w:val="20"/>
          <w:szCs w:val="20"/>
        </w:rPr>
        <w:t xml:space="preserve">Both directors of the Company are responsible for ensuring they are aware of and understand their AML/CFT obligations. Training will include:</w:t>
      </w:r>
    </w:p>
    <w:p>
      <w:pPr>
        <w:pStyle w:val="ListParagraph"/>
        <w:numPr>
          <w:ilvl w:val="0"/>
          <w:numId w:val="2"/>
        </w:numPr>
        <w:spacing w:after="40" w:before="40"/>
      </w:pPr>
      <w:r>
        <w:rPr>
          <w:rFonts w:ascii="Arial" w:cs="Arial" w:eastAsia="Arial" w:hAnsi="Arial"/>
          <w:sz w:val="20"/>
          <w:szCs w:val="20"/>
        </w:rPr>
        <w:t xml:space="preserve">Review of this policy on appointment and annually thereafter</w:t>
      </w:r>
    </w:p>
    <w:p>
      <w:pPr>
        <w:pStyle w:val="ListParagraph"/>
        <w:numPr>
          <w:ilvl w:val="0"/>
          <w:numId w:val="2"/>
        </w:numPr>
        <w:spacing w:after="40" w:before="40"/>
      </w:pPr>
      <w:r>
        <w:rPr>
          <w:rFonts w:ascii="Arial" w:cs="Arial" w:eastAsia="Arial" w:hAnsi="Arial"/>
          <w:sz w:val="20"/>
          <w:szCs w:val="20"/>
        </w:rPr>
        <w:t xml:space="preserve">Review of IOM FSA AML/CFT Handbook guidance relevant to the Company's sector</w:t>
      </w:r>
    </w:p>
    <w:p>
      <w:pPr>
        <w:pStyle w:val="ListParagraph"/>
        <w:numPr>
          <w:ilvl w:val="0"/>
          <w:numId w:val="2"/>
        </w:numPr>
        <w:spacing w:after="40" w:before="40"/>
      </w:pPr>
      <w:r>
        <w:rPr>
          <w:rFonts w:ascii="Arial" w:cs="Arial" w:eastAsia="Arial" w:hAnsi="Arial"/>
          <w:sz w:val="20"/>
          <w:szCs w:val="20"/>
        </w:rPr>
        <w:t xml:space="preserve">Review of HMRC guidance for metals traders and commodity businesses where relevant</w:t>
      </w:r>
    </w:p>
    <w:p>
      <w:pPr>
        <w:pStyle w:val="ListParagraph"/>
        <w:numPr>
          <w:ilvl w:val="0"/>
          <w:numId w:val="2"/>
        </w:numPr>
        <w:spacing w:after="40" w:before="40"/>
      </w:pPr>
      <w:r>
        <w:rPr>
          <w:rFonts w:ascii="Arial" w:cs="Arial" w:eastAsia="Arial" w:hAnsi="Arial"/>
          <w:sz w:val="20"/>
          <w:szCs w:val="20"/>
        </w:rPr>
        <w:t xml:space="preserve">Awareness of current ML/TF typologies relevant to international metals trading</w:t>
      </w:r>
    </w:p>
    <w:p>
      <w:pPr>
        <w:spacing w:after="80" w:before="80"/>
      </w:pPr>
      <w:r>
        <w:t xml:space="preserve"/>
      </w:r>
    </w:p>
    <w:p>
      <w:pPr>
        <w:spacing w:after="80" w:before="80"/>
      </w:pPr>
      <w:r>
        <w:rPr>
          <w:rFonts w:ascii="Arial" w:cs="Arial" w:eastAsia="Arial" w:hAnsi="Arial"/>
          <w:sz w:val="20"/>
          <w:szCs w:val="20"/>
        </w:rPr>
        <w:t xml:space="preserve">Training completion will be recorded and retained in the Company's compliance records. The MLRO is responsible for ensuring training remains current and relevant.</w:t>
      </w:r>
    </w:p>
    <w:p>
      <w:pPr>
        <w:spacing w:after="80" w:before="80"/>
      </w:pPr>
      <w:r>
        <w:t xml:space="preserve"/>
      </w:r>
    </w:p>
    <w:p>
      <w:pPr>
        <w:pStyle w:val="Heading1"/>
        <w:pBdr>
          <w:bottom w:val="single" w:color="4A90C4" w:sz="4" w:space="4"/>
        </w:pBdr>
        <w:spacing w:after="120" w:before="360"/>
      </w:pPr>
      <w:r>
        <w:rPr>
          <w:rFonts w:ascii="Arial" w:cs="Arial" w:eastAsia="Arial" w:hAnsi="Arial"/>
          <w:b/>
          <w:bCs/>
          <w:color w:val="1B3A5C"/>
          <w:sz w:val="28"/>
          <w:szCs w:val="28"/>
        </w:rPr>
        <w:t xml:space="preserve">14. Policy Review and Updates</w:t>
      </w:r>
    </w:p>
    <w:p>
      <w:pPr>
        <w:spacing w:after="80" w:before="80"/>
      </w:pPr>
      <w:r>
        <w:rPr>
          <w:rFonts w:ascii="Arial" w:cs="Arial" w:eastAsia="Arial" w:hAnsi="Arial"/>
          <w:sz w:val="20"/>
          <w:szCs w:val="20"/>
        </w:rPr>
        <w:t xml:space="preserve">This policy will be reviewed by the MLRO and approved by the Board of Directors at a minimum of annually, and immediately in the following circumstances:</w:t>
      </w:r>
    </w:p>
    <w:p>
      <w:pPr>
        <w:pStyle w:val="ListParagraph"/>
        <w:numPr>
          <w:ilvl w:val="0"/>
          <w:numId w:val="2"/>
        </w:numPr>
        <w:spacing w:after="40" w:before="40"/>
      </w:pPr>
      <w:r>
        <w:rPr>
          <w:rFonts w:ascii="Arial" w:cs="Arial" w:eastAsia="Arial" w:hAnsi="Arial"/>
          <w:sz w:val="20"/>
          <w:szCs w:val="20"/>
        </w:rPr>
        <w:t xml:space="preserve">A material change in the Company's business model, product range, or counterparty geography</w:t>
      </w:r>
    </w:p>
    <w:p>
      <w:pPr>
        <w:pStyle w:val="ListParagraph"/>
        <w:numPr>
          <w:ilvl w:val="0"/>
          <w:numId w:val="2"/>
        </w:numPr>
        <w:spacing w:after="40" w:before="40"/>
      </w:pPr>
      <w:r>
        <w:rPr>
          <w:rFonts w:ascii="Arial" w:cs="Arial" w:eastAsia="Arial" w:hAnsi="Arial"/>
          <w:sz w:val="20"/>
          <w:szCs w:val="20"/>
        </w:rPr>
        <w:t xml:space="preserve">A change in applicable legislation or regulatory guidance in the Isle of Man or the United Kingdom</w:t>
      </w:r>
    </w:p>
    <w:p>
      <w:pPr>
        <w:pStyle w:val="ListParagraph"/>
        <w:numPr>
          <w:ilvl w:val="0"/>
          <w:numId w:val="2"/>
        </w:numPr>
        <w:spacing w:after="40" w:before="40"/>
      </w:pPr>
      <w:r>
        <w:rPr>
          <w:rFonts w:ascii="Arial" w:cs="Arial" w:eastAsia="Arial" w:hAnsi="Arial"/>
          <w:sz w:val="20"/>
          <w:szCs w:val="20"/>
        </w:rPr>
        <w:t xml:space="preserve">Following a suspicious activity report or compliance incident</w:t>
      </w:r>
    </w:p>
    <w:p>
      <w:pPr>
        <w:pStyle w:val="ListParagraph"/>
        <w:numPr>
          <w:ilvl w:val="0"/>
          <w:numId w:val="2"/>
        </w:numPr>
        <w:spacing w:after="40" w:before="40"/>
      </w:pPr>
      <w:r>
        <w:rPr>
          <w:rFonts w:ascii="Arial" w:cs="Arial" w:eastAsia="Arial" w:hAnsi="Arial"/>
          <w:sz w:val="20"/>
          <w:szCs w:val="20"/>
        </w:rPr>
        <w:t xml:space="preserve">Following any inspection, visit, or direction from the IOM FSA or any other regulatory authority</w:t>
      </w:r>
    </w:p>
    <w:p>
      <w:pPr>
        <w:spacing w:after="80" w:before="80"/>
      </w:pPr>
      <w:r>
        <w:t xml:space="preserve"/>
      </w:r>
    </w:p>
    <w:p>
      <w:pPr>
        <w:spacing w:after="80" w:before="80"/>
      </w:pPr>
      <w:r>
        <w:rPr>
          <w:rFonts w:ascii="Arial" w:cs="Arial" w:eastAsia="Arial" w:hAnsi="Arial"/>
          <w:sz w:val="20"/>
          <w:szCs w:val="20"/>
        </w:rPr>
        <w:t xml:space="preserve">The version history of this policy will be maintained and all prior versions retained for five years.</w:t>
      </w:r>
    </w:p>
    <w:p>
      <w:pPr>
        <w:spacing w:after="80" w:before="80"/>
      </w:pPr>
      <w:r>
        <w:t xml:space="preserve"/>
      </w:r>
    </w:p>
    <w:p>
      <w:pPr>
        <w:pStyle w:val="Heading1"/>
        <w:pBdr>
          <w:bottom w:val="single" w:color="4A90C4" w:sz="4" w:space="4"/>
        </w:pBdr>
        <w:spacing w:after="120" w:before="360"/>
      </w:pPr>
      <w:r>
        <w:rPr>
          <w:rFonts w:ascii="Arial" w:cs="Arial" w:eastAsia="Arial" w:hAnsi="Arial"/>
          <w:b/>
          <w:bCs/>
          <w:color w:val="1B3A5C"/>
          <w:sz w:val="28"/>
          <w:szCs w:val="28"/>
        </w:rPr>
        <w:t xml:space="preserve">15. Board Approval and Sign-Off</w:t>
      </w:r>
    </w:p>
    <w:p>
      <w:pPr>
        <w:spacing w:after="8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Director / MLRO</w:t>
            </w:r>
          </w:p>
        </w:tc>
        <w:tc>
          <w:tcPr>
            <w:tcW w:type="dxa" w:w="487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Director</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Martyn Bourner</w:t>
            </w:r>
          </w:p>
        </w:tc>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Jackson Paul</w:t>
            </w:r>
          </w:p>
        </w:tc>
      </w:tr>
      <w:tr>
        <w:tc>
          <w:tcPr>
            <w:tcW w:type="dxa" w:w="4873"/>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spacing w:before="40"/>
            </w:pPr>
            <w:r>
              <w:rPr>
                <w:rFonts w:ascii="Arial" w:cs="Arial" w:eastAsia="Arial" w:hAnsi="Arial"/>
                <w:sz w:val="18"/>
                <w:szCs w:val="18"/>
              </w:rPr>
              <w:t xml:space="preserve">Signature: ___________________________</w:t>
            </w:r>
          </w:p>
        </w:tc>
        <w:tc>
          <w:tcPr>
            <w:tcW w:type="dxa" w:w="4873"/>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spacing w:before="40"/>
            </w:pPr>
            <w:r>
              <w:rPr>
                <w:rFonts w:ascii="Arial" w:cs="Arial" w:eastAsia="Arial" w:hAnsi="Arial"/>
                <w:sz w:val="18"/>
                <w:szCs w:val="18"/>
              </w:rPr>
              <w:t xml:space="preserve">Signature: ___________________________</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 ___________________________</w:t>
            </w:r>
          </w:p>
        </w:tc>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 ___________________________</w:t>
            </w:r>
          </w:p>
        </w:tc>
      </w:tr>
    </w:tbl>
    <w:p>
      <w:pPr>
        <w:spacing w:after="80" w:before="80"/>
      </w:pPr>
      <w:r>
        <w:t xml:space="preserve"/>
      </w:r>
    </w:p>
    <w:p>
      <w:pPr>
        <w:spacing w:after="80" w:before="80"/>
      </w:pPr>
      <w:r>
        <w:t xml:space="preserve"/>
      </w:r>
    </w:p>
    <w:p>
      <w:pPr>
        <w:spacing w:after="80" w:before="80"/>
      </w:pPr>
      <w:r>
        <w:rPr>
          <w:rFonts w:ascii="Arial" w:cs="Arial" w:eastAsia="Arial" w:hAnsi="Arial"/>
          <w:color w:val="666666"/>
          <w:sz w:val="20"/>
          <w:szCs w:val="20"/>
        </w:rPr>
        <w:t xml:space="preserve">This policy is approved by the Board of Directors of Vertex Metals Ltd and takes effect from the date of signature above. It supersedes any prior AML/KYC documentation of the Company.</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C4" w:sz="4" w:space="4"/>
      </w:pBdr>
      <w:tabs>
        <w:tab w:val="right" w:pos="9026"/>
      </w:tabs>
      <w:spacing w:before="120"/>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t xml:space="preserve">	Page </w:t>
    </w:r>
    <w:r>
      <w:rPr>
        <w:rFonts w:ascii="Arial" w:cs="Arial" w:eastAsia="Arial" w:hAnsi="Arial"/>
        <w:color w:val="888888"/>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C4" w:sz="4" w:space="4"/>
      </w:pBdr>
      <w:spacing w:after="120"/>
    </w:pPr>
    <w:r>
      <w:rPr>
        <w:rFonts w:ascii="Arial" w:cs="Arial" w:eastAsia="Arial" w:hAnsi="Arial"/>
        <w:b/>
        <w:bCs/>
        <w:color w:val="1B3A5C"/>
        <w:sz w:val="20"/>
        <w:szCs w:val="20"/>
      </w:rPr>
      <w:t xml:space="preserve">Vertex Metals Ltd</w:t>
    </w:r>
    <w:r>
      <w:rPr>
        <w:rFonts w:ascii="Arial" w:cs="Arial" w:eastAsia="Arial" w:hAnsi="Arial"/>
        <w:color w:val="666666"/>
        <w:sz w:val="20"/>
        <w:szCs w:val="20"/>
      </w:rPr>
      <w:t xml:space="preserve">   |   Anti-Money Laundering &amp; KYC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2026-04-12T22:41:45.957Z</dcterms:created>
  <dcterms:modified xsi:type="dcterms:W3CDTF">2026-04-12T22:41:45.958Z</dcterms:modified>
</cp:coreProperties>
</file>

<file path=docProps/custom.xml><?xml version="1.0" encoding="utf-8"?>
<Properties xmlns="http://schemas.openxmlformats.org/officeDocument/2006/custom-properties" xmlns:vt="http://schemas.openxmlformats.org/officeDocument/2006/docPropsVTypes"/>
</file>