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83E3BA2" w14:textId="28E50C67" w:rsidR="00D7522C" w:rsidRPr="00C2345D" w:rsidRDefault="00410330" w:rsidP="00C2345D">
      <w:pPr>
        <w:pStyle w:val="papertitle"/>
        <w:spacing w:before="5pt" w:beforeAutospacing="1" w:after="5pt" w:afterAutospacing="1"/>
        <w:rPr>
          <w:kern w:val="48"/>
        </w:rPr>
      </w:pPr>
      <w:r>
        <w:rPr>
          <w:kern w:val="48"/>
        </w:rPr>
        <w:t>Machine Perception Assignment 1</w:t>
      </w:r>
    </w:p>
    <w:p w14:paraId="66829D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3C4B752" w14:textId="28B3CD97" w:rsidR="00C2345D" w:rsidRPr="00C2345D" w:rsidRDefault="00410330" w:rsidP="00C2345D">
      <w:pPr>
        <w:pStyle w:val="Author"/>
        <w:spacing w:before="5pt" w:beforeAutospacing="1"/>
        <w:rPr>
          <w:sz w:val="18"/>
          <w:szCs w:val="18"/>
        </w:rPr>
        <w:sectPr w:rsidR="00C2345D" w:rsidRPr="00C2345D" w:rsidSect="00C2345D">
          <w:type w:val="continuous"/>
          <w:pgSz w:w="595.30pt" w:h="841.90pt" w:code="9"/>
          <w:pgMar w:top="22.50pt" w:right="44.65pt" w:bottom="72pt" w:left="44.65pt" w:header="36pt" w:footer="36pt" w:gutter="0pt"/>
          <w:cols w:space="36pt"/>
          <w:docGrid w:linePitch="360"/>
        </w:sectPr>
      </w:pPr>
      <w:r>
        <w:rPr>
          <w:sz w:val="18"/>
          <w:szCs w:val="18"/>
        </w:rPr>
        <w:t>Reece Jones</w:t>
      </w:r>
      <w:r w:rsidR="001A3B3D" w:rsidRPr="00F847A6">
        <w:rPr>
          <w:sz w:val="18"/>
          <w:szCs w:val="18"/>
        </w:rPr>
        <w:t xml:space="preserve"> </w:t>
      </w:r>
      <w:r w:rsidR="001A3B3D" w:rsidRPr="00F847A6">
        <w:rPr>
          <w:sz w:val="18"/>
          <w:szCs w:val="18"/>
        </w:rPr>
        <w:br/>
      </w:r>
      <w:r>
        <w:rPr>
          <w:sz w:val="18"/>
          <w:szCs w:val="18"/>
        </w:rPr>
        <w:t>Student ID: 194761</w:t>
      </w:r>
      <w:r w:rsidR="00C2345D">
        <w:rPr>
          <w:sz w:val="18"/>
          <w:szCs w:val="18"/>
        </w:rPr>
        <w:t>11</w:t>
      </w:r>
    </w:p>
    <w:p w14:paraId="4CB9872D" w14:textId="38BDC68E" w:rsidR="009303D9" w:rsidRPr="005B520E" w:rsidRDefault="009303D9" w:rsidP="00C2345D">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C200D48" w14:textId="38524A3A" w:rsidR="009303D9" w:rsidRDefault="000D38D5" w:rsidP="006B6B66">
      <w:pPr>
        <w:pStyle w:val="Heading1"/>
      </w:pPr>
      <w:r>
        <w:drawing>
          <wp:anchor distT="0" distB="0" distL="114300" distR="114300" simplePos="0" relativeHeight="251677184" behindDoc="0" locked="0" layoutInCell="1" allowOverlap="1" wp14:anchorId="47F657C8" wp14:editId="3C507BF2">
            <wp:simplePos x="0" y="0"/>
            <wp:positionH relativeFrom="column">
              <wp:posOffset>3316605</wp:posOffset>
            </wp:positionH>
            <wp:positionV relativeFrom="paragraph">
              <wp:posOffset>110490</wp:posOffset>
            </wp:positionV>
            <wp:extent cx="3086100" cy="2729230"/>
            <wp:effectExtent l="0" t="0" r="0" b="0"/>
            <wp:wrapTopAndBottom/>
            <wp:docPr id="26" name="Group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2729230"/>
                      <a:chOff x="0" y="0"/>
                      <a:chExt cx="3086100" cy="2729230"/>
                    </a:xfrm>
                  </wp:grpSpPr>
                  <pic:pic xmlns:pic="http://purl.oclc.org/ooxml/drawingml/picture">
                    <pic:nvPicPr>
                      <pic:cNvPr id="24" name="Picture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81655" cy="2311400"/>
                      </a:xfrm>
                      <a:prstGeom prst="rect">
                        <a:avLst/>
                      </a:prstGeom>
                      <a:noFill/>
                      <a:ln>
                        <a:noFill/>
                      </a:ln>
                    </pic:spPr>
                  </pic:pic>
                  <wp:wsp>
                    <wp:cNvPr id="25" name="Text Box 25"/>
                    <wp:cNvSpPr txBox="1"/>
                    <wp:spPr>
                      <a:xfrm>
                        <a:off x="0" y="2368550"/>
                        <a:ext cx="3086100" cy="360680"/>
                      </a:xfrm>
                      <a:prstGeom prst="rect">
                        <a:avLst/>
                      </a:prstGeom>
                      <a:solidFill>
                        <a:prstClr val="white"/>
                      </a:solidFill>
                      <a:ln>
                        <a:noFill/>
                      </a:ln>
                    </wp:spPr>
                    <wp:txbx>
                      <wne:txbxContent>
                        <w:p w14:paraId="7E3B1334" w14:textId="7C202FD8" w:rsidR="00E461D6" w:rsidRPr="004B3560" w:rsidRDefault="00E461D6" w:rsidP="00E461D6">
                          <w:pPr>
                            <w:pStyle w:val="Caption"/>
                            <w:rPr>
                              <w:smallCaps/>
                              <w:noProof/>
                              <w:sz w:val="20"/>
                              <w:szCs w:val="20"/>
                            </w:rPr>
                          </w:pPr>
                          <w:r>
                            <w:t xml:space="preserve">Figure 3. Intensity histograms of a region </w:t>
                          </w:r>
                          <w:r w:rsidR="000D38D5">
                            <w:t>of the dugong image at varying scales.</w:t>
                          </w:r>
                          <w:r w:rsidR="000D38D5" w:rsidRPr="000D38D5">
                            <w:t xml:space="preserve"> </w:t>
                          </w:r>
                          <w:r w:rsidR="000D38D5">
                            <w:t>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C2345D">
        <w:t>Task 1</w:t>
      </w:r>
    </w:p>
    <w:p w14:paraId="0B1E7095" w14:textId="634D2EF5" w:rsidR="00352373" w:rsidRPr="00352373" w:rsidRDefault="00AB4500" w:rsidP="00352373">
      <w:pPr>
        <w:pStyle w:val="Heading2"/>
      </w:pPr>
      <w:r>
        <w:t>Harris Corner Detector</w:t>
      </w:r>
    </w:p>
    <w:p w14:paraId="30D856D6" w14:textId="0C98CEC1" w:rsidR="00F942AA" w:rsidRDefault="009075B5" w:rsidP="00E7596C">
      <w:pPr>
        <w:pStyle w:val="BodyText"/>
        <w:rPr>
          <w:lang w:val="en-AU"/>
        </w:rPr>
      </w:pPr>
      <w:r>
        <w:rPr>
          <w:noProof/>
          <w:lang w:val="en-AU"/>
        </w:rPr>
        <w:drawing>
          <wp:anchor distT="0" distB="0" distL="114300" distR="114300" simplePos="0" relativeHeight="251681280" behindDoc="0" locked="0" layoutInCell="1" allowOverlap="1" wp14:anchorId="0F8D5EFA" wp14:editId="76AFD5D1">
            <wp:simplePos x="0" y="0"/>
            <wp:positionH relativeFrom="column">
              <wp:posOffset>3316605</wp:posOffset>
            </wp:positionH>
            <wp:positionV relativeFrom="paragraph">
              <wp:posOffset>2112010</wp:posOffset>
            </wp:positionV>
            <wp:extent cx="3089910" cy="2698750"/>
            <wp:effectExtent l="0" t="0" r="0" b="6350"/>
            <wp:wrapTopAndBottom/>
            <wp:docPr id="29" name="Group 2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98750"/>
                      <a:chOff x="0" y="0"/>
                      <a:chExt cx="3089910" cy="2698750"/>
                    </a:xfrm>
                  </wp:grpSpPr>
                  <pic:pic xmlns:pic="http://purl.oclc.org/ooxml/drawingml/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wp:wsp>
                    <wp:cNvPr id="28" name="Text Box 28"/>
                    <wp:cNvSpPr txBox="1"/>
                    <wp:spPr>
                      <a:xfrm>
                        <a:off x="0" y="2374900"/>
                        <a:ext cx="3089910" cy="323850"/>
                      </a:xfrm>
                      <a:prstGeom prst="rect">
                        <a:avLst/>
                      </a:prstGeom>
                      <a:solidFill>
                        <a:prstClr val="white"/>
                      </a:solidFill>
                      <a:ln>
                        <a:noFill/>
                      </a:ln>
                    </wp:spPr>
                    <wp:txbx>
                      <wne:txbxContent>
                        <w:p w14:paraId="35C37569" w14:textId="59041460" w:rsidR="00A446F6" w:rsidRPr="00EB2EAB" w:rsidRDefault="00A446F6" w:rsidP="00A446F6">
                          <w:pPr>
                            <w:pStyle w:val="Caption"/>
                            <w:rPr>
                              <w:noProof/>
                              <w:spacing w:val="-1"/>
                              <w:sz w:val="20"/>
                              <w:szCs w:val="20"/>
                              <w:lang w:val="x-none" w:eastAsia="x-none"/>
                            </w:rPr>
                          </w:pPr>
                          <w:r>
                            <w:t>Fig</w:t>
                          </w:r>
                          <w:r w:rsidR="008B4019">
                            <w:t>.</w:t>
                          </w:r>
                          <w:r>
                            <w:t xml:space="preserve"> 4. Intensity histograms of a region of the dugong image at varying rotations.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D86633">
        <w:rPr>
          <w:lang w:val="en-AU"/>
        </w:rPr>
        <w:t>The Harris corner detector</w:t>
      </w:r>
      <w:r w:rsidR="00140BC2">
        <w:rPr>
          <w:lang w:val="en-AU"/>
        </w:rPr>
        <w:t xml:space="preserve"> [1]</w:t>
      </w:r>
      <w:r w:rsidR="00D86633">
        <w:rPr>
          <w:lang w:val="en-AU"/>
        </w:rPr>
        <w:t xml:space="preserve"> is variant under scaling</w:t>
      </w:r>
      <w:r w:rsidR="001B464A">
        <w:rPr>
          <w:lang w:val="en-AU"/>
        </w:rPr>
        <w:t xml:space="preserve"> and </w:t>
      </w:r>
      <w:r w:rsidR="00D86633">
        <w:rPr>
          <w:lang w:val="en-AU"/>
        </w:rPr>
        <w:t xml:space="preserve">invariant under rotation. Scale invariance is not achieved since the size or standard deviation of the window function is a fixed parameter of the algorithm; with images of different scale, the window will cover a different size image patch. I expect that the higher the ratio of window size to </w:t>
      </w:r>
      <w:r w:rsidR="00CA1122">
        <w:rPr>
          <w:lang w:val="en-AU"/>
        </w:rPr>
        <w:t>feature size</w:t>
      </w:r>
      <w:r w:rsidR="00D86633">
        <w:rPr>
          <w:lang w:val="en-AU"/>
        </w:rPr>
        <w:t>, the lower the corner response, since the window will include a higher proportion of non-corner pixels</w:t>
      </w:r>
      <w:r w:rsidR="000755A6">
        <w:rPr>
          <w:lang w:val="en-AU"/>
        </w:rPr>
        <w:t>.</w:t>
      </w:r>
      <w:r w:rsidR="00F942AA">
        <w:rPr>
          <w:lang w:val="en-AU"/>
        </w:rPr>
        <w:t xml:space="preserve"> The experimental results are shown in </w:t>
      </w:r>
      <w:r w:rsidR="008B4019">
        <w:rPr>
          <w:lang w:val="en-AU"/>
        </w:rPr>
        <w:t>F</w:t>
      </w:r>
      <w:r w:rsidR="00F942AA">
        <w:rPr>
          <w:lang w:val="en-AU"/>
        </w:rPr>
        <w:t>ig</w:t>
      </w:r>
      <w:r w:rsidR="008B4019">
        <w:rPr>
          <w:lang w:val="en-AU"/>
        </w:rPr>
        <w:t>.</w:t>
      </w:r>
      <w:r w:rsidR="00F942AA">
        <w:rPr>
          <w:lang w:val="en-AU"/>
        </w:rPr>
        <w:t xml:space="preserve"> 1. Interestingly, as the image size increases, the number of corners detected decreases, contrary to my hypothesis. I believe that in the process of upsampling the images, the increase in the size of the edges has reduced the gradient, reducing the corner response. This effect is likely dependent on the resampling method used (preliminary testing with nearest-neighbour resampling indicates different results).</w:t>
      </w:r>
    </w:p>
    <w:p w14:paraId="2489F0C9" w14:textId="4F4695C8" w:rsidR="008A059D" w:rsidRDefault="00325ADF" w:rsidP="00F942AA">
      <w:pPr>
        <w:pStyle w:val="BodyText"/>
        <w:rPr>
          <w:lang w:val="en-AU"/>
        </w:rPr>
      </w:pPr>
      <w:r>
        <w:rPr>
          <w:lang w:val="en-AU"/>
        </w:rPr>
        <w:t xml:space="preserve">Rotational invariance is achieved </w:t>
      </w:r>
      <w:r w:rsidR="00251F64">
        <w:rPr>
          <w:lang w:val="en-AU"/>
        </w:rPr>
        <w:t xml:space="preserve">because the corner response is calculated </w:t>
      </w:r>
      <w:r w:rsidR="00537622">
        <w:rPr>
          <w:lang w:val="en-AU"/>
        </w:rPr>
        <w:t xml:space="preserve">based on the eigenvalues of the </w:t>
      </w:r>
      <w:r w:rsidR="007166CD">
        <w:rPr>
          <w:lang w:val="en-AU"/>
        </w:rPr>
        <w:t>autocorrelation matrix</w:t>
      </w:r>
      <w:r w:rsidR="00537622">
        <w:rPr>
          <w:lang w:val="en-AU"/>
        </w:rPr>
        <w:t xml:space="preserve"> </w:t>
      </w:r>
      <w:r w:rsidR="005A0158">
        <w:rPr>
          <w:lang w:val="en-AU"/>
        </w:rPr>
        <w:t>at a point</w:t>
      </w:r>
      <w:r w:rsidR="00140BC2">
        <w:rPr>
          <w:lang w:val="en-AU"/>
        </w:rPr>
        <w:t xml:space="preserve"> [</w:t>
      </w:r>
      <w:r w:rsidR="0028217F">
        <w:rPr>
          <w:lang w:val="en-AU"/>
        </w:rPr>
        <w:t>2</w:t>
      </w:r>
      <w:r w:rsidR="00140BC2">
        <w:rPr>
          <w:lang w:val="en-AU"/>
        </w:rPr>
        <w:t>]</w:t>
      </w:r>
      <w:r w:rsidR="00537622">
        <w:rPr>
          <w:lang w:val="en-AU"/>
        </w:rPr>
        <w:t>. These eigenvalues give the magnitudes of curvature of the image surface in the directions of most and least curvature</w:t>
      </w:r>
      <w:r w:rsidR="00730352">
        <w:rPr>
          <w:lang w:val="en-AU"/>
        </w:rPr>
        <w:t xml:space="preserve"> [</w:t>
      </w:r>
      <w:r w:rsidR="0028217F">
        <w:rPr>
          <w:lang w:val="en-AU"/>
        </w:rPr>
        <w:t>1</w:t>
      </w:r>
      <w:r w:rsidR="00730352">
        <w:rPr>
          <w:lang w:val="en-AU"/>
        </w:rPr>
        <w:t>]</w:t>
      </w:r>
      <w:r w:rsidR="00537622">
        <w:rPr>
          <w:lang w:val="en-AU"/>
        </w:rPr>
        <w:t xml:space="preserve">. That is, any rotation present </w:t>
      </w:r>
      <w:r w:rsidR="00DC51EA">
        <w:rPr>
          <w:lang w:val="en-AU"/>
        </w:rPr>
        <w:t>has no effect on the eigenvalues, and therefore no effect on the corner response.</w:t>
      </w:r>
      <w:r w:rsidR="00F942AA">
        <w:rPr>
          <w:lang w:val="en-AU"/>
        </w:rPr>
        <w:t xml:space="preserve"> The experimental results are </w:t>
      </w:r>
      <w:r w:rsidR="008A059D">
        <w:rPr>
          <w:lang w:val="en-AU"/>
        </w:rPr>
        <w:t xml:space="preserve">shown in </w:t>
      </w:r>
      <w:r w:rsidR="008B4019">
        <w:rPr>
          <w:lang w:val="en-AU"/>
        </w:rPr>
        <w:t>F</w:t>
      </w:r>
      <w:r w:rsidR="008A059D">
        <w:rPr>
          <w:lang w:val="en-AU"/>
        </w:rPr>
        <w:t>ig</w:t>
      </w:r>
      <w:r w:rsidR="008B4019">
        <w:rPr>
          <w:lang w:val="en-AU"/>
        </w:rPr>
        <w:t>.</w:t>
      </w:r>
      <w:r w:rsidR="008A059D">
        <w:rPr>
          <w:lang w:val="en-AU"/>
        </w:rPr>
        <w:t xml:space="preserve"> 2</w:t>
      </w:r>
      <w:r w:rsidR="005C4529">
        <w:rPr>
          <w:lang w:val="en-AU"/>
        </w:rPr>
        <w:t>; a</w:t>
      </w:r>
      <w:r w:rsidR="008A059D">
        <w:rPr>
          <w:lang w:val="en-AU"/>
        </w:rPr>
        <w:t>s expected, the same corners are detected regardless of rotation.</w:t>
      </w:r>
    </w:p>
    <w:p w14:paraId="2A39F07C" w14:textId="1AECE897" w:rsidR="00E461D6" w:rsidRDefault="00E461D6" w:rsidP="009F19A4">
      <w:pPr>
        <w:pStyle w:val="BodyText"/>
        <w:rPr>
          <w:lang w:val="en-AU"/>
        </w:rPr>
      </w:pPr>
      <w:r>
        <w:rPr>
          <w:lang w:val="en-AU"/>
        </w:rPr>
        <w:t xml:space="preserve">The experimental results </w:t>
      </w:r>
      <w:r w:rsidR="00B5531F">
        <w:rPr>
          <w:lang w:val="en-AU"/>
        </w:rPr>
        <w:t xml:space="preserve">for </w:t>
      </w:r>
      <w:r>
        <w:rPr>
          <w:lang w:val="en-AU"/>
        </w:rPr>
        <w:t>the dugong image</w:t>
      </w:r>
      <w:r w:rsidR="00B5531F">
        <w:rPr>
          <w:lang w:val="en-AU"/>
        </w:rPr>
        <w:t xml:space="preserve"> are similar</w:t>
      </w:r>
      <w:r>
        <w:rPr>
          <w:lang w:val="en-AU"/>
        </w:rPr>
        <w:t xml:space="preserve"> and </w:t>
      </w:r>
      <w:r w:rsidR="003C622B">
        <w:rPr>
          <w:lang w:val="en-AU"/>
        </w:rPr>
        <w:t>may</w:t>
      </w:r>
      <w:r>
        <w:rPr>
          <w:lang w:val="en-AU"/>
        </w:rPr>
        <w:t xml:space="preserve"> be reproduced </w:t>
      </w:r>
      <w:r w:rsidR="003C622B">
        <w:rPr>
          <w:lang w:val="en-AU"/>
        </w:rPr>
        <w:t>using</w:t>
      </w:r>
      <w:r>
        <w:rPr>
          <w:lang w:val="en-AU"/>
        </w:rPr>
        <w:t xml:space="preserve"> the code in </w:t>
      </w:r>
      <w:r w:rsidR="00F1335F">
        <w:rPr>
          <w:lang w:val="en-AU"/>
        </w:rPr>
        <w:t>A</w:t>
      </w:r>
      <w:r>
        <w:rPr>
          <w:lang w:val="en-AU"/>
        </w:rPr>
        <w:t>ppendix 1.</w:t>
      </w:r>
    </w:p>
    <w:p w14:paraId="1BC63937" w14:textId="3B816669" w:rsidR="00954E0D" w:rsidRDefault="00954E0D" w:rsidP="00954E0D">
      <w:pPr>
        <w:pStyle w:val="Heading2"/>
        <w:rPr>
          <w:lang w:val="en-AU"/>
        </w:rPr>
      </w:pPr>
      <w:r>
        <w:rPr>
          <w:lang w:val="en-AU"/>
        </w:rPr>
        <w:t>Intensity Histograms</w:t>
      </w:r>
    </w:p>
    <w:p w14:paraId="1B341B8F" w14:textId="2571A49A" w:rsidR="00504828" w:rsidRDefault="00E461D6" w:rsidP="00F942AA">
      <w:pPr>
        <w:pStyle w:val="BodyText"/>
        <w:rPr>
          <w:lang w:val="en-AU"/>
        </w:rPr>
      </w:pPr>
      <w:r>
        <w:rPr>
          <w:noProof/>
        </w:rPr>
        <w:drawing>
          <wp:anchor distT="0" distB="0" distL="114300" distR="114300" simplePos="0" relativeHeight="251668992" behindDoc="0" locked="0" layoutInCell="1" allowOverlap="1" wp14:anchorId="0029F483" wp14:editId="52AAAA23">
            <wp:simplePos x="0" y="0"/>
            <wp:positionH relativeFrom="column">
              <wp:posOffset>1826895</wp:posOffset>
            </wp:positionH>
            <wp:positionV relativeFrom="margin">
              <wp:align>bottom</wp:align>
            </wp:positionV>
            <wp:extent cx="1149350" cy="1943100"/>
            <wp:effectExtent l="0" t="0" r="0" b="0"/>
            <wp:wrapTopAndBottom/>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149350" cy="1943100"/>
                      <a:chOff x="6350" y="-114300"/>
                      <a:chExt cx="1149350" cy="1943100"/>
                    </a:xfrm>
                  </wp:grpSpPr>
                  <pic:pic xmlns:pic="http://purl.oclc.org/ooxml/drawingml/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50" y="-114300"/>
                        <a:ext cx="1130300" cy="1130300"/>
                      </a:xfrm>
                      <a:prstGeom prst="rect">
                        <a:avLst/>
                      </a:prstGeom>
                    </pic:spPr>
                  </pic:pic>
                  <wp:wsp>
                    <wp:cNvPr id="19" name="Text Box 19"/>
                    <wp:cNvSpPr txBox="1"/>
                    <wp:spPr>
                      <a:xfrm>
                        <a:off x="25400" y="1054100"/>
                        <a:ext cx="1130300" cy="774700"/>
                      </a:xfrm>
                      <a:prstGeom prst="rect">
                        <a:avLst/>
                      </a:prstGeom>
                      <a:solidFill>
                        <a:prstClr val="white"/>
                      </a:solidFill>
                      <a:ln>
                        <a:noFill/>
                      </a:ln>
                    </wp:spPr>
                    <wp:txbx>
                      <wne:txbxContent>
                        <w:p w14:paraId="2149894A" w14:textId="0154CDA9" w:rsidR="00C12086" w:rsidRPr="00770C04" w:rsidRDefault="00C12086" w:rsidP="00C12086">
                          <w:pPr>
                            <w:pStyle w:val="Caption"/>
                            <w:rPr>
                              <w:noProof/>
                              <w:spacing w:val="-1"/>
                              <w:sz w:val="20"/>
                              <w:szCs w:val="20"/>
                              <w:lang w:eastAsia="x-none"/>
                            </w:rPr>
                          </w:pPr>
                          <w:r>
                            <w:t>Fig</w:t>
                          </w:r>
                          <w:r w:rsidR="008B4019">
                            <w:t>.</w:t>
                          </w:r>
                          <w:r>
                            <w:t xml:space="preserve"> 2. Harris corner detector results on a region of the playing card image at varying rotation</w:t>
                          </w:r>
                          <w:r w:rsidR="000D38D5">
                            <w:t>s</w:t>
                          </w:r>
                          <w:r w:rsidR="00FD1485">
                            <w:t>.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6F6AE2">
        <w:rPr>
          <w:noProof/>
          <w:lang w:val="en-AU"/>
        </w:rPr>
        <w:drawing>
          <wp:anchor distT="0" distB="0" distL="114300" distR="114300" simplePos="0" relativeHeight="251661824" behindDoc="0" locked="0" layoutInCell="1" allowOverlap="1" wp14:anchorId="4C750772" wp14:editId="784DDA40">
            <wp:simplePos x="0" y="0"/>
            <wp:positionH relativeFrom="column">
              <wp:align>left</wp:align>
            </wp:positionH>
            <wp:positionV relativeFrom="margin">
              <wp:align>bottom</wp:align>
            </wp:positionV>
            <wp:extent cx="1619885" cy="2819400"/>
            <wp:effectExtent l="0" t="0" r="0" b="0"/>
            <wp:wrapTopAndBottom/>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9885" cy="2819400"/>
                      <a:chOff x="63521" y="146050"/>
                      <a:chExt cx="1620431" cy="2819400"/>
                    </a:xfrm>
                  </wp:grpSpPr>
                  <pic:pic xmlns:pic="http://purl.oclc.org/ooxml/drawingml/picture">
                    <pic:nvPicPr>
                      <pic:cNvPr id="11" name="Picture 11"/>
                      <pic:cNvPicPr>
                        <a:picLocks noChangeAspect="1"/>
                      </pic:cNvPicPr>
                    </pic:nvPicPr>
                    <pic:blipFill rotWithShape="1">
                      <a:blip r:embed="rId12" cstate="print">
                        <a:extLst>
                          <a:ext uri="{28A0092B-C50C-407E-A947-70E740481C1C}">
                            <a14:useLocalDpi xmlns:a14="http://schemas.microsoft.com/office/drawing/2010/main" val="0"/>
                          </a:ext>
                        </a:extLst>
                      </a:blip>
                      <a:srcRect l="32.494%" t="6.084%"/>
                      <a:stretch/>
                    </pic:blipFill>
                    <pic:spPr bwMode="auto">
                      <a:xfrm>
                        <a:off x="63521" y="146050"/>
                        <a:ext cx="1620431" cy="2254250"/>
                      </a:xfrm>
                      <a:prstGeom prst="rect">
                        <a:avLst/>
                      </a:prstGeom>
                      <a:ln>
                        <a:noFill/>
                      </a:ln>
                      <a:extLst>
                        <a:ext uri="{53640926-AAD7-44D8-BBD7-CCE9431645EC}">
                          <a14:shadowObscured xmlns:a14="http://schemas.microsoft.com/office/drawing/2010/main"/>
                        </a:ext>
                      </a:extLst>
                    </pic:spPr>
                  </pic:pic>
                  <wp:wsp>
                    <wp:cNvPr id="14" name="Text Box 14"/>
                    <wp:cNvSpPr txBox="1"/>
                    <wp:spPr>
                      <a:xfrm>
                        <a:off x="63521" y="2457450"/>
                        <a:ext cx="1587397" cy="508000"/>
                      </a:xfrm>
                      <a:prstGeom prst="rect">
                        <a:avLst/>
                      </a:prstGeom>
                      <a:solidFill>
                        <a:prstClr val="white"/>
                      </a:solidFill>
                      <a:ln>
                        <a:noFill/>
                      </a:ln>
                    </wp:spPr>
                    <wp:txbx>
                      <wne:txbxContent>
                        <w:p w14:paraId="5FAF0AD0" w14:textId="40F5603E" w:rsidR="00E84BC4" w:rsidRPr="00C87370" w:rsidRDefault="00E84BC4" w:rsidP="00E84BC4">
                          <w:pPr>
                            <w:pStyle w:val="Caption"/>
                            <w:rPr>
                              <w:noProof/>
                              <w:spacing w:val="-1"/>
                              <w:sz w:val="20"/>
                              <w:szCs w:val="20"/>
                              <w:lang w:eastAsia="x-none"/>
                            </w:rPr>
                          </w:pPr>
                          <w:r>
                            <w:t>Fig</w:t>
                          </w:r>
                          <w:r w:rsidR="008B4019">
                            <w:t>.</w:t>
                          </w:r>
                          <w:r>
                            <w:t xml:space="preserve"> 1. Harris corner detector results on the playing card image at varying scales. 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8C0C83">
        <w:rPr>
          <w:lang w:val="en-AU"/>
        </w:rPr>
        <w:t>Image histograms</w:t>
      </w:r>
      <w:r w:rsidR="009F23F2">
        <w:rPr>
          <w:lang w:val="en-AU"/>
        </w:rPr>
        <w:t xml:space="preserve"> </w:t>
      </w:r>
      <w:r w:rsidR="003C7F08">
        <w:rPr>
          <w:lang w:val="en-AU"/>
        </w:rPr>
        <w:t xml:space="preserve">are variant under scaling and may be variant under rotation (depending on the rotation). Scaling an image changes its resolution, and since histograms are based on pixel counts, the histogram will be affected. </w:t>
      </w:r>
      <w:r w:rsidR="00AC6E14">
        <w:rPr>
          <w:lang w:val="en-AU"/>
        </w:rPr>
        <w:t>However, for</w:t>
      </w:r>
      <w:r w:rsidR="003C7F08">
        <w:rPr>
          <w:lang w:val="en-AU"/>
        </w:rPr>
        <w:t xml:space="preserve"> small </w:t>
      </w:r>
      <w:r w:rsidR="00AC6E14">
        <w:rPr>
          <w:lang w:val="en-AU"/>
        </w:rPr>
        <w:t>or moderate changes in scale, the relative ratios of intensities will be retained, i.e. the histogram will have approximately the same “shape”</w:t>
      </w:r>
      <w:r w:rsidR="000A5C5F">
        <w:rPr>
          <w:lang w:val="en-AU"/>
        </w:rPr>
        <w:t xml:space="preserve"> (if normalised histograms</w:t>
      </w:r>
      <w:r w:rsidR="00337DE2">
        <w:rPr>
          <w:lang w:val="en-AU"/>
        </w:rPr>
        <w:t xml:space="preserve"> are used</w:t>
      </w:r>
      <w:r w:rsidR="000A5C5F">
        <w:rPr>
          <w:lang w:val="en-AU"/>
        </w:rPr>
        <w:t>, then scale invariance is achieved).</w:t>
      </w:r>
      <w:r w:rsidR="00504828">
        <w:rPr>
          <w:lang w:val="en-AU"/>
        </w:rPr>
        <w:t xml:space="preserve"> This is demonstrated in </w:t>
      </w:r>
      <w:r w:rsidR="008B4019">
        <w:rPr>
          <w:lang w:val="en-AU"/>
        </w:rPr>
        <w:t>F</w:t>
      </w:r>
      <w:r w:rsidR="00504828">
        <w:rPr>
          <w:lang w:val="en-AU"/>
        </w:rPr>
        <w:t>ig</w:t>
      </w:r>
      <w:r w:rsidR="008B4019">
        <w:rPr>
          <w:lang w:val="en-AU"/>
        </w:rPr>
        <w:t>.</w:t>
      </w:r>
      <w:r w:rsidR="00504828">
        <w:rPr>
          <w:lang w:val="en-AU"/>
        </w:rPr>
        <w:t xml:space="preserve"> 3. Notice that the histogram peaks are vastly different, but the overall shape is almost identical.</w:t>
      </w:r>
    </w:p>
    <w:p w14:paraId="63344584" w14:textId="79C6DC1A" w:rsidR="00F942AA" w:rsidRDefault="00AC6E14" w:rsidP="00F942AA">
      <w:pPr>
        <w:pStyle w:val="BodyText"/>
        <w:rPr>
          <w:lang w:val="en-AU"/>
        </w:rPr>
      </w:pPr>
      <w:r>
        <w:rPr>
          <w:lang w:val="en-AU"/>
        </w:rPr>
        <w:t>Histograms may be invariant under rotation, depending on whether the rotation affects the image bounds.</w:t>
      </w:r>
      <w:r w:rsidR="008562D8">
        <w:rPr>
          <w:lang w:val="en-AU"/>
        </w:rPr>
        <w:t xml:space="preserve"> Typically, histograms are calculated across an image or bounding box, the content of which will change </w:t>
      </w:r>
      <w:r w:rsidR="007E7220">
        <w:rPr>
          <w:lang w:val="en-AU"/>
        </w:rPr>
        <w:t>under</w:t>
      </w:r>
      <w:r w:rsidR="008562D8">
        <w:rPr>
          <w:lang w:val="en-AU"/>
        </w:rPr>
        <w:t xml:space="preserve"> most rotations</w:t>
      </w:r>
      <w:r w:rsidR="00DA7469">
        <w:rPr>
          <w:lang w:val="en-AU"/>
        </w:rPr>
        <w:t xml:space="preserve"> (consider the 45-degree rotation of an entire image – </w:t>
      </w:r>
      <w:r w:rsidR="009075B5">
        <w:rPr>
          <w:lang w:val="en-AU"/>
        </w:rPr>
        <w:t>some regions are cut off, and empty regions are introduced</w:t>
      </w:r>
      <w:r w:rsidR="00DA7469">
        <w:rPr>
          <w:lang w:val="en-AU"/>
        </w:rPr>
        <w:t>)</w:t>
      </w:r>
      <w:r w:rsidR="008562D8">
        <w:rPr>
          <w:lang w:val="en-AU"/>
        </w:rPr>
        <w:t>.</w:t>
      </w:r>
      <w:r>
        <w:rPr>
          <w:lang w:val="en-AU"/>
        </w:rPr>
        <w:t xml:space="preserve"> </w:t>
      </w:r>
      <w:r w:rsidR="0089563A">
        <w:rPr>
          <w:lang w:val="en-AU"/>
        </w:rPr>
        <w:t xml:space="preserve">If </w:t>
      </w:r>
      <w:r w:rsidR="00D30FB2">
        <w:rPr>
          <w:lang w:val="en-AU"/>
        </w:rPr>
        <w:t xml:space="preserve">we </w:t>
      </w:r>
      <w:r w:rsidR="000A5C5F">
        <w:rPr>
          <w:lang w:val="en-AU"/>
        </w:rPr>
        <w:t xml:space="preserve">apply a </w:t>
      </w:r>
      <w:r w:rsidR="000A3DE8">
        <w:rPr>
          <w:lang w:val="en-AU"/>
        </w:rPr>
        <w:t>rotation but</w:t>
      </w:r>
      <w:r w:rsidR="000A5C5F">
        <w:rPr>
          <w:lang w:val="en-AU"/>
        </w:rPr>
        <w:t xml:space="preserve"> adjust the bounds within which we calculate the histogram accordingly, then the histogram will be </w:t>
      </w:r>
      <w:r w:rsidR="00475E42">
        <w:rPr>
          <w:lang w:val="en-AU"/>
        </w:rPr>
        <w:t xml:space="preserve">approximately </w:t>
      </w:r>
      <w:r w:rsidR="00D442CD">
        <w:rPr>
          <w:lang w:val="en-AU"/>
        </w:rPr>
        <w:t>unchanged</w:t>
      </w:r>
      <w:r w:rsidR="00544520">
        <w:rPr>
          <w:lang w:val="en-AU"/>
        </w:rPr>
        <w:t>.</w:t>
      </w:r>
      <w:r w:rsidR="001F2B81">
        <w:rPr>
          <w:lang w:val="en-AU"/>
        </w:rPr>
        <w:t xml:space="preserve"> The experimental results are shown in </w:t>
      </w:r>
      <w:r w:rsidR="008A11D4">
        <w:rPr>
          <w:lang w:val="en-AU"/>
        </w:rPr>
        <w:t>F</w:t>
      </w:r>
      <w:r w:rsidR="001F2B81">
        <w:rPr>
          <w:lang w:val="en-AU"/>
        </w:rPr>
        <w:t>ig</w:t>
      </w:r>
      <w:r w:rsidR="008A11D4">
        <w:rPr>
          <w:lang w:val="en-AU"/>
        </w:rPr>
        <w:t>.</w:t>
      </w:r>
      <w:r w:rsidR="001F2B81">
        <w:rPr>
          <w:lang w:val="en-AU"/>
        </w:rPr>
        <w:t xml:space="preserve"> 4. A fixed bounding box was selected, with the image rotates with respect to it. </w:t>
      </w:r>
      <w:r w:rsidR="002A2008">
        <w:rPr>
          <w:lang w:val="en-AU"/>
        </w:rPr>
        <w:t>The</w:t>
      </w:r>
      <w:r w:rsidR="001F2B81">
        <w:rPr>
          <w:lang w:val="en-AU"/>
        </w:rPr>
        <w:t xml:space="preserve"> image </w:t>
      </w:r>
      <w:r w:rsidR="002A2008">
        <w:rPr>
          <w:lang w:val="en-AU"/>
        </w:rPr>
        <w:t>content</w:t>
      </w:r>
      <w:r w:rsidR="001F2B81">
        <w:rPr>
          <w:lang w:val="en-AU"/>
        </w:rPr>
        <w:t xml:space="preserve"> </w:t>
      </w:r>
      <w:r w:rsidR="002A2008">
        <w:rPr>
          <w:lang w:val="en-AU"/>
        </w:rPr>
        <w:t>inside</w:t>
      </w:r>
      <w:r w:rsidR="001F2B81">
        <w:rPr>
          <w:lang w:val="en-AU"/>
        </w:rPr>
        <w:t xml:space="preserve"> the box did change, but since the background (ocean) is mostly homogeneous, the histograms are similar.</w:t>
      </w:r>
    </w:p>
    <w:p w14:paraId="06BCD453" w14:textId="5AC222C1" w:rsidR="003C622B" w:rsidRDefault="003C622B" w:rsidP="00F942AA">
      <w:pPr>
        <w:pStyle w:val="BodyText"/>
        <w:rPr>
          <w:lang w:val="en-AU"/>
        </w:rPr>
      </w:pPr>
      <w:r>
        <w:rPr>
          <w:lang w:val="en-AU"/>
        </w:rPr>
        <w:t xml:space="preserve">The experimental results for the playing card image are similar and may be reproduced using the code in </w:t>
      </w:r>
      <w:r w:rsidR="00F1335F">
        <w:rPr>
          <w:lang w:val="en-AU"/>
        </w:rPr>
        <w:t>A</w:t>
      </w:r>
      <w:r>
        <w:rPr>
          <w:lang w:val="en-AU"/>
        </w:rPr>
        <w:t>ppendix 1.</w:t>
      </w:r>
    </w:p>
    <w:tbl>
      <w:tblPr>
        <w:tblStyle w:val="TableGrid"/>
        <w:tblpPr w:leftFromText="180" w:rightFromText="180" w:vertAnchor="text" w:horzAnchor="page" w:tblpX="3468" w:tblpY="130"/>
        <w:tblW w:w="0pt" w:type="dxa"/>
        <w:tblLook w:firstRow="1" w:lastRow="0" w:firstColumn="1" w:lastColumn="0" w:noHBand="0" w:noVBand="1"/>
      </w:tblPr>
      <w:tblGrid>
        <w:gridCol w:w="767"/>
        <w:gridCol w:w="858"/>
        <w:gridCol w:w="858"/>
      </w:tblGrid>
      <w:tr w:rsidR="00A74965" w14:paraId="3090BA7F" w14:textId="77777777" w:rsidTr="00A74965">
        <w:trPr>
          <w:trHeight w:val="505"/>
        </w:trPr>
        <w:tc>
          <w:tcPr>
            <w:tcW w:w="38.35pt" w:type="dxa"/>
          </w:tcPr>
          <w:p w14:paraId="3E703ECE"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lastRenderedPageBreak/>
              <w:t>Rotation</w:t>
            </w:r>
          </w:p>
        </w:tc>
        <w:tc>
          <w:tcPr>
            <w:tcW w:w="42.90pt" w:type="dxa"/>
          </w:tcPr>
          <w:p w14:paraId="73264D35"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t>Keypoints</w:t>
            </w:r>
          </w:p>
        </w:tc>
        <w:tc>
          <w:tcPr>
            <w:tcW w:w="42.90pt" w:type="dxa"/>
          </w:tcPr>
          <w:p w14:paraId="1F6CEB6F"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t>Keypoints common with 0°</w:t>
            </w:r>
          </w:p>
        </w:tc>
      </w:tr>
      <w:tr w:rsidR="00A74965" w14:paraId="2F16551B" w14:textId="77777777" w:rsidTr="00A74965">
        <w:trPr>
          <w:trHeight w:val="221"/>
        </w:trPr>
        <w:tc>
          <w:tcPr>
            <w:tcW w:w="38.35pt" w:type="dxa"/>
          </w:tcPr>
          <w:p w14:paraId="3B4F6451" w14:textId="77777777" w:rsidR="00A74965" w:rsidRPr="001C35AF" w:rsidRDefault="00A74965" w:rsidP="00A74965">
            <w:pPr>
              <w:pStyle w:val="BodyText"/>
              <w:ind w:firstLine="0pt"/>
              <w:rPr>
                <w:sz w:val="15"/>
                <w:szCs w:val="15"/>
                <w:lang w:val="en-AU"/>
              </w:rPr>
            </w:pPr>
            <w:r w:rsidRPr="001C35AF">
              <w:rPr>
                <w:sz w:val="15"/>
                <w:szCs w:val="15"/>
                <w:lang w:val="en-AU"/>
              </w:rPr>
              <w:t>0°</w:t>
            </w:r>
          </w:p>
        </w:tc>
        <w:tc>
          <w:tcPr>
            <w:tcW w:w="42.90pt" w:type="dxa"/>
          </w:tcPr>
          <w:p w14:paraId="6FC84A85" w14:textId="270A533A"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71DFBB03" w14:textId="1EC9B2F5" w:rsidR="00A74965" w:rsidRPr="001C35AF" w:rsidRDefault="00131C93" w:rsidP="00A74965">
            <w:pPr>
              <w:pStyle w:val="BodyText"/>
              <w:ind w:firstLine="0pt"/>
              <w:rPr>
                <w:sz w:val="15"/>
                <w:szCs w:val="15"/>
                <w:lang w:val="en-AU"/>
              </w:rPr>
            </w:pPr>
            <w:r>
              <w:rPr>
                <w:sz w:val="15"/>
                <w:szCs w:val="15"/>
                <w:lang w:val="en-AU"/>
              </w:rPr>
              <w:t>16</w:t>
            </w:r>
          </w:p>
        </w:tc>
      </w:tr>
      <w:tr w:rsidR="00A74965" w14:paraId="7EBEFA2F" w14:textId="77777777" w:rsidTr="00A74965">
        <w:trPr>
          <w:trHeight w:val="212"/>
        </w:trPr>
        <w:tc>
          <w:tcPr>
            <w:tcW w:w="38.35pt" w:type="dxa"/>
          </w:tcPr>
          <w:p w14:paraId="06CBBFC2" w14:textId="77777777" w:rsidR="00A74965" w:rsidRPr="001C35AF" w:rsidRDefault="00A74965" w:rsidP="00A74965">
            <w:pPr>
              <w:pStyle w:val="BodyText"/>
              <w:ind w:firstLine="0pt"/>
              <w:rPr>
                <w:sz w:val="15"/>
                <w:szCs w:val="15"/>
                <w:lang w:val="en-AU"/>
              </w:rPr>
            </w:pPr>
            <w:r w:rsidRPr="001C35AF">
              <w:rPr>
                <w:sz w:val="15"/>
                <w:szCs w:val="15"/>
                <w:lang w:val="en-AU"/>
              </w:rPr>
              <w:t>15°</w:t>
            </w:r>
          </w:p>
        </w:tc>
        <w:tc>
          <w:tcPr>
            <w:tcW w:w="42.90pt" w:type="dxa"/>
          </w:tcPr>
          <w:p w14:paraId="51882BE0" w14:textId="52BC848C"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70080544" w14:textId="609D3DC0" w:rsidR="00A74965" w:rsidRPr="001C35AF" w:rsidRDefault="00131C93" w:rsidP="00A74965">
            <w:pPr>
              <w:pStyle w:val="BodyText"/>
              <w:ind w:firstLine="0pt"/>
              <w:rPr>
                <w:sz w:val="15"/>
                <w:szCs w:val="15"/>
                <w:lang w:val="en-AU"/>
              </w:rPr>
            </w:pPr>
            <w:r>
              <w:rPr>
                <w:sz w:val="15"/>
                <w:szCs w:val="15"/>
                <w:lang w:val="en-AU"/>
              </w:rPr>
              <w:t>12</w:t>
            </w:r>
          </w:p>
        </w:tc>
      </w:tr>
      <w:tr w:rsidR="00A74965" w14:paraId="289BD7EF" w14:textId="77777777" w:rsidTr="00A74965">
        <w:trPr>
          <w:trHeight w:val="59"/>
        </w:trPr>
        <w:tc>
          <w:tcPr>
            <w:tcW w:w="38.35pt" w:type="dxa"/>
          </w:tcPr>
          <w:p w14:paraId="7F90E045" w14:textId="77777777" w:rsidR="00A74965" w:rsidRPr="001C35AF" w:rsidRDefault="00A74965" w:rsidP="00A74965">
            <w:pPr>
              <w:pStyle w:val="BodyText"/>
              <w:ind w:firstLine="0pt"/>
              <w:rPr>
                <w:sz w:val="15"/>
                <w:szCs w:val="15"/>
                <w:lang w:val="en-AU"/>
              </w:rPr>
            </w:pPr>
            <w:r w:rsidRPr="001C35AF">
              <w:rPr>
                <w:sz w:val="15"/>
                <w:szCs w:val="15"/>
                <w:lang w:val="en-AU"/>
              </w:rPr>
              <w:t>45°</w:t>
            </w:r>
          </w:p>
        </w:tc>
        <w:tc>
          <w:tcPr>
            <w:tcW w:w="42.90pt" w:type="dxa"/>
          </w:tcPr>
          <w:p w14:paraId="73F8B95D" w14:textId="1C754049"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27EC2032" w14:textId="5492246D" w:rsidR="00A74965" w:rsidRPr="001C35AF" w:rsidRDefault="00131C93" w:rsidP="00A74965">
            <w:pPr>
              <w:pStyle w:val="BodyText"/>
              <w:ind w:firstLine="0pt"/>
              <w:rPr>
                <w:sz w:val="15"/>
                <w:szCs w:val="15"/>
                <w:lang w:val="en-AU"/>
              </w:rPr>
            </w:pPr>
            <w:r>
              <w:rPr>
                <w:sz w:val="15"/>
                <w:szCs w:val="15"/>
                <w:lang w:val="en-AU"/>
              </w:rPr>
              <w:t>11</w:t>
            </w:r>
          </w:p>
        </w:tc>
      </w:tr>
      <w:tr w:rsidR="00A74965" w14:paraId="0C2CFC75" w14:textId="77777777" w:rsidTr="00A74965">
        <w:trPr>
          <w:trHeight w:val="191"/>
        </w:trPr>
        <w:tc>
          <w:tcPr>
            <w:tcW w:w="38.35pt" w:type="dxa"/>
          </w:tcPr>
          <w:p w14:paraId="7DB7C762" w14:textId="77777777" w:rsidR="00A74965" w:rsidRPr="001C35AF" w:rsidRDefault="00A74965" w:rsidP="00A74965">
            <w:pPr>
              <w:pStyle w:val="BodyText"/>
              <w:ind w:firstLine="0pt"/>
              <w:rPr>
                <w:sz w:val="15"/>
                <w:szCs w:val="15"/>
                <w:lang w:val="en-AU"/>
              </w:rPr>
            </w:pPr>
            <w:r w:rsidRPr="001C35AF">
              <w:rPr>
                <w:sz w:val="15"/>
                <w:szCs w:val="15"/>
                <w:lang w:val="en-AU"/>
              </w:rPr>
              <w:t>75°</w:t>
            </w:r>
          </w:p>
        </w:tc>
        <w:tc>
          <w:tcPr>
            <w:tcW w:w="42.90pt" w:type="dxa"/>
          </w:tcPr>
          <w:p w14:paraId="0E68F975" w14:textId="528D4DBD" w:rsidR="00A74965" w:rsidRPr="001C35AF" w:rsidRDefault="00131C93" w:rsidP="00A74965">
            <w:pPr>
              <w:pStyle w:val="BodyText"/>
              <w:ind w:firstLine="0pt"/>
              <w:rPr>
                <w:sz w:val="15"/>
                <w:szCs w:val="15"/>
                <w:lang w:val="en-AU"/>
              </w:rPr>
            </w:pPr>
            <w:r>
              <w:rPr>
                <w:sz w:val="15"/>
                <w:szCs w:val="15"/>
                <w:lang w:val="en-AU"/>
              </w:rPr>
              <w:t>15</w:t>
            </w:r>
          </w:p>
        </w:tc>
        <w:tc>
          <w:tcPr>
            <w:tcW w:w="42.90pt" w:type="dxa"/>
          </w:tcPr>
          <w:p w14:paraId="6C36C4E8" w14:textId="27E55655" w:rsidR="00A74965" w:rsidRPr="001C35AF" w:rsidRDefault="003B77B3" w:rsidP="00A74965">
            <w:pPr>
              <w:pStyle w:val="BodyText"/>
              <w:ind w:firstLine="0pt"/>
              <w:rPr>
                <w:sz w:val="15"/>
                <w:szCs w:val="15"/>
                <w:lang w:val="en-AU"/>
              </w:rPr>
            </w:pPr>
            <w:r>
              <w:rPr>
                <w:sz w:val="15"/>
                <w:szCs w:val="15"/>
                <w:lang w:val="en-AU"/>
              </w:rPr>
              <w:t>10</w:t>
            </w:r>
          </w:p>
        </w:tc>
      </w:tr>
    </w:tbl>
    <w:tbl>
      <w:tblPr>
        <w:tblStyle w:val="TableGrid"/>
        <w:tblpPr w:leftFromText="180" w:rightFromText="180" w:vertAnchor="text" w:horzAnchor="margin" w:tblpY="212"/>
        <w:tblW w:w="0pt" w:type="dxa"/>
        <w:tblLayout w:type="fixed"/>
        <w:tblLook w:firstRow="1" w:lastRow="0" w:firstColumn="1" w:lastColumn="0" w:noHBand="0" w:noVBand="1"/>
      </w:tblPr>
      <w:tblGrid>
        <w:gridCol w:w="571"/>
        <w:gridCol w:w="901"/>
        <w:gridCol w:w="933"/>
      </w:tblGrid>
      <w:tr w:rsidR="003B77B3" w:rsidRPr="001C35AF" w14:paraId="2993B572" w14:textId="77777777" w:rsidTr="003B77B3">
        <w:trPr>
          <w:trHeight w:val="524"/>
        </w:trPr>
        <w:tc>
          <w:tcPr>
            <w:tcW w:w="28.55pt" w:type="dxa"/>
          </w:tcPr>
          <w:p w14:paraId="2F629CC0"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Scale</w:t>
            </w:r>
          </w:p>
        </w:tc>
        <w:tc>
          <w:tcPr>
            <w:tcW w:w="45.05pt" w:type="dxa"/>
          </w:tcPr>
          <w:p w14:paraId="75243302"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Keypoints</w:t>
            </w:r>
          </w:p>
        </w:tc>
        <w:tc>
          <w:tcPr>
            <w:tcW w:w="46.65pt" w:type="dxa"/>
          </w:tcPr>
          <w:p w14:paraId="08C5DBF3"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Keypoints common with 1x</w:t>
            </w:r>
          </w:p>
        </w:tc>
      </w:tr>
      <w:tr w:rsidR="003B77B3" w:rsidRPr="001C35AF" w14:paraId="0DE79612" w14:textId="77777777" w:rsidTr="003B77B3">
        <w:trPr>
          <w:trHeight w:val="175"/>
        </w:trPr>
        <w:tc>
          <w:tcPr>
            <w:tcW w:w="28.55pt" w:type="dxa"/>
          </w:tcPr>
          <w:p w14:paraId="22A4AAC9" w14:textId="77777777" w:rsidR="003B77B3" w:rsidRPr="001C35AF" w:rsidRDefault="003B77B3" w:rsidP="003B77B3">
            <w:pPr>
              <w:pStyle w:val="BodyText"/>
              <w:ind w:firstLine="0pt"/>
              <w:rPr>
                <w:sz w:val="15"/>
                <w:szCs w:val="15"/>
                <w:lang w:val="en-AU"/>
              </w:rPr>
            </w:pPr>
            <w:r w:rsidRPr="001C35AF">
              <w:rPr>
                <w:sz w:val="15"/>
                <w:szCs w:val="15"/>
                <w:lang w:val="en-AU"/>
              </w:rPr>
              <w:t>1x</w:t>
            </w:r>
          </w:p>
        </w:tc>
        <w:tc>
          <w:tcPr>
            <w:tcW w:w="45.05pt" w:type="dxa"/>
          </w:tcPr>
          <w:p w14:paraId="2238A8BA" w14:textId="77777777" w:rsidR="003B77B3" w:rsidRPr="001C35AF" w:rsidRDefault="003B77B3" w:rsidP="003B77B3">
            <w:pPr>
              <w:pStyle w:val="BodyText"/>
              <w:ind w:firstLine="0pt"/>
              <w:rPr>
                <w:sz w:val="15"/>
                <w:szCs w:val="15"/>
                <w:lang w:val="en-AU"/>
              </w:rPr>
            </w:pPr>
            <w:r w:rsidRPr="001C35AF">
              <w:rPr>
                <w:sz w:val="15"/>
                <w:szCs w:val="15"/>
                <w:lang w:val="en-AU"/>
              </w:rPr>
              <w:t>1</w:t>
            </w:r>
            <w:r>
              <w:rPr>
                <w:sz w:val="15"/>
                <w:szCs w:val="15"/>
                <w:lang w:val="en-AU"/>
              </w:rPr>
              <w:t>6</w:t>
            </w:r>
          </w:p>
        </w:tc>
        <w:tc>
          <w:tcPr>
            <w:tcW w:w="46.65pt" w:type="dxa"/>
          </w:tcPr>
          <w:p w14:paraId="72ADBAE3" w14:textId="77777777" w:rsidR="003B77B3" w:rsidRPr="001C35AF" w:rsidRDefault="003B77B3" w:rsidP="003B77B3">
            <w:pPr>
              <w:pStyle w:val="BodyText"/>
              <w:ind w:firstLine="0pt"/>
              <w:rPr>
                <w:sz w:val="15"/>
                <w:szCs w:val="15"/>
                <w:lang w:val="en-AU"/>
              </w:rPr>
            </w:pPr>
            <w:r w:rsidRPr="001C35AF">
              <w:rPr>
                <w:sz w:val="15"/>
                <w:szCs w:val="15"/>
                <w:lang w:val="en-AU"/>
              </w:rPr>
              <w:t>1</w:t>
            </w:r>
            <w:r>
              <w:rPr>
                <w:sz w:val="15"/>
                <w:szCs w:val="15"/>
                <w:lang w:val="en-AU"/>
              </w:rPr>
              <w:t>6</w:t>
            </w:r>
          </w:p>
        </w:tc>
      </w:tr>
      <w:tr w:rsidR="003B77B3" w:rsidRPr="001C35AF" w14:paraId="292AB28E" w14:textId="77777777" w:rsidTr="003B77B3">
        <w:trPr>
          <w:trHeight w:val="46"/>
        </w:trPr>
        <w:tc>
          <w:tcPr>
            <w:tcW w:w="28.55pt" w:type="dxa"/>
          </w:tcPr>
          <w:p w14:paraId="0874F0E8" w14:textId="77777777" w:rsidR="003B77B3" w:rsidRPr="001C35AF" w:rsidRDefault="003B77B3" w:rsidP="003B77B3">
            <w:pPr>
              <w:pStyle w:val="BodyText"/>
              <w:ind w:firstLine="0pt"/>
              <w:rPr>
                <w:sz w:val="15"/>
                <w:szCs w:val="15"/>
                <w:lang w:val="en-AU"/>
              </w:rPr>
            </w:pPr>
            <w:r w:rsidRPr="001C35AF">
              <w:rPr>
                <w:sz w:val="15"/>
                <w:szCs w:val="15"/>
                <w:lang w:val="en-AU"/>
              </w:rPr>
              <w:t>1.25x</w:t>
            </w:r>
          </w:p>
        </w:tc>
        <w:tc>
          <w:tcPr>
            <w:tcW w:w="45.05pt" w:type="dxa"/>
          </w:tcPr>
          <w:p w14:paraId="094AA8E2" w14:textId="77777777" w:rsidR="003B77B3" w:rsidRPr="001C35AF" w:rsidRDefault="003B77B3" w:rsidP="003B77B3">
            <w:pPr>
              <w:pStyle w:val="BodyText"/>
              <w:ind w:firstLine="0pt"/>
              <w:rPr>
                <w:sz w:val="15"/>
                <w:szCs w:val="15"/>
                <w:lang w:val="en-AU"/>
              </w:rPr>
            </w:pPr>
            <w:r>
              <w:rPr>
                <w:sz w:val="15"/>
                <w:szCs w:val="15"/>
                <w:lang w:val="en-AU"/>
              </w:rPr>
              <w:t>25</w:t>
            </w:r>
          </w:p>
        </w:tc>
        <w:tc>
          <w:tcPr>
            <w:tcW w:w="46.65pt" w:type="dxa"/>
          </w:tcPr>
          <w:p w14:paraId="103DAD36" w14:textId="77777777" w:rsidR="003B77B3" w:rsidRPr="001C35AF" w:rsidRDefault="003B77B3" w:rsidP="003B77B3">
            <w:pPr>
              <w:pStyle w:val="BodyText"/>
              <w:ind w:firstLine="0pt"/>
              <w:rPr>
                <w:sz w:val="15"/>
                <w:szCs w:val="15"/>
                <w:lang w:val="en-AU"/>
              </w:rPr>
            </w:pPr>
            <w:r>
              <w:rPr>
                <w:sz w:val="15"/>
                <w:szCs w:val="15"/>
                <w:lang w:val="en-AU"/>
              </w:rPr>
              <w:t>13</w:t>
            </w:r>
          </w:p>
        </w:tc>
      </w:tr>
      <w:tr w:rsidR="003B77B3" w:rsidRPr="001C35AF" w14:paraId="326C4C82" w14:textId="77777777" w:rsidTr="003B77B3">
        <w:trPr>
          <w:trHeight w:val="46"/>
        </w:trPr>
        <w:tc>
          <w:tcPr>
            <w:tcW w:w="28.55pt" w:type="dxa"/>
          </w:tcPr>
          <w:p w14:paraId="6610C56E" w14:textId="77777777" w:rsidR="003B77B3" w:rsidRPr="001C35AF" w:rsidRDefault="003B77B3" w:rsidP="003B77B3">
            <w:pPr>
              <w:pStyle w:val="BodyText"/>
              <w:ind w:firstLine="0pt"/>
              <w:rPr>
                <w:sz w:val="15"/>
                <w:szCs w:val="15"/>
                <w:lang w:val="en-AU"/>
              </w:rPr>
            </w:pPr>
            <w:r w:rsidRPr="001C35AF">
              <w:rPr>
                <w:sz w:val="15"/>
                <w:szCs w:val="15"/>
                <w:lang w:val="en-AU"/>
              </w:rPr>
              <w:t>1.5x</w:t>
            </w:r>
          </w:p>
        </w:tc>
        <w:tc>
          <w:tcPr>
            <w:tcW w:w="45.05pt" w:type="dxa"/>
          </w:tcPr>
          <w:p w14:paraId="2C72F09E" w14:textId="77777777" w:rsidR="003B77B3" w:rsidRPr="001C35AF" w:rsidRDefault="003B77B3" w:rsidP="003B77B3">
            <w:pPr>
              <w:pStyle w:val="BodyText"/>
              <w:ind w:firstLine="0pt"/>
              <w:rPr>
                <w:sz w:val="15"/>
                <w:szCs w:val="15"/>
                <w:lang w:val="en-AU"/>
              </w:rPr>
            </w:pPr>
            <w:r>
              <w:rPr>
                <w:sz w:val="15"/>
                <w:szCs w:val="15"/>
                <w:lang w:val="en-AU"/>
              </w:rPr>
              <w:t>32</w:t>
            </w:r>
          </w:p>
        </w:tc>
        <w:tc>
          <w:tcPr>
            <w:tcW w:w="46.65pt" w:type="dxa"/>
          </w:tcPr>
          <w:p w14:paraId="5085A734" w14:textId="77777777" w:rsidR="003B77B3" w:rsidRPr="001C35AF" w:rsidRDefault="003B77B3" w:rsidP="003B77B3">
            <w:pPr>
              <w:pStyle w:val="BodyText"/>
              <w:ind w:firstLine="0pt"/>
              <w:rPr>
                <w:sz w:val="15"/>
                <w:szCs w:val="15"/>
                <w:lang w:val="en-AU"/>
              </w:rPr>
            </w:pPr>
            <w:r>
              <w:rPr>
                <w:sz w:val="15"/>
                <w:szCs w:val="15"/>
                <w:lang w:val="en-AU"/>
              </w:rPr>
              <w:t>16</w:t>
            </w:r>
          </w:p>
        </w:tc>
      </w:tr>
      <w:tr w:rsidR="003B77B3" w:rsidRPr="001C35AF" w14:paraId="1EB7363E" w14:textId="77777777" w:rsidTr="003B77B3">
        <w:trPr>
          <w:trHeight w:val="107"/>
        </w:trPr>
        <w:tc>
          <w:tcPr>
            <w:tcW w:w="28.55pt" w:type="dxa"/>
          </w:tcPr>
          <w:p w14:paraId="7FBFF02A" w14:textId="77777777" w:rsidR="003B77B3" w:rsidRPr="001C35AF" w:rsidRDefault="003B77B3" w:rsidP="003B77B3">
            <w:pPr>
              <w:pStyle w:val="BodyText"/>
              <w:ind w:firstLine="0pt"/>
              <w:rPr>
                <w:sz w:val="15"/>
                <w:szCs w:val="15"/>
                <w:lang w:val="en-AU"/>
              </w:rPr>
            </w:pPr>
            <w:r w:rsidRPr="001C35AF">
              <w:rPr>
                <w:sz w:val="15"/>
                <w:szCs w:val="15"/>
                <w:lang w:val="en-AU"/>
              </w:rPr>
              <w:t>2x</w:t>
            </w:r>
          </w:p>
        </w:tc>
        <w:tc>
          <w:tcPr>
            <w:tcW w:w="45.05pt" w:type="dxa"/>
          </w:tcPr>
          <w:p w14:paraId="016D6C67" w14:textId="77777777" w:rsidR="003B77B3" w:rsidRPr="001C35AF" w:rsidRDefault="003B77B3" w:rsidP="003B77B3">
            <w:pPr>
              <w:pStyle w:val="BodyText"/>
              <w:ind w:firstLine="0pt"/>
              <w:rPr>
                <w:sz w:val="15"/>
                <w:szCs w:val="15"/>
                <w:lang w:val="en-AU"/>
              </w:rPr>
            </w:pPr>
            <w:r>
              <w:rPr>
                <w:sz w:val="15"/>
                <w:szCs w:val="15"/>
                <w:lang w:val="en-AU"/>
              </w:rPr>
              <w:t>45</w:t>
            </w:r>
          </w:p>
        </w:tc>
        <w:tc>
          <w:tcPr>
            <w:tcW w:w="46.65pt" w:type="dxa"/>
          </w:tcPr>
          <w:p w14:paraId="5DE469AF" w14:textId="77777777" w:rsidR="003B77B3" w:rsidRPr="001C35AF" w:rsidRDefault="003B77B3" w:rsidP="003B77B3">
            <w:pPr>
              <w:pStyle w:val="BodyText"/>
              <w:keepNext/>
              <w:ind w:firstLine="0pt"/>
              <w:rPr>
                <w:sz w:val="15"/>
                <w:szCs w:val="15"/>
                <w:lang w:val="en-AU"/>
              </w:rPr>
            </w:pPr>
            <w:r>
              <w:rPr>
                <w:sz w:val="15"/>
                <w:szCs w:val="15"/>
                <w:lang w:val="en-AU"/>
              </w:rPr>
              <w:t>16</w:t>
            </w:r>
          </w:p>
        </w:tc>
      </w:tr>
    </w:tbl>
    <w:p w14:paraId="1DEBCBC5" w14:textId="6C25414C" w:rsidR="00371857" w:rsidRPr="000606D9" w:rsidRDefault="00507224" w:rsidP="00371857">
      <w:pPr>
        <w:pStyle w:val="Heading2"/>
        <w:rPr>
          <w:lang w:val="en-AU"/>
        </w:rPr>
      </w:pPr>
      <w:r>
        <w:rPr>
          <w:lang w:val="en-AU"/>
        </w:rPr>
        <w:t>Scale</w:t>
      </w:r>
      <w:r w:rsidR="000830D6">
        <w:rPr>
          <w:lang w:val="en-AU"/>
        </w:rPr>
        <w:t>-i</w:t>
      </w:r>
      <w:r>
        <w:rPr>
          <w:lang w:val="en-AU"/>
        </w:rPr>
        <w:t>nvariant Feature Transform (</w:t>
      </w:r>
      <w:r w:rsidR="00E461D6">
        <w:rPr>
          <w:lang w:val="en-AU"/>
        </w:rPr>
        <w:t>SIFT</w:t>
      </w:r>
      <w:r>
        <w:rPr>
          <w:lang w:val="en-AU"/>
        </w:rPr>
        <w:t>)</w:t>
      </w:r>
      <w:r w:rsidR="00F02569">
        <w:rPr>
          <w:lang w:val="en-AU"/>
        </w:rPr>
        <w:t xml:space="preserve"> keypoints</w:t>
      </w:r>
    </w:p>
    <w:p w14:paraId="0A392B73" w14:textId="503C9549" w:rsidR="00193EF1" w:rsidRDefault="00F35895" w:rsidP="00E97AC6">
      <w:pPr>
        <w:pStyle w:val="BodyText"/>
        <w:rPr>
          <w:lang w:val="en-AU"/>
        </w:rPr>
      </w:pPr>
      <w:r>
        <w:rPr>
          <w:lang w:val="en-AU"/>
        </w:rPr>
        <w:t>SIFT</w:t>
      </w:r>
      <w:r w:rsidR="000D227F">
        <w:rPr>
          <w:lang w:val="en-AU"/>
        </w:rPr>
        <w:t xml:space="preserve"> [3</w:t>
      </w:r>
      <w:r w:rsidR="00F907D3">
        <w:rPr>
          <w:lang w:val="en-AU"/>
        </w:rPr>
        <w:t xml:space="preserve">, </w:t>
      </w:r>
      <w:r w:rsidR="000D227F">
        <w:rPr>
          <w:lang w:val="en-AU"/>
        </w:rPr>
        <w:t>4]</w:t>
      </w:r>
      <w:r>
        <w:rPr>
          <w:lang w:val="en-AU"/>
        </w:rPr>
        <w:t xml:space="preserve"> </w:t>
      </w:r>
      <w:r w:rsidR="00155A43">
        <w:rPr>
          <w:lang w:val="en-AU"/>
        </w:rPr>
        <w:t>keypoints are</w:t>
      </w:r>
      <w:r>
        <w:rPr>
          <w:lang w:val="en-AU"/>
        </w:rPr>
        <w:t xml:space="preserve"> </w:t>
      </w:r>
      <w:r w:rsidR="00193EF1">
        <w:rPr>
          <w:lang w:val="en-AU"/>
        </w:rPr>
        <w:t>moderately</w:t>
      </w:r>
      <w:r w:rsidR="009E53B9">
        <w:rPr>
          <w:lang w:val="en-AU"/>
        </w:rPr>
        <w:t xml:space="preserve"> </w:t>
      </w:r>
      <w:r>
        <w:rPr>
          <w:lang w:val="en-AU"/>
        </w:rPr>
        <w:t>invariant under small to moderate scaling and rotation.</w:t>
      </w:r>
      <w:r w:rsidR="007E57AC">
        <w:rPr>
          <w:lang w:val="en-AU"/>
        </w:rPr>
        <w:t xml:space="preserve"> Scale invariance is achieved by examining the image at many scales (via Gaussian filtering and image downsampling), </w:t>
      </w:r>
      <w:r w:rsidR="000A5B68">
        <w:rPr>
          <w:lang w:val="en-AU"/>
        </w:rPr>
        <w:t>transforming the image into</w:t>
      </w:r>
      <w:r w:rsidR="007E57AC">
        <w:rPr>
          <w:lang w:val="en-AU"/>
        </w:rPr>
        <w:t xml:space="preserve"> “scale space”</w:t>
      </w:r>
      <w:r w:rsidR="00A1627F">
        <w:rPr>
          <w:lang w:val="en-AU"/>
        </w:rPr>
        <w:t xml:space="preserve"> [3</w:t>
      </w:r>
      <w:r w:rsidR="009F311A">
        <w:rPr>
          <w:lang w:val="en-AU"/>
        </w:rPr>
        <w:t>, 4</w:t>
      </w:r>
      <w:r w:rsidR="00A1627F">
        <w:rPr>
          <w:lang w:val="en-AU"/>
        </w:rPr>
        <w:t>]</w:t>
      </w:r>
      <w:r w:rsidR="000A5B68">
        <w:rPr>
          <w:lang w:val="en-AU"/>
        </w:rPr>
        <w:t>. Keypoints are detected within this scale space, yielding not only the keypoint’s location in the image, but also the scale at which the keypoint exists</w:t>
      </w:r>
      <w:r w:rsidR="009F311A">
        <w:rPr>
          <w:lang w:val="en-AU"/>
        </w:rPr>
        <w:t xml:space="preserve"> [3, 4]</w:t>
      </w:r>
      <w:r w:rsidR="000A5B68">
        <w:rPr>
          <w:lang w:val="en-AU"/>
        </w:rPr>
        <w:t xml:space="preserve">. Further processing of the keypoint is adjusted for this scale, </w:t>
      </w:r>
      <w:r w:rsidR="004F1073">
        <w:rPr>
          <w:lang w:val="en-AU"/>
        </w:rPr>
        <w:t>producing keypoints which are largely invariant to scale</w:t>
      </w:r>
      <w:r w:rsidR="00A1627F">
        <w:rPr>
          <w:lang w:val="en-AU"/>
        </w:rPr>
        <w:t xml:space="preserve"> [3</w:t>
      </w:r>
      <w:r w:rsidR="009F311A">
        <w:rPr>
          <w:lang w:val="en-AU"/>
        </w:rPr>
        <w:t>, 4</w:t>
      </w:r>
      <w:r w:rsidR="00A1627F">
        <w:rPr>
          <w:lang w:val="en-AU"/>
        </w:rPr>
        <w:t>]</w:t>
      </w:r>
      <w:r w:rsidR="004F1073">
        <w:rPr>
          <w:lang w:val="en-AU"/>
        </w:rPr>
        <w:t>.</w:t>
      </w:r>
      <w:r w:rsidR="00193EF1">
        <w:rPr>
          <w:lang w:val="en-AU"/>
        </w:rPr>
        <w:t xml:space="preserve"> The experimental results are </w:t>
      </w:r>
      <w:r w:rsidR="00625E43">
        <w:rPr>
          <w:lang w:val="en-AU"/>
        </w:rPr>
        <w:t>summarised</w:t>
      </w:r>
      <w:r w:rsidR="00193EF1">
        <w:rPr>
          <w:lang w:val="en-AU"/>
        </w:rPr>
        <w:t xml:space="preserve"> in </w:t>
      </w:r>
      <w:r w:rsidR="00777223">
        <w:rPr>
          <w:lang w:val="en-AU"/>
        </w:rPr>
        <w:t>F</w:t>
      </w:r>
      <w:r w:rsidR="00193EF1">
        <w:rPr>
          <w:lang w:val="en-AU"/>
        </w:rPr>
        <w:t>ig</w:t>
      </w:r>
      <w:r w:rsidR="00777223">
        <w:rPr>
          <w:lang w:val="en-AU"/>
        </w:rPr>
        <w:t>.</w:t>
      </w:r>
      <w:r w:rsidR="00193EF1">
        <w:rPr>
          <w:lang w:val="en-AU"/>
        </w:rPr>
        <w:t xml:space="preserve"> 5. </w:t>
      </w:r>
      <w:r w:rsidR="00CF57D2">
        <w:rPr>
          <w:lang w:val="en-AU"/>
        </w:rPr>
        <w:t>As the image size increases, the number of keypoints detected increases (presumably since there are simply more pixels in the image), but</w:t>
      </w:r>
      <w:r w:rsidR="00463528">
        <w:rPr>
          <w:lang w:val="en-AU"/>
        </w:rPr>
        <w:t xml:space="preserve"> a significant proportion of them match the</w:t>
      </w:r>
      <w:r w:rsidR="00371857">
        <w:rPr>
          <w:lang w:val="en-AU"/>
        </w:rPr>
        <w:t xml:space="preserve"> keypoints in the </w:t>
      </w:r>
      <w:r w:rsidR="00463528">
        <w:rPr>
          <w:lang w:val="en-AU"/>
        </w:rPr>
        <w:t>original image region.</w:t>
      </w:r>
      <w:r w:rsidR="00371857">
        <w:rPr>
          <w:lang w:val="en-AU"/>
        </w:rPr>
        <w:t xml:space="preserve"> The </w:t>
      </w:r>
      <w:r w:rsidR="003652BD">
        <w:rPr>
          <w:lang w:val="en-AU"/>
        </w:rPr>
        <w:t>match</w:t>
      </w:r>
      <w:r w:rsidR="00371857">
        <w:rPr>
          <w:lang w:val="en-AU"/>
        </w:rPr>
        <w:t xml:space="preserve"> </w:t>
      </w:r>
      <w:r w:rsidR="003A08EC">
        <w:rPr>
          <w:lang w:val="en-AU"/>
        </w:rPr>
        <w:t>proportions upwards of 80%</w:t>
      </w:r>
      <w:r w:rsidR="00371857">
        <w:rPr>
          <w:lang w:val="en-AU"/>
        </w:rPr>
        <w:t xml:space="preserve"> </w:t>
      </w:r>
      <w:r w:rsidR="003652BD">
        <w:rPr>
          <w:lang w:val="en-AU"/>
        </w:rPr>
        <w:t xml:space="preserve">for small scaling factors </w:t>
      </w:r>
      <w:r w:rsidR="00371857">
        <w:rPr>
          <w:lang w:val="en-AU"/>
        </w:rPr>
        <w:t>coincide</w:t>
      </w:r>
      <w:r w:rsidR="003652BD">
        <w:rPr>
          <w:lang w:val="en-AU"/>
        </w:rPr>
        <w:t>s</w:t>
      </w:r>
      <w:r w:rsidR="00371857">
        <w:rPr>
          <w:lang w:val="en-AU"/>
        </w:rPr>
        <w:t xml:space="preserve"> with the results </w:t>
      </w:r>
      <w:r w:rsidR="00E31388">
        <w:rPr>
          <w:lang w:val="en-AU"/>
        </w:rPr>
        <w:t xml:space="preserve">presented </w:t>
      </w:r>
      <w:r w:rsidR="00371857">
        <w:rPr>
          <w:lang w:val="en-AU"/>
        </w:rPr>
        <w:t xml:space="preserve">in </w:t>
      </w:r>
      <w:r w:rsidR="000D227F">
        <w:rPr>
          <w:lang w:val="en-AU"/>
        </w:rPr>
        <w:t>[3]</w:t>
      </w:r>
      <w:r w:rsidR="00371857">
        <w:rPr>
          <w:lang w:val="en-AU"/>
        </w:rPr>
        <w:t>.</w:t>
      </w:r>
    </w:p>
    <w:p w14:paraId="3BA5AD7C" w14:textId="14660A90" w:rsidR="00F35895" w:rsidRDefault="004F1073" w:rsidP="00193EF1">
      <w:pPr>
        <w:pStyle w:val="BodyText"/>
        <w:rPr>
          <w:lang w:val="en-AU"/>
        </w:rPr>
      </w:pPr>
      <w:r>
        <w:rPr>
          <w:lang w:val="en-AU"/>
        </w:rPr>
        <w:t xml:space="preserve">Rotational invariance is </w:t>
      </w:r>
      <w:r w:rsidR="001814C9">
        <w:rPr>
          <w:lang w:val="en-AU"/>
        </w:rPr>
        <w:t xml:space="preserve">(theoretically) </w:t>
      </w:r>
      <w:r>
        <w:rPr>
          <w:lang w:val="en-AU"/>
        </w:rPr>
        <w:t xml:space="preserve">achieved </w:t>
      </w:r>
      <w:r w:rsidR="00EA651B">
        <w:rPr>
          <w:lang w:val="en-AU"/>
        </w:rPr>
        <w:t>since keypoint detection only considers the magnitude of the</w:t>
      </w:r>
      <w:r w:rsidR="00640336">
        <w:rPr>
          <w:lang w:val="en-AU"/>
        </w:rPr>
        <w:t xml:space="preserve"> difference of Gaussians (which is</w:t>
      </w:r>
      <w:r w:rsidR="005A48C7">
        <w:rPr>
          <w:lang w:val="en-AU"/>
        </w:rPr>
        <w:t xml:space="preserve"> </w:t>
      </w:r>
      <w:r w:rsidR="00C91341">
        <w:rPr>
          <w:lang w:val="en-AU"/>
        </w:rPr>
        <w:t>isotropic</w:t>
      </w:r>
      <w:r w:rsidR="00640336">
        <w:rPr>
          <w:lang w:val="en-AU"/>
        </w:rPr>
        <w:t>)</w:t>
      </w:r>
      <w:r w:rsidR="00C53C43">
        <w:rPr>
          <w:lang w:val="en-AU"/>
        </w:rPr>
        <w:t xml:space="preserve"> [3</w:t>
      </w:r>
      <w:r w:rsidR="00CE5C06">
        <w:rPr>
          <w:lang w:val="en-AU"/>
        </w:rPr>
        <w:t>, 4</w:t>
      </w:r>
      <w:r w:rsidR="00A24D21">
        <w:rPr>
          <w:lang w:val="en-AU"/>
        </w:rPr>
        <w:t>]</w:t>
      </w:r>
      <w:r w:rsidR="00640336">
        <w:rPr>
          <w:lang w:val="en-AU"/>
        </w:rPr>
        <w:t xml:space="preserve">. </w:t>
      </w:r>
      <w:r w:rsidR="00910F67">
        <w:rPr>
          <w:lang w:val="en-AU"/>
        </w:rPr>
        <w:t xml:space="preserve">The experimental results are </w:t>
      </w:r>
      <w:r w:rsidR="00652CA5">
        <w:rPr>
          <w:lang w:val="en-AU"/>
        </w:rPr>
        <w:t>summarised</w:t>
      </w:r>
      <w:r w:rsidR="00910F67">
        <w:rPr>
          <w:lang w:val="en-AU"/>
        </w:rPr>
        <w:t xml:space="preserve"> in </w:t>
      </w:r>
      <w:r w:rsidR="00EC24BD">
        <w:rPr>
          <w:lang w:val="en-AU"/>
        </w:rPr>
        <w:t>F</w:t>
      </w:r>
      <w:r w:rsidR="00910F67">
        <w:rPr>
          <w:lang w:val="en-AU"/>
        </w:rPr>
        <w:t>ig</w:t>
      </w:r>
      <w:r w:rsidR="00EC24BD">
        <w:rPr>
          <w:lang w:val="en-AU"/>
        </w:rPr>
        <w:t>.</w:t>
      </w:r>
      <w:r w:rsidR="00910F67">
        <w:rPr>
          <w:lang w:val="en-AU"/>
        </w:rPr>
        <w:t xml:space="preserve"> 6.</w:t>
      </w:r>
      <w:r w:rsidR="00EC24BD">
        <w:rPr>
          <w:lang w:val="en-AU"/>
        </w:rPr>
        <w:t xml:space="preserve"> </w:t>
      </w:r>
      <w:r w:rsidR="00EA651B">
        <w:rPr>
          <w:lang w:val="en-AU"/>
        </w:rPr>
        <w:t>Surprisingly, only about</w:t>
      </w:r>
      <w:r w:rsidR="00EC24BD">
        <w:rPr>
          <w:lang w:val="en-AU"/>
        </w:rPr>
        <w:t xml:space="preserve"> 65-75% of keypoints from the original image region are </w:t>
      </w:r>
      <w:r w:rsidR="00F3530A">
        <w:rPr>
          <w:lang w:val="en-AU"/>
        </w:rPr>
        <w:t>present</w:t>
      </w:r>
      <w:r w:rsidR="00EC24BD">
        <w:rPr>
          <w:lang w:val="en-AU"/>
        </w:rPr>
        <w:t xml:space="preserve"> in the rotated versions</w:t>
      </w:r>
      <w:r w:rsidR="006E5225">
        <w:rPr>
          <w:lang w:val="en-AU"/>
        </w:rPr>
        <w:t>.</w:t>
      </w:r>
      <w:r w:rsidR="00F343D3" w:rsidRPr="00F343D3">
        <w:t xml:space="preserve"> </w:t>
      </w:r>
      <w:r w:rsidR="00F343D3">
        <w:rPr>
          <w:lang w:val="en-AU"/>
        </w:rPr>
        <w:t>M</w:t>
      </w:r>
      <w:r w:rsidR="00F343D3" w:rsidRPr="00F343D3">
        <w:rPr>
          <w:lang w:val="en-AU"/>
        </w:rPr>
        <w:t>y only explanation as to why such a large proportion of keypoints did not match is that it is as a result of the image resampling during rotation, especially given that the image region is small</w:t>
      </w:r>
      <w:r w:rsidR="00A264E0">
        <w:rPr>
          <w:lang w:val="en-AU"/>
        </w:rPr>
        <w:t>, however, I am unsure</w:t>
      </w:r>
      <w:r w:rsidR="00F343D3">
        <w:rPr>
          <w:lang w:val="en-AU"/>
        </w:rPr>
        <w:t>.</w:t>
      </w:r>
      <w:r w:rsidR="006E5225">
        <w:rPr>
          <w:lang w:val="en-AU"/>
        </w:rPr>
        <w:t xml:space="preserve"> </w:t>
      </w:r>
      <w:r w:rsidR="00A264E0">
        <w:rPr>
          <w:lang w:val="en-AU"/>
        </w:rPr>
        <w:t>I</w:t>
      </w:r>
      <w:r w:rsidR="006E5225">
        <w:rPr>
          <w:lang w:val="en-AU"/>
        </w:rPr>
        <w:t>t seems plausible that</w:t>
      </w:r>
      <w:r w:rsidR="00F343D3">
        <w:rPr>
          <w:lang w:val="en-AU"/>
        </w:rPr>
        <w:t xml:space="preserve"> a more complex explanation exists, </w:t>
      </w:r>
      <w:r w:rsidR="006E5225">
        <w:rPr>
          <w:lang w:val="en-AU"/>
        </w:rPr>
        <w:t>due to the many steps in the SIFT algorithm.</w:t>
      </w:r>
    </w:p>
    <w:p w14:paraId="78EB21BC" w14:textId="163C9FC3" w:rsidR="00762EB6" w:rsidRDefault="00762EB6" w:rsidP="00193EF1">
      <w:pPr>
        <w:pStyle w:val="BodyText"/>
        <w:rPr>
          <w:lang w:val="en-AU"/>
        </w:rPr>
      </w:pPr>
      <w:r>
        <w:rPr>
          <w:lang w:val="en-AU"/>
        </w:rPr>
        <w:t xml:space="preserve">The keypoint-annotated images are omitted for </w:t>
      </w:r>
      <w:r w:rsidR="005E0373">
        <w:rPr>
          <w:lang w:val="en-AU"/>
        </w:rPr>
        <w:t>brevity but</w:t>
      </w:r>
      <w:r>
        <w:rPr>
          <w:lang w:val="en-AU"/>
        </w:rPr>
        <w:t xml:space="preserve"> may be reproduced using the code in Appendix 1.</w:t>
      </w:r>
      <w:r w:rsidR="005E0373">
        <w:rPr>
          <w:lang w:val="en-AU"/>
        </w:rPr>
        <w:t xml:space="preserve"> The experimental results for the playing card image are similar and may be reproduced using the same code.</w:t>
      </w:r>
    </w:p>
    <w:p w14:paraId="63183E56" w14:textId="70B99EF8" w:rsidR="009303D9" w:rsidRPr="006B6B66" w:rsidRDefault="009303D9" w:rsidP="006B6B66">
      <w:pPr>
        <w:pStyle w:val="Heading1"/>
      </w:pPr>
      <w:r w:rsidRPr="006B6B66">
        <w:t>Ease of Use</w:t>
      </w:r>
    </w:p>
    <w:p w14:paraId="341C65A0" w14:textId="4A297003" w:rsidR="009303D9" w:rsidRDefault="009303D9" w:rsidP="00ED0149">
      <w:pPr>
        <w:pStyle w:val="Heading2"/>
      </w:pPr>
      <w:r>
        <w:t xml:space="preserve">Selecting a </w:t>
      </w:r>
      <w:r w:rsidRPr="00F271DE">
        <w:t>Template</w:t>
      </w:r>
      <w:r>
        <w:t xml:space="preserve"> (Heading 2)</w:t>
      </w:r>
    </w:p>
    <w:p w14:paraId="407372AF" w14:textId="5F832D8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0368F6" w14:textId="466E057E" w:rsidR="009303D9" w:rsidRPr="005B520E" w:rsidRDefault="009303D9" w:rsidP="00ED0149">
      <w:pPr>
        <w:pStyle w:val="Heading2"/>
      </w:pPr>
      <w:r w:rsidRPr="005B520E">
        <w:t>Maintaining the Integrity of the Specifications</w:t>
      </w:r>
    </w:p>
    <w:p w14:paraId="25DE607D" w14:textId="41CAB0F0"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F285AF3" w14:textId="0097362B" w:rsidR="009303D9" w:rsidRDefault="009303D9" w:rsidP="006B6B66">
      <w:pPr>
        <w:pStyle w:val="Heading1"/>
      </w:pPr>
      <w:r>
        <w:t xml:space="preserve">Prepare Your Paper </w:t>
      </w:r>
      <w:r w:rsidRPr="005B520E">
        <w:t>Before</w:t>
      </w:r>
      <w:r>
        <w:t xml:space="preserve"> Styling</w:t>
      </w:r>
    </w:p>
    <w:p w14:paraId="2A35F751" w14:textId="244E31CB"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35DAC80" w14:textId="4CA3229D"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AF8EAD" w14:textId="04E296F6" w:rsidR="009303D9" w:rsidRDefault="009303D9" w:rsidP="00ED0149">
      <w:pPr>
        <w:pStyle w:val="Heading2"/>
      </w:pPr>
      <w:r w:rsidRPr="00ED0149">
        <w:t>Abbreviations</w:t>
      </w:r>
      <w:r>
        <w:t xml:space="preserve"> and Acronyms</w:t>
      </w:r>
    </w:p>
    <w:p w14:paraId="49017D81" w14:textId="6DF40B12" w:rsidR="009303D9" w:rsidRPr="005B520E" w:rsidRDefault="00B07E0F" w:rsidP="00E7596C">
      <w:pPr>
        <w:pStyle w:val="BodyText"/>
      </w:pPr>
      <w:r w:rsidRPr="00CF57D2">
        <w:rPr>
          <w:noProof/>
          <w:lang w:val="en-AU"/>
        </w:rPr>
        <w:drawing>
          <wp:anchor distT="45720" distB="45720" distL="114300" distR="114300" simplePos="0" relativeHeight="251689472" behindDoc="0" locked="0" layoutInCell="1" allowOverlap="1" wp14:anchorId="5DEE9F7D" wp14:editId="444B021D">
            <wp:simplePos x="0" y="0"/>
            <wp:positionH relativeFrom="margin">
              <wp:posOffset>1617167</wp:posOffset>
            </wp:positionH>
            <wp:positionV relativeFrom="page">
              <wp:posOffset>1987778</wp:posOffset>
            </wp:positionV>
            <wp:extent cx="1463040" cy="476250"/>
            <wp:effectExtent l="0" t="0" r="3810" b="0"/>
            <wp:wrapTopAndBottom/>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2110950D" w14:textId="623B5C22" w:rsidR="003525D7" w:rsidRDefault="003525D7" w:rsidP="003525D7">
                        <w:pPr>
                          <w:pStyle w:val="Caption"/>
                        </w:pPr>
                        <w:r>
                          <w:t>Fig</w:t>
                        </w:r>
                        <w:r w:rsidR="00777223">
                          <w:t>.</w:t>
                        </w:r>
                        <w:r>
                          <w:t xml:space="preserve"> 6. Summary of SIFT keypoints from a region of the dugong image at varying rotations.</w:t>
                        </w:r>
                      </w:p>
                      <w:p w14:paraId="1432DF7A" w14:textId="77777777" w:rsidR="003525D7" w:rsidRDefault="003525D7" w:rsidP="003525D7">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Pr="00CF57D2">
        <w:rPr>
          <w:noProof/>
          <w:lang w:val="en-AU"/>
        </w:rPr>
        <w:drawing>
          <wp:anchor distT="45720" distB="45720" distL="114300" distR="114300" simplePos="0" relativeHeight="251687424" behindDoc="0" locked="0" layoutInCell="1" allowOverlap="1" wp14:anchorId="632B4296" wp14:editId="7FF36E52">
            <wp:simplePos x="0" y="0"/>
            <wp:positionH relativeFrom="margin">
              <wp:align>left</wp:align>
            </wp:positionH>
            <wp:positionV relativeFrom="page">
              <wp:posOffset>1992528</wp:posOffset>
            </wp:positionV>
            <wp:extent cx="1463040" cy="476250"/>
            <wp:effectExtent l="0" t="0" r="3810" b="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37D0DDC3" w14:textId="67603D73" w:rsidR="00CF57D2" w:rsidRDefault="00CF57D2" w:rsidP="00CF57D2">
                        <w:pPr>
                          <w:pStyle w:val="Caption"/>
                        </w:pPr>
                        <w:r>
                          <w:t>Fig</w:t>
                        </w:r>
                        <w:r w:rsidR="00777223">
                          <w:t>.</w:t>
                        </w:r>
                        <w:r>
                          <w:t xml:space="preserve"> </w:t>
                        </w:r>
                        <w:r w:rsidR="008D3EAB">
                          <w:t>5</w:t>
                        </w:r>
                        <w:r>
                          <w:t xml:space="preserve">. Summary of SIFT keypoints from </w:t>
                        </w:r>
                        <w:r w:rsidR="008D3EAB">
                          <w:t xml:space="preserve">a region of the dugong image at </w:t>
                        </w:r>
                        <w:r w:rsidR="003525D7">
                          <w:t>varying</w:t>
                        </w:r>
                        <w:r w:rsidR="008D3EAB">
                          <w:t xml:space="preserve"> scales</w:t>
                        </w:r>
                        <w:r>
                          <w:t>.</w:t>
                        </w:r>
                      </w:p>
                      <w:p w14:paraId="14ECF328" w14:textId="20AFF964" w:rsidR="00CF57D2" w:rsidRDefault="00CF57D2" w:rsidP="00CF57D2">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009303D9"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938A50A" w14:textId="1F2B489B" w:rsidR="009303D9" w:rsidRDefault="009303D9" w:rsidP="00ED0149">
      <w:pPr>
        <w:pStyle w:val="Heading2"/>
      </w:pPr>
      <w:r>
        <w:t>Units</w:t>
      </w:r>
    </w:p>
    <w:p w14:paraId="6D204F0A" w14:textId="06E3104A"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B852DBE" w14:textId="74413DDE"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F389649" w14:textId="5464DFD5"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BE185E3" w14:textId="50C35AF2"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5DA0485" w14:textId="77777777" w:rsidR="009303D9" w:rsidRPr="005B520E" w:rsidRDefault="009303D9" w:rsidP="00ED0149">
      <w:pPr>
        <w:pStyle w:val="Heading2"/>
      </w:pPr>
      <w:r w:rsidRPr="005B520E">
        <w:t>Equations</w:t>
      </w:r>
    </w:p>
    <w:p w14:paraId="07EC3ED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D34178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78345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87CEFAE" w14:textId="77777777" w:rsidR="009303D9" w:rsidRDefault="009303D9" w:rsidP="00E7596C">
      <w:pPr>
        <w:pStyle w:val="BodyText"/>
      </w:pPr>
      <w:r>
        <w:t xml:space="preserve">Note that the equation is centered using a center tab stop. Be sure that the symbols in your equation have been defined </w:t>
      </w:r>
      <w:r>
        <w:lastRenderedPageBreak/>
        <w:t>before or immediately following the equation. Use “(1)”, not “Eq. (1)” or “equation (1)”, except at the beginning of a sentence: “Equation (1) is . . .”</w:t>
      </w:r>
    </w:p>
    <w:p w14:paraId="6C03CCA3" w14:textId="77777777" w:rsidR="009303D9" w:rsidRDefault="009303D9" w:rsidP="00ED0149">
      <w:pPr>
        <w:pStyle w:val="Heading2"/>
      </w:pPr>
      <w:r>
        <w:t>Some Common Mistakes</w:t>
      </w:r>
    </w:p>
    <w:p w14:paraId="68CE6EBE" w14:textId="77777777" w:rsidR="009303D9" w:rsidRPr="005B520E" w:rsidRDefault="009303D9" w:rsidP="00E7596C">
      <w:pPr>
        <w:pStyle w:val="bulletlist"/>
      </w:pPr>
      <w:r w:rsidRPr="005B520E">
        <w:t>The word “data” is plural, not singular.</w:t>
      </w:r>
    </w:p>
    <w:p w14:paraId="527B4DA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F5F0FA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E9646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0BD5CE6" w14:textId="77777777" w:rsidR="009303D9" w:rsidRPr="005B520E" w:rsidRDefault="009303D9" w:rsidP="00E7596C">
      <w:pPr>
        <w:pStyle w:val="bulletlist"/>
      </w:pPr>
      <w:r w:rsidRPr="005B520E">
        <w:t>Do not use the word “essentially” to mean “approximately” or “effectively”.</w:t>
      </w:r>
    </w:p>
    <w:p w14:paraId="7BA18DB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C76F9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111CB41" w14:textId="77777777" w:rsidR="009303D9" w:rsidRPr="005B520E" w:rsidRDefault="009303D9" w:rsidP="00E7596C">
      <w:pPr>
        <w:pStyle w:val="bulletlist"/>
      </w:pPr>
      <w:r w:rsidRPr="005B520E">
        <w:t>Do not confuse “imply” and “infer”.</w:t>
      </w:r>
    </w:p>
    <w:p w14:paraId="42AF41C6" w14:textId="77777777" w:rsidR="009303D9" w:rsidRPr="005B520E" w:rsidRDefault="009303D9" w:rsidP="00E7596C">
      <w:pPr>
        <w:pStyle w:val="bulletlist"/>
      </w:pPr>
      <w:r w:rsidRPr="005B520E">
        <w:t>The prefix “non” is not a word; it should be joined to the word it modifies, usually without a hyphen.</w:t>
      </w:r>
    </w:p>
    <w:p w14:paraId="587B1581" w14:textId="77777777" w:rsidR="009303D9" w:rsidRPr="005B520E" w:rsidRDefault="009303D9" w:rsidP="00E7596C">
      <w:pPr>
        <w:pStyle w:val="bulletlist"/>
      </w:pPr>
      <w:r w:rsidRPr="005B520E">
        <w:t>There is no period after the “et” in the Latin abbreviation “et al.”.</w:t>
      </w:r>
    </w:p>
    <w:p w14:paraId="04F4E822" w14:textId="77777777" w:rsidR="009303D9" w:rsidRPr="005B520E" w:rsidRDefault="009303D9" w:rsidP="00E7596C">
      <w:pPr>
        <w:pStyle w:val="bulletlist"/>
      </w:pPr>
      <w:r w:rsidRPr="005B520E">
        <w:t>The abbreviation “i.e.” means “that is”, and the abbreviation “e.g.” means “for example”.</w:t>
      </w:r>
    </w:p>
    <w:p w14:paraId="427A13E7" w14:textId="77777777" w:rsidR="009303D9" w:rsidRPr="005B520E" w:rsidRDefault="009303D9" w:rsidP="00E7596C">
      <w:pPr>
        <w:pStyle w:val="BodyText"/>
      </w:pPr>
      <w:r w:rsidRPr="005B520E">
        <w:t>An excellent style manual for science writers is [7].</w:t>
      </w:r>
    </w:p>
    <w:p w14:paraId="605A5D8E" w14:textId="77777777" w:rsidR="009303D9" w:rsidRDefault="009303D9" w:rsidP="006B6B66">
      <w:pPr>
        <w:pStyle w:val="Heading1"/>
      </w:pPr>
      <w:r>
        <w:t xml:space="preserve">Using the </w:t>
      </w:r>
      <w:r w:rsidRPr="005B520E">
        <w:t>Template</w:t>
      </w:r>
    </w:p>
    <w:p w14:paraId="05C40C3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D158EF1" w14:textId="77777777" w:rsidR="009303D9" w:rsidRDefault="009303D9" w:rsidP="00ED0149">
      <w:pPr>
        <w:pStyle w:val="Heading2"/>
      </w:pPr>
      <w:r w:rsidRPr="005B520E">
        <w:t>Authors</w:t>
      </w:r>
      <w:r>
        <w:t xml:space="preserve"> and Affiliations</w:t>
      </w:r>
    </w:p>
    <w:p w14:paraId="4F19A22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w:t>
      </w:r>
      <w:r w:rsidR="00D7522C">
        <w:t>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56E432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213F81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21E6B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69D028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77AFA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A9B01CB" w14:textId="77777777" w:rsidR="006F6D3D" w:rsidRDefault="006F6D3D" w:rsidP="006F6D3D">
      <w:pPr>
        <w:jc w:val="start"/>
        <w:rPr>
          <w:i/>
          <w:iCs/>
          <w:noProof/>
        </w:rPr>
      </w:pPr>
    </w:p>
    <w:p w14:paraId="27A0BE4F" w14:textId="77777777" w:rsidR="009303D9" w:rsidRDefault="009303D9" w:rsidP="00ED0149">
      <w:pPr>
        <w:pStyle w:val="Heading2"/>
      </w:pPr>
      <w:r w:rsidRPr="005B520E">
        <w:t>Identify</w:t>
      </w:r>
      <w:r>
        <w:t xml:space="preserve"> the Headings</w:t>
      </w:r>
    </w:p>
    <w:p w14:paraId="5CB1B66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8AEDE1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789ED7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66FBE3" w14:textId="77777777" w:rsidR="009303D9" w:rsidRDefault="009303D9" w:rsidP="00ED0149">
      <w:pPr>
        <w:pStyle w:val="Heading2"/>
      </w:pPr>
      <w:r>
        <w:t>Figures and Tables</w:t>
      </w:r>
    </w:p>
    <w:p w14:paraId="46DA2CA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AEEC4F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71335C5" w14:textId="77777777">
        <w:trPr>
          <w:cantSplit/>
          <w:trHeight w:val="240"/>
          <w:tblHeader/>
          <w:jc w:val="center"/>
        </w:trPr>
        <w:tc>
          <w:tcPr>
            <w:tcW w:w="36pt" w:type="dxa"/>
            <w:vMerge w:val="restart"/>
            <w:vAlign w:val="center"/>
          </w:tcPr>
          <w:p w14:paraId="75067B69" w14:textId="77777777" w:rsidR="009303D9" w:rsidRDefault="009303D9">
            <w:pPr>
              <w:pStyle w:val="tablecolhead"/>
            </w:pPr>
            <w:r>
              <w:t>Table Head</w:t>
            </w:r>
          </w:p>
        </w:tc>
        <w:tc>
          <w:tcPr>
            <w:tcW w:w="207pt" w:type="dxa"/>
            <w:gridSpan w:val="3"/>
            <w:vAlign w:val="center"/>
          </w:tcPr>
          <w:p w14:paraId="14B962E2" w14:textId="77777777" w:rsidR="009303D9" w:rsidRDefault="009303D9">
            <w:pPr>
              <w:pStyle w:val="tablecolhead"/>
            </w:pPr>
            <w:r>
              <w:t>Table Column Head</w:t>
            </w:r>
          </w:p>
        </w:tc>
      </w:tr>
      <w:tr w:rsidR="009303D9" w14:paraId="4707884C" w14:textId="77777777">
        <w:trPr>
          <w:cantSplit/>
          <w:trHeight w:val="240"/>
          <w:tblHeader/>
          <w:jc w:val="center"/>
        </w:trPr>
        <w:tc>
          <w:tcPr>
            <w:tcW w:w="36pt" w:type="dxa"/>
            <w:vMerge/>
          </w:tcPr>
          <w:p w14:paraId="27028CDA" w14:textId="77777777" w:rsidR="009303D9" w:rsidRDefault="009303D9">
            <w:pPr>
              <w:rPr>
                <w:sz w:val="16"/>
                <w:szCs w:val="16"/>
              </w:rPr>
            </w:pPr>
          </w:p>
        </w:tc>
        <w:tc>
          <w:tcPr>
            <w:tcW w:w="117pt" w:type="dxa"/>
            <w:vAlign w:val="center"/>
          </w:tcPr>
          <w:p w14:paraId="27E24935" w14:textId="77777777" w:rsidR="009303D9" w:rsidRDefault="009303D9">
            <w:pPr>
              <w:pStyle w:val="tablecolsubhead"/>
            </w:pPr>
            <w:r>
              <w:t>Table column subhead</w:t>
            </w:r>
          </w:p>
        </w:tc>
        <w:tc>
          <w:tcPr>
            <w:tcW w:w="45pt" w:type="dxa"/>
            <w:vAlign w:val="center"/>
          </w:tcPr>
          <w:p w14:paraId="2F1F5111" w14:textId="77777777" w:rsidR="009303D9" w:rsidRDefault="009303D9">
            <w:pPr>
              <w:pStyle w:val="tablecolsubhead"/>
            </w:pPr>
            <w:r>
              <w:t>Subhead</w:t>
            </w:r>
          </w:p>
        </w:tc>
        <w:tc>
          <w:tcPr>
            <w:tcW w:w="45pt" w:type="dxa"/>
            <w:vAlign w:val="center"/>
          </w:tcPr>
          <w:p w14:paraId="5F75D8B5" w14:textId="77777777" w:rsidR="009303D9" w:rsidRDefault="009303D9">
            <w:pPr>
              <w:pStyle w:val="tablecolsubhead"/>
            </w:pPr>
            <w:r>
              <w:t>Subhead</w:t>
            </w:r>
          </w:p>
        </w:tc>
      </w:tr>
      <w:tr w:rsidR="009303D9" w14:paraId="1504EF61" w14:textId="77777777">
        <w:trPr>
          <w:trHeight w:val="320"/>
          <w:jc w:val="center"/>
        </w:trPr>
        <w:tc>
          <w:tcPr>
            <w:tcW w:w="36pt" w:type="dxa"/>
            <w:vAlign w:val="center"/>
          </w:tcPr>
          <w:p w14:paraId="07049EB5" w14:textId="77777777" w:rsidR="009303D9" w:rsidRDefault="009303D9">
            <w:pPr>
              <w:pStyle w:val="tablecopy"/>
              <w:rPr>
                <w:sz w:val="8"/>
                <w:szCs w:val="8"/>
              </w:rPr>
            </w:pPr>
            <w:r>
              <w:t>copy</w:t>
            </w:r>
          </w:p>
        </w:tc>
        <w:tc>
          <w:tcPr>
            <w:tcW w:w="117pt" w:type="dxa"/>
            <w:vAlign w:val="center"/>
          </w:tcPr>
          <w:p w14:paraId="57494A16" w14:textId="77777777" w:rsidR="009303D9" w:rsidRDefault="009303D9">
            <w:pPr>
              <w:pStyle w:val="tablecopy"/>
            </w:pPr>
            <w:r>
              <w:t>More table copy</w:t>
            </w:r>
            <w:r>
              <w:rPr>
                <w:vertAlign w:val="superscript"/>
              </w:rPr>
              <w:t>a</w:t>
            </w:r>
          </w:p>
        </w:tc>
        <w:tc>
          <w:tcPr>
            <w:tcW w:w="45pt" w:type="dxa"/>
            <w:vAlign w:val="center"/>
          </w:tcPr>
          <w:p w14:paraId="31AC2102" w14:textId="77777777" w:rsidR="009303D9" w:rsidRDefault="009303D9">
            <w:pPr>
              <w:rPr>
                <w:sz w:val="16"/>
                <w:szCs w:val="16"/>
              </w:rPr>
            </w:pPr>
          </w:p>
        </w:tc>
        <w:tc>
          <w:tcPr>
            <w:tcW w:w="45pt" w:type="dxa"/>
            <w:vAlign w:val="center"/>
          </w:tcPr>
          <w:p w14:paraId="337B1C99" w14:textId="77777777" w:rsidR="009303D9" w:rsidRDefault="009303D9">
            <w:pPr>
              <w:rPr>
                <w:sz w:val="16"/>
                <w:szCs w:val="16"/>
              </w:rPr>
            </w:pPr>
          </w:p>
        </w:tc>
      </w:tr>
    </w:tbl>
    <w:p w14:paraId="79600EE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28129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D5D71D6"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4E4EFE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DD3CCCD"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164BF8C" w14:textId="77777777" w:rsidR="009303D9" w:rsidRDefault="009303D9" w:rsidP="00A059B3">
      <w:pPr>
        <w:pStyle w:val="Heading5"/>
      </w:pPr>
      <w:r w:rsidRPr="005B520E">
        <w:t>References</w:t>
      </w:r>
    </w:p>
    <w:p w14:paraId="5115271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3887C6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6199BB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F769D1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7508EB" w14:textId="77777777" w:rsidR="009303D9" w:rsidRPr="005B520E" w:rsidRDefault="009303D9"/>
    <w:p w14:paraId="08E3F49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2A264F" w14:textId="77777777" w:rsidR="009303D9" w:rsidRDefault="009303D9" w:rsidP="0004781E">
      <w:pPr>
        <w:pStyle w:val="references"/>
        <w:ind w:start="17.70pt" w:hanging="17.70pt"/>
      </w:pPr>
      <w:r>
        <w:t>J. Clerk Maxwell, A Treatise on Electricity and Magnetism, 3rd ed., vol. 2. Oxford: Clarendon, 1892, pp.68–73.</w:t>
      </w:r>
    </w:p>
    <w:p w14:paraId="680C710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059DD15" w14:textId="77777777" w:rsidR="009303D9" w:rsidRDefault="009303D9" w:rsidP="0004781E">
      <w:pPr>
        <w:pStyle w:val="references"/>
        <w:ind w:start="17.70pt" w:hanging="17.70pt"/>
      </w:pPr>
      <w:r>
        <w:t>K. Elissa, “Title of paper if known,” unpublished.</w:t>
      </w:r>
    </w:p>
    <w:p w14:paraId="528354E8" w14:textId="77777777" w:rsidR="009303D9" w:rsidRDefault="009303D9" w:rsidP="0004781E">
      <w:pPr>
        <w:pStyle w:val="references"/>
        <w:ind w:start="17.70pt" w:hanging="17.70pt"/>
      </w:pPr>
      <w:r>
        <w:t>R. Nicole, “Title of paper with only first word capitalized,” J. Name Stand. Abbrev., in press.</w:t>
      </w:r>
    </w:p>
    <w:p w14:paraId="135D1FCD"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699B4F1" w14:textId="77777777" w:rsidR="009303D9" w:rsidRDefault="009303D9" w:rsidP="0004781E">
      <w:pPr>
        <w:pStyle w:val="references"/>
        <w:ind w:start="17.70pt" w:hanging="17.70pt"/>
      </w:pPr>
      <w:r>
        <w:t>M. Young, The Technical Writer</w:t>
      </w:r>
      <w:r w:rsidR="00E7596C">
        <w:t>’</w:t>
      </w:r>
      <w:r>
        <w:t>s Handbook. Mill Valley, CA: University Science, 1989.</w:t>
      </w:r>
    </w:p>
    <w:p w14:paraId="01BF679B" w14:textId="77777777" w:rsidR="009303D9" w:rsidRDefault="009303D9" w:rsidP="00836367">
      <w:pPr>
        <w:pStyle w:val="references"/>
        <w:numPr>
          <w:ilvl w:val="0"/>
          <w:numId w:val="0"/>
        </w:numPr>
        <w:ind w:start="18pt" w:hanging="18pt"/>
      </w:pPr>
    </w:p>
    <w:p w14:paraId="26F6681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F417780" w14:textId="77777777" w:rsidR="007221F6" w:rsidRDefault="007221F6">
      <w:pPr>
        <w:jc w:val="start"/>
      </w:pPr>
      <w:r>
        <w:br w:type="page"/>
      </w:r>
    </w:p>
    <w:p w14:paraId="57E8BB6C" w14:textId="3FE1B47E" w:rsidR="00D318E3" w:rsidRDefault="007221F6" w:rsidP="005C0C2C">
      <w:pPr>
        <w:pStyle w:val="Heading5"/>
      </w:pPr>
      <w:r>
        <w:lastRenderedPageBreak/>
        <w:t>References</w:t>
      </w:r>
    </w:p>
    <w:p w14:paraId="715B9DBC" w14:textId="1F564AB7" w:rsidR="007221F6" w:rsidRDefault="007221F6" w:rsidP="00D362AB">
      <w:pPr>
        <w:ind w:start="28.35pt" w:hanging="28.35pt"/>
        <w:jc w:val="both"/>
      </w:pPr>
      <w:r>
        <w:t>[</w:t>
      </w:r>
      <w:r w:rsidR="0064611B">
        <w:t>1</w:t>
      </w:r>
      <w:r>
        <w:t>]</w:t>
      </w:r>
      <w:r w:rsidR="00D362AB">
        <w:tab/>
        <w:t xml:space="preserve">C. Harris and M. Stephens, “A combined corner and edge detector,” </w:t>
      </w:r>
      <w:r w:rsidR="00D362AB">
        <w:rPr>
          <w:i/>
          <w:iCs/>
        </w:rPr>
        <w:t>Alvey Vision Conference</w:t>
      </w:r>
      <w:r w:rsidR="00D362AB">
        <w:t>, vol. 15, no. 50, pp. 147-151</w:t>
      </w:r>
      <w:r w:rsidR="000D12E9">
        <w:t>, 1988.</w:t>
      </w:r>
    </w:p>
    <w:p w14:paraId="5D4D4C1F" w14:textId="77777777" w:rsidR="005C0C2C" w:rsidRDefault="005C0C2C" w:rsidP="00D362AB">
      <w:pPr>
        <w:ind w:start="28.35pt" w:hanging="28.35pt"/>
        <w:jc w:val="both"/>
      </w:pPr>
    </w:p>
    <w:p w14:paraId="71373EE2" w14:textId="2084E61A" w:rsidR="005C0C2C" w:rsidRDefault="005C0C2C" w:rsidP="005C0C2C">
      <w:pPr>
        <w:ind w:start="28.35pt" w:hanging="28.35pt"/>
        <w:jc w:val="both"/>
      </w:pPr>
      <w:r>
        <w:t>[</w:t>
      </w:r>
      <w:r w:rsidR="0064611B">
        <w:t>2</w:t>
      </w:r>
      <w:r>
        <w:t>]</w:t>
      </w:r>
      <w:r>
        <w:tab/>
        <w:t xml:space="preserve">R. </w:t>
      </w:r>
      <w:r w:rsidRPr="00D318E3">
        <w:t>Szeliski</w:t>
      </w:r>
      <w:r>
        <w:t xml:space="preserve">, </w:t>
      </w:r>
      <w:r>
        <w:rPr>
          <w:i/>
          <w:iCs/>
        </w:rPr>
        <w:t>Computer Vision: Algorithms and Applications</w:t>
      </w:r>
      <w:r>
        <w:t>, 2</w:t>
      </w:r>
      <w:r w:rsidRPr="00D318E3">
        <w:rPr>
          <w:vertAlign w:val="superscript"/>
        </w:rPr>
        <w:t>nd</w:t>
      </w:r>
      <w:r>
        <w:t xml:space="preserve"> ed. </w:t>
      </w:r>
      <w:r w:rsidR="00646AAE">
        <w:t>Accessed Sep. 14</w:t>
      </w:r>
      <w:r w:rsidR="00240A20">
        <w:t>,</w:t>
      </w:r>
      <w:r w:rsidR="00646AAE">
        <w:t xml:space="preserve"> </w:t>
      </w:r>
      <w:r>
        <w:t>2020. [</w:t>
      </w:r>
      <w:r w:rsidR="00646AAE">
        <w:t>Online</w:t>
      </w:r>
      <w:r>
        <w:t xml:space="preserve">]. Available: </w:t>
      </w:r>
      <w:r w:rsidR="00A15B09" w:rsidRPr="00A15B09">
        <w:t>http://szeliski.org/Book</w:t>
      </w:r>
      <w:r>
        <w:t>.</w:t>
      </w:r>
    </w:p>
    <w:p w14:paraId="51E41069" w14:textId="77777777" w:rsidR="00A15B09" w:rsidRPr="00D318E3" w:rsidRDefault="00A15B09" w:rsidP="005C0C2C">
      <w:pPr>
        <w:ind w:start="28.35pt" w:hanging="28.35pt"/>
        <w:jc w:val="both"/>
      </w:pPr>
    </w:p>
    <w:p w14:paraId="3F31B69B" w14:textId="17062E3A" w:rsidR="005C0C2C" w:rsidRDefault="00646AAE" w:rsidP="00D362AB">
      <w:pPr>
        <w:ind w:start="28.35pt" w:hanging="28.35pt"/>
        <w:jc w:val="both"/>
      </w:pPr>
      <w:r>
        <w:t>[3]</w:t>
      </w:r>
      <w:r>
        <w:tab/>
        <w:t xml:space="preserve">D. G. Lowe, </w:t>
      </w:r>
      <w:r w:rsidR="00A15B09">
        <w:t>“</w:t>
      </w:r>
      <w:r w:rsidR="00A15B09" w:rsidRPr="00A15B09">
        <w:t>Object recognition from local scale-invariant features</w:t>
      </w:r>
      <w:r w:rsidR="00A15B09">
        <w:t>,”</w:t>
      </w:r>
      <w:r w:rsidR="00D111C6">
        <w:t xml:space="preserve"> in</w:t>
      </w:r>
      <w:r w:rsidR="00A15B09">
        <w:t xml:space="preserve"> </w:t>
      </w:r>
      <w:r w:rsidR="00A15B09" w:rsidRPr="00A15B09">
        <w:rPr>
          <w:i/>
          <w:iCs/>
        </w:rPr>
        <w:t>Proceedings of the Seventh IEEE International Conference on Computer Vision</w:t>
      </w:r>
      <w:r w:rsidR="00D111C6">
        <w:t xml:space="preserve">, 1999, </w:t>
      </w:r>
      <w:r w:rsidR="00D111C6" w:rsidRPr="00D111C6">
        <w:t>pp. 1150-1157 vol.2</w:t>
      </w:r>
      <w:r w:rsidR="00D111C6">
        <w:t xml:space="preserve">, doi: </w:t>
      </w:r>
      <w:r w:rsidR="00D111C6" w:rsidRPr="00D111C6">
        <w:t>10.1109/ICCV.1999.790410</w:t>
      </w:r>
      <w:r w:rsidR="00D111C6">
        <w:t>.</w:t>
      </w:r>
    </w:p>
    <w:p w14:paraId="63281274" w14:textId="76718314" w:rsidR="008476C1" w:rsidRPr="00F63CB7" w:rsidRDefault="008476C1" w:rsidP="00D362AB">
      <w:pPr>
        <w:ind w:start="28.35pt" w:hanging="28.35pt"/>
        <w:jc w:val="both"/>
      </w:pPr>
      <w:r>
        <w:t>[4]</w:t>
      </w:r>
      <w:r>
        <w:tab/>
        <w:t>D. G. Lowe, “Distinctive image features from scale-invariant keypoints,”</w:t>
      </w:r>
      <w:r w:rsidR="006B6A7B">
        <w:t xml:space="preserve"> </w:t>
      </w:r>
      <w:r w:rsidR="006B6A7B">
        <w:rPr>
          <w:i/>
          <w:iCs/>
        </w:rPr>
        <w:t>International Journal of Computer Vision</w:t>
      </w:r>
      <w:r w:rsidR="00F63CB7">
        <w:t>, vol. 60, no. 2, pp. 91-110</w:t>
      </w:r>
      <w:r w:rsidR="00C25A4D">
        <w:t>. Nov. 2004</w:t>
      </w:r>
      <w:r w:rsidR="00027FAA">
        <w:t xml:space="preserve">, doi: </w:t>
      </w:r>
      <w:r w:rsidR="00027FAA" w:rsidRPr="00027FAA">
        <w:t>10.1023/B:VISI.0000029664.99615.94</w:t>
      </w:r>
      <w:r w:rsidR="00027FAA">
        <w:t>.</w:t>
      </w:r>
    </w:p>
    <w:sectPr w:rsidR="008476C1" w:rsidRPr="00F63CB7" w:rsidSect="007221F6">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F921109" w14:textId="77777777" w:rsidR="00DA45AE" w:rsidRDefault="00DA45AE" w:rsidP="001A3B3D">
      <w:r>
        <w:separator/>
      </w:r>
    </w:p>
  </w:endnote>
  <w:endnote w:type="continuationSeparator" w:id="0">
    <w:p w14:paraId="67058680" w14:textId="77777777" w:rsidR="00DA45AE" w:rsidRDefault="00DA45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3F13A4C" w14:textId="29A823D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4A75ECC" w14:textId="77777777" w:rsidR="00DA45AE" w:rsidRDefault="00DA45AE" w:rsidP="001A3B3D">
      <w:r>
        <w:separator/>
      </w:r>
    </w:p>
  </w:footnote>
  <w:footnote w:type="continuationSeparator" w:id="0">
    <w:p w14:paraId="27A1D231" w14:textId="77777777" w:rsidR="00DA45AE" w:rsidRDefault="00DA45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775"/>
    <w:rsid w:val="00027FAA"/>
    <w:rsid w:val="0004781E"/>
    <w:rsid w:val="000606D9"/>
    <w:rsid w:val="000712AA"/>
    <w:rsid w:val="000755A6"/>
    <w:rsid w:val="000830D6"/>
    <w:rsid w:val="0008758A"/>
    <w:rsid w:val="000A3DE8"/>
    <w:rsid w:val="000A5B68"/>
    <w:rsid w:val="000A5C5F"/>
    <w:rsid w:val="000C1E68"/>
    <w:rsid w:val="000C26F6"/>
    <w:rsid w:val="000D12E9"/>
    <w:rsid w:val="000D227F"/>
    <w:rsid w:val="000D38D5"/>
    <w:rsid w:val="000F35E6"/>
    <w:rsid w:val="00131C93"/>
    <w:rsid w:val="00134BE5"/>
    <w:rsid w:val="00140BC2"/>
    <w:rsid w:val="00155A43"/>
    <w:rsid w:val="00160796"/>
    <w:rsid w:val="001814C9"/>
    <w:rsid w:val="00181B46"/>
    <w:rsid w:val="00193EF1"/>
    <w:rsid w:val="001A2EFD"/>
    <w:rsid w:val="001A3B3D"/>
    <w:rsid w:val="001B464A"/>
    <w:rsid w:val="001B67DC"/>
    <w:rsid w:val="001C35AF"/>
    <w:rsid w:val="001F2B81"/>
    <w:rsid w:val="00214F32"/>
    <w:rsid w:val="00223350"/>
    <w:rsid w:val="002254A9"/>
    <w:rsid w:val="00233D97"/>
    <w:rsid w:val="002347A2"/>
    <w:rsid w:val="00240A20"/>
    <w:rsid w:val="00251F64"/>
    <w:rsid w:val="0025516B"/>
    <w:rsid w:val="0028217F"/>
    <w:rsid w:val="002850E3"/>
    <w:rsid w:val="00292A75"/>
    <w:rsid w:val="002A2008"/>
    <w:rsid w:val="00303598"/>
    <w:rsid w:val="00325ADF"/>
    <w:rsid w:val="00337DE2"/>
    <w:rsid w:val="00352373"/>
    <w:rsid w:val="003525D7"/>
    <w:rsid w:val="00354FCF"/>
    <w:rsid w:val="003652BD"/>
    <w:rsid w:val="00371857"/>
    <w:rsid w:val="00386DEF"/>
    <w:rsid w:val="003A08EC"/>
    <w:rsid w:val="003A0D57"/>
    <w:rsid w:val="003A19E2"/>
    <w:rsid w:val="003B031B"/>
    <w:rsid w:val="003B2B40"/>
    <w:rsid w:val="003B4E04"/>
    <w:rsid w:val="003B77B3"/>
    <w:rsid w:val="003C622B"/>
    <w:rsid w:val="003C6A9E"/>
    <w:rsid w:val="003C7F08"/>
    <w:rsid w:val="003F5A08"/>
    <w:rsid w:val="00410330"/>
    <w:rsid w:val="00417AD0"/>
    <w:rsid w:val="00417F49"/>
    <w:rsid w:val="00420716"/>
    <w:rsid w:val="004325FB"/>
    <w:rsid w:val="004432BA"/>
    <w:rsid w:val="0044407E"/>
    <w:rsid w:val="00447BB9"/>
    <w:rsid w:val="0046031D"/>
    <w:rsid w:val="00463528"/>
    <w:rsid w:val="00473AC9"/>
    <w:rsid w:val="00475E42"/>
    <w:rsid w:val="004D72B5"/>
    <w:rsid w:val="004D77B1"/>
    <w:rsid w:val="004F1073"/>
    <w:rsid w:val="004F7989"/>
    <w:rsid w:val="00504828"/>
    <w:rsid w:val="00507224"/>
    <w:rsid w:val="00530FBC"/>
    <w:rsid w:val="00537622"/>
    <w:rsid w:val="00544520"/>
    <w:rsid w:val="00551B7F"/>
    <w:rsid w:val="0056610F"/>
    <w:rsid w:val="00575BCA"/>
    <w:rsid w:val="0058029F"/>
    <w:rsid w:val="005A0158"/>
    <w:rsid w:val="005A48C7"/>
    <w:rsid w:val="005B0344"/>
    <w:rsid w:val="005B520E"/>
    <w:rsid w:val="005C0C2C"/>
    <w:rsid w:val="005C4529"/>
    <w:rsid w:val="005E0373"/>
    <w:rsid w:val="005E2800"/>
    <w:rsid w:val="005F4D77"/>
    <w:rsid w:val="00605825"/>
    <w:rsid w:val="00625E43"/>
    <w:rsid w:val="00640336"/>
    <w:rsid w:val="00645D22"/>
    <w:rsid w:val="0064611B"/>
    <w:rsid w:val="00646AAE"/>
    <w:rsid w:val="00651A08"/>
    <w:rsid w:val="00652CA5"/>
    <w:rsid w:val="00654204"/>
    <w:rsid w:val="0065494E"/>
    <w:rsid w:val="00666D87"/>
    <w:rsid w:val="00670434"/>
    <w:rsid w:val="006A263B"/>
    <w:rsid w:val="006A5D54"/>
    <w:rsid w:val="006B6A7B"/>
    <w:rsid w:val="006B6B66"/>
    <w:rsid w:val="006E5225"/>
    <w:rsid w:val="006F6AE2"/>
    <w:rsid w:val="006F6D3D"/>
    <w:rsid w:val="00715BEA"/>
    <w:rsid w:val="007166CD"/>
    <w:rsid w:val="007221F6"/>
    <w:rsid w:val="00730352"/>
    <w:rsid w:val="00740EEA"/>
    <w:rsid w:val="00762EB6"/>
    <w:rsid w:val="00777223"/>
    <w:rsid w:val="00794804"/>
    <w:rsid w:val="007A2458"/>
    <w:rsid w:val="007A3D09"/>
    <w:rsid w:val="007B33F1"/>
    <w:rsid w:val="007B6DDA"/>
    <w:rsid w:val="007C0308"/>
    <w:rsid w:val="007C2FF2"/>
    <w:rsid w:val="007D6232"/>
    <w:rsid w:val="007E57AC"/>
    <w:rsid w:val="007E7220"/>
    <w:rsid w:val="007F1F99"/>
    <w:rsid w:val="007F768F"/>
    <w:rsid w:val="0080791D"/>
    <w:rsid w:val="00836367"/>
    <w:rsid w:val="008476C1"/>
    <w:rsid w:val="008562D8"/>
    <w:rsid w:val="00873603"/>
    <w:rsid w:val="008929B5"/>
    <w:rsid w:val="0089563A"/>
    <w:rsid w:val="008A059D"/>
    <w:rsid w:val="008A11D4"/>
    <w:rsid w:val="008A2C7D"/>
    <w:rsid w:val="008B4019"/>
    <w:rsid w:val="008B6524"/>
    <w:rsid w:val="008C0C83"/>
    <w:rsid w:val="008C4B23"/>
    <w:rsid w:val="008D3EAB"/>
    <w:rsid w:val="008F6E2C"/>
    <w:rsid w:val="008F70EB"/>
    <w:rsid w:val="009075B5"/>
    <w:rsid w:val="00910F67"/>
    <w:rsid w:val="009303D9"/>
    <w:rsid w:val="00933C64"/>
    <w:rsid w:val="00954E0D"/>
    <w:rsid w:val="0096162D"/>
    <w:rsid w:val="00972203"/>
    <w:rsid w:val="009D5A1B"/>
    <w:rsid w:val="009E53B9"/>
    <w:rsid w:val="009F19A4"/>
    <w:rsid w:val="009F1D79"/>
    <w:rsid w:val="009F23F2"/>
    <w:rsid w:val="009F311A"/>
    <w:rsid w:val="00A0001E"/>
    <w:rsid w:val="00A059B3"/>
    <w:rsid w:val="00A05BA2"/>
    <w:rsid w:val="00A15B09"/>
    <w:rsid w:val="00A1627F"/>
    <w:rsid w:val="00A17B10"/>
    <w:rsid w:val="00A24D21"/>
    <w:rsid w:val="00A264E0"/>
    <w:rsid w:val="00A446F6"/>
    <w:rsid w:val="00A74965"/>
    <w:rsid w:val="00AB4500"/>
    <w:rsid w:val="00AC4CDD"/>
    <w:rsid w:val="00AC6E14"/>
    <w:rsid w:val="00AE3409"/>
    <w:rsid w:val="00AE7863"/>
    <w:rsid w:val="00B07E0F"/>
    <w:rsid w:val="00B11A60"/>
    <w:rsid w:val="00B215CD"/>
    <w:rsid w:val="00B22613"/>
    <w:rsid w:val="00B44A76"/>
    <w:rsid w:val="00B5531F"/>
    <w:rsid w:val="00B56EB6"/>
    <w:rsid w:val="00B630C1"/>
    <w:rsid w:val="00B768D1"/>
    <w:rsid w:val="00BA1025"/>
    <w:rsid w:val="00BC3420"/>
    <w:rsid w:val="00BC4064"/>
    <w:rsid w:val="00BD670B"/>
    <w:rsid w:val="00BE7D3C"/>
    <w:rsid w:val="00BF5FF6"/>
    <w:rsid w:val="00C0207F"/>
    <w:rsid w:val="00C07B98"/>
    <w:rsid w:val="00C12086"/>
    <w:rsid w:val="00C16117"/>
    <w:rsid w:val="00C2345D"/>
    <w:rsid w:val="00C25A4D"/>
    <w:rsid w:val="00C3075A"/>
    <w:rsid w:val="00C4123E"/>
    <w:rsid w:val="00C53C43"/>
    <w:rsid w:val="00C56CB1"/>
    <w:rsid w:val="00C91341"/>
    <w:rsid w:val="00C919A4"/>
    <w:rsid w:val="00CA1122"/>
    <w:rsid w:val="00CA4392"/>
    <w:rsid w:val="00CC393F"/>
    <w:rsid w:val="00CE5C06"/>
    <w:rsid w:val="00CF005F"/>
    <w:rsid w:val="00CF57D2"/>
    <w:rsid w:val="00D03016"/>
    <w:rsid w:val="00D111C6"/>
    <w:rsid w:val="00D13FAF"/>
    <w:rsid w:val="00D153F6"/>
    <w:rsid w:val="00D2176E"/>
    <w:rsid w:val="00D27570"/>
    <w:rsid w:val="00D30FB2"/>
    <w:rsid w:val="00D318E3"/>
    <w:rsid w:val="00D362AB"/>
    <w:rsid w:val="00D442CD"/>
    <w:rsid w:val="00D632BE"/>
    <w:rsid w:val="00D657CF"/>
    <w:rsid w:val="00D72D06"/>
    <w:rsid w:val="00D7522C"/>
    <w:rsid w:val="00D7536F"/>
    <w:rsid w:val="00D76668"/>
    <w:rsid w:val="00D86633"/>
    <w:rsid w:val="00DA45AE"/>
    <w:rsid w:val="00DA7469"/>
    <w:rsid w:val="00DB5F99"/>
    <w:rsid w:val="00DC51EA"/>
    <w:rsid w:val="00E07383"/>
    <w:rsid w:val="00E165BC"/>
    <w:rsid w:val="00E22C8C"/>
    <w:rsid w:val="00E31388"/>
    <w:rsid w:val="00E36179"/>
    <w:rsid w:val="00E461D6"/>
    <w:rsid w:val="00E61E12"/>
    <w:rsid w:val="00E66DBC"/>
    <w:rsid w:val="00E7596C"/>
    <w:rsid w:val="00E84BC4"/>
    <w:rsid w:val="00E878F2"/>
    <w:rsid w:val="00E97AC6"/>
    <w:rsid w:val="00EA651B"/>
    <w:rsid w:val="00EC24BD"/>
    <w:rsid w:val="00ED0149"/>
    <w:rsid w:val="00ED59A7"/>
    <w:rsid w:val="00EF7DE3"/>
    <w:rsid w:val="00F02569"/>
    <w:rsid w:val="00F03103"/>
    <w:rsid w:val="00F1335F"/>
    <w:rsid w:val="00F271DE"/>
    <w:rsid w:val="00F343D3"/>
    <w:rsid w:val="00F3530A"/>
    <w:rsid w:val="00F35895"/>
    <w:rsid w:val="00F627DA"/>
    <w:rsid w:val="00F6328F"/>
    <w:rsid w:val="00F63CB7"/>
    <w:rsid w:val="00F7288F"/>
    <w:rsid w:val="00F847A6"/>
    <w:rsid w:val="00F907D3"/>
    <w:rsid w:val="00F942AA"/>
    <w:rsid w:val="00F9441B"/>
    <w:rsid w:val="00FA4C32"/>
    <w:rsid w:val="00FB1D8E"/>
    <w:rsid w:val="00FD1485"/>
    <w:rsid w:val="00FE5C3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B27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F19A4"/>
    <w:pPr>
      <w:spacing w:after="10pt"/>
      <w:jc w:val="both"/>
    </w:pPr>
    <w:rPr>
      <w:sz w:val="16"/>
      <w:szCs w:val="16"/>
    </w:rPr>
  </w:style>
  <w:style w:type="table" w:styleId="TableGrid">
    <w:name w:val="Table Grid"/>
    <w:basedOn w:val="TableNormal"/>
    <w:rsid w:val="009E53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A15B09"/>
    <w:rPr>
      <w:color w:val="0563C1" w:themeColor="hyperlink"/>
      <w:u w:val="single"/>
    </w:rPr>
  </w:style>
  <w:style w:type="character" w:styleId="UnresolvedMention">
    <w:name w:val="Unresolved Mention"/>
    <w:basedOn w:val="DefaultParagraphFont"/>
    <w:uiPriority w:val="99"/>
    <w:semiHidden/>
    <w:unhideWhenUsed/>
    <w:rsid w:val="00A15B0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2559</TotalTime>
  <Pages>5</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Reece Jones</cp:lastModifiedBy>
  <cp:revision>153</cp:revision>
  <dcterms:created xsi:type="dcterms:W3CDTF">2019-01-08T18:42:00Z</dcterms:created>
  <dcterms:modified xsi:type="dcterms:W3CDTF">2020-09-14T11:14:00Z</dcterms:modified>
</cp:coreProperties>
</file>