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5136" behindDoc="0" locked="0" layoutInCell="1" allowOverlap="1" wp14:anchorId="47F657C8" wp14:editId="29A78A82">
            <wp:simplePos x="0" y="0"/>
            <wp:positionH relativeFrom="column">
              <wp:posOffset>3315335</wp:posOffset>
            </wp:positionH>
            <wp:positionV relativeFrom="paragraph">
              <wp:posOffset>113030</wp:posOffset>
            </wp:positionV>
            <wp:extent cx="3086100" cy="2699385"/>
            <wp:effectExtent l="0" t="0" r="0" b="5715"/>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699385"/>
                      <a:chOff x="0" y="0"/>
                      <a:chExt cx="3086100" cy="2699969"/>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39289"/>
                        <a:ext cx="3086100" cy="360680"/>
                      </a:xfrm>
                      <a:prstGeom prst="rect">
                        <a:avLst/>
                      </a:prstGeom>
                      <a:solidFill>
                        <a:prstClr val="white"/>
                      </a:solidFill>
                      <a:ln>
                        <a:noFill/>
                      </a:ln>
                    </wp:spPr>
                    <wp:txbx>
                      <wne:txbxContent>
                        <w:p w14:paraId="7E3B1334" w14:textId="1AFEBDF5" w:rsidR="00E461D6" w:rsidRPr="004B3560" w:rsidRDefault="00E461D6" w:rsidP="00E461D6">
                          <w:pPr>
                            <w:pStyle w:val="Caption"/>
                            <w:rPr>
                              <w:smallCaps/>
                              <w:noProof/>
                              <w:sz w:val="20"/>
                              <w:szCs w:val="20"/>
                            </w:rPr>
                          </w:pPr>
                          <w:r>
                            <w:t>Fig</w:t>
                          </w:r>
                          <w:r w:rsidR="00A058C7">
                            <w:t>.</w:t>
                          </w:r>
                          <w:r>
                            <w:t xml:space="preserv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V relativeFrom="margin">
              <wp14:pctHeight>0%</wp14:pctHeight>
            </wp14:sizeRelV>
          </wp:anchor>
        </w:drawing>
      </w:r>
      <w:r w:rsidR="00C2345D">
        <w:t>Task 1</w:t>
      </w:r>
    </w:p>
    <w:p w14:paraId="0B1E7095" w14:textId="634D2EF5" w:rsidR="00352373" w:rsidRPr="00352373" w:rsidRDefault="00AB4500" w:rsidP="00352373">
      <w:pPr>
        <w:pStyle w:val="Heading2"/>
      </w:pPr>
      <w:r>
        <w:t>Harris Corner Detector</w:t>
      </w:r>
    </w:p>
    <w:p w14:paraId="30D856D6" w14:textId="54550825" w:rsidR="00F942AA" w:rsidRDefault="00D86633" w:rsidP="00E7596C">
      <w:pPr>
        <w:pStyle w:val="BodyText"/>
        <w:rPr>
          <w:lang w:val="en-AU"/>
        </w:rPr>
      </w:pPr>
      <w:r>
        <w:rPr>
          <w:lang w:val="en-AU"/>
        </w:rPr>
        <w:t>The Harris corner detector</w:t>
      </w:r>
      <w:r w:rsidR="00140BC2">
        <w:rPr>
          <w:lang w:val="en-AU"/>
        </w:rPr>
        <w:t xml:space="preserve"> [1]</w:t>
      </w:r>
      <w:r>
        <w:rPr>
          <w:lang w:val="en-AU"/>
        </w:rPr>
        <w:t xml:space="preserve"> is variant under scaling</w:t>
      </w:r>
      <w:r w:rsidR="001B464A">
        <w:rPr>
          <w:lang w:val="en-AU"/>
        </w:rPr>
        <w:t xml:space="preserve"> and </w:t>
      </w:r>
      <w:r>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Pr>
          <w:lang w:val="en-AU"/>
        </w:rPr>
        <w:t>, the lower the corner response, since the window will include a higher proportion of non-corner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w:t>
      </w:r>
      <w:r w:rsidR="00E32168">
        <w:rPr>
          <w:lang w:val="en-AU"/>
        </w:rPr>
        <w:t>re</w:t>
      </w:r>
      <w:r w:rsidR="00F942AA">
        <w:rPr>
          <w:lang w:val="en-AU"/>
        </w:rPr>
        <w:t>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2B43962B" w:rsidR="008A059D" w:rsidRDefault="00B4115B" w:rsidP="00F942AA">
      <w:pPr>
        <w:pStyle w:val="BodyText"/>
        <w:rPr>
          <w:lang w:val="en-AU"/>
        </w:rPr>
      </w:pPr>
      <w:r>
        <w:rPr>
          <w:noProof/>
          <w:lang w:val="en-AU"/>
        </w:rPr>
        <w:drawing>
          <wp:anchor distT="0" distB="0" distL="114300" distR="114300" simplePos="0" relativeHeight="251679232" behindDoc="0" locked="0" layoutInCell="1" allowOverlap="1" wp14:anchorId="0F8D5EFA" wp14:editId="1B7970B3">
            <wp:simplePos x="0" y="0"/>
            <wp:positionH relativeFrom="column">
              <wp:posOffset>3316605</wp:posOffset>
            </wp:positionH>
            <wp:positionV relativeFrom="paragraph">
              <wp:posOffset>159740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325ADF">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2571A49A" w:rsidR="00504828" w:rsidRDefault="00E461D6" w:rsidP="00F942AA">
      <w:pPr>
        <w:pStyle w:val="BodyText"/>
        <w:rPr>
          <w:lang w:val="en-AU"/>
        </w:rPr>
      </w:pPr>
      <w:r>
        <w:rPr>
          <w:noProof/>
        </w:rPr>
        <w:drawing>
          <wp:anchor distT="0" distB="0" distL="114300" distR="114300" simplePos="0" relativeHeight="251666944" behindDoc="0" locked="0" layoutInCell="1" allowOverlap="1" wp14:anchorId="0029F483" wp14:editId="1CE543D8">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59776" behindDoc="0" locked="0" layoutInCell="1" allowOverlap="1" wp14:anchorId="4C750772" wp14:editId="22686D84">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79C6DC1A"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p w14:paraId="06BCD453" w14:textId="5AC222C1"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tbl>
      <w:tblPr>
        <w:tblStyle w:val="TableGrid"/>
        <w:tblpPr w:leftFromText="180" w:rightFromText="180" w:vertAnchor="text" w:horzAnchor="page" w:tblpX="3468" w:tblpY="130"/>
        <w:tblW w:w="0pt" w:type="dxa"/>
        <w:tblLook w:firstRow="1" w:lastRow="0" w:firstColumn="1" w:lastColumn="0" w:noHBand="0" w:noVBand="1"/>
      </w:tblPr>
      <w:tblGrid>
        <w:gridCol w:w="767"/>
        <w:gridCol w:w="858"/>
        <w:gridCol w:w="858"/>
      </w:tblGrid>
      <w:tr w:rsidR="00A74965" w14:paraId="3090BA7F" w14:textId="77777777" w:rsidTr="00A74965">
        <w:trPr>
          <w:trHeight w:val="505"/>
        </w:trPr>
        <w:tc>
          <w:tcPr>
            <w:tcW w:w="38.35pt" w:type="dxa"/>
          </w:tcPr>
          <w:p w14:paraId="3E703ECE"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lastRenderedPageBreak/>
              <w:t>Rotation</w:t>
            </w:r>
          </w:p>
        </w:tc>
        <w:tc>
          <w:tcPr>
            <w:tcW w:w="42.90pt" w:type="dxa"/>
          </w:tcPr>
          <w:p w14:paraId="73264D35"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w:t>
            </w:r>
          </w:p>
        </w:tc>
        <w:tc>
          <w:tcPr>
            <w:tcW w:w="42.90pt" w:type="dxa"/>
          </w:tcPr>
          <w:p w14:paraId="1F6CEB6F"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 common with 0°</w:t>
            </w:r>
          </w:p>
        </w:tc>
      </w:tr>
      <w:tr w:rsidR="00A74965" w14:paraId="2F16551B" w14:textId="77777777" w:rsidTr="00A74965">
        <w:trPr>
          <w:trHeight w:val="221"/>
        </w:trPr>
        <w:tc>
          <w:tcPr>
            <w:tcW w:w="38.35pt" w:type="dxa"/>
          </w:tcPr>
          <w:p w14:paraId="3B4F6451" w14:textId="77777777" w:rsidR="00A74965" w:rsidRPr="001C35AF" w:rsidRDefault="00A74965" w:rsidP="00A74965">
            <w:pPr>
              <w:pStyle w:val="BodyText"/>
              <w:ind w:firstLine="0pt"/>
              <w:rPr>
                <w:sz w:val="15"/>
                <w:szCs w:val="15"/>
                <w:lang w:val="en-AU"/>
              </w:rPr>
            </w:pPr>
            <w:r w:rsidRPr="001C35AF">
              <w:rPr>
                <w:sz w:val="15"/>
                <w:szCs w:val="15"/>
                <w:lang w:val="en-AU"/>
              </w:rPr>
              <w:t>0°</w:t>
            </w:r>
          </w:p>
        </w:tc>
        <w:tc>
          <w:tcPr>
            <w:tcW w:w="42.90pt" w:type="dxa"/>
          </w:tcPr>
          <w:p w14:paraId="6FC84A85" w14:textId="270A533A"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1DFBB03" w14:textId="1EC9B2F5" w:rsidR="00A74965" w:rsidRPr="001C35AF" w:rsidRDefault="00131C93" w:rsidP="00A74965">
            <w:pPr>
              <w:pStyle w:val="BodyText"/>
              <w:ind w:firstLine="0pt"/>
              <w:rPr>
                <w:sz w:val="15"/>
                <w:szCs w:val="15"/>
                <w:lang w:val="en-AU"/>
              </w:rPr>
            </w:pPr>
            <w:r>
              <w:rPr>
                <w:sz w:val="15"/>
                <w:szCs w:val="15"/>
                <w:lang w:val="en-AU"/>
              </w:rPr>
              <w:t>16</w:t>
            </w:r>
          </w:p>
        </w:tc>
      </w:tr>
      <w:tr w:rsidR="00A74965" w14:paraId="7EBEFA2F" w14:textId="77777777" w:rsidTr="00A74965">
        <w:trPr>
          <w:trHeight w:val="212"/>
        </w:trPr>
        <w:tc>
          <w:tcPr>
            <w:tcW w:w="38.35pt" w:type="dxa"/>
          </w:tcPr>
          <w:p w14:paraId="06CBBFC2" w14:textId="77777777" w:rsidR="00A74965" w:rsidRPr="001C35AF" w:rsidRDefault="00A74965" w:rsidP="00A74965">
            <w:pPr>
              <w:pStyle w:val="BodyText"/>
              <w:ind w:firstLine="0pt"/>
              <w:rPr>
                <w:sz w:val="15"/>
                <w:szCs w:val="15"/>
                <w:lang w:val="en-AU"/>
              </w:rPr>
            </w:pPr>
            <w:r w:rsidRPr="001C35AF">
              <w:rPr>
                <w:sz w:val="15"/>
                <w:szCs w:val="15"/>
                <w:lang w:val="en-AU"/>
              </w:rPr>
              <w:t>15°</w:t>
            </w:r>
          </w:p>
        </w:tc>
        <w:tc>
          <w:tcPr>
            <w:tcW w:w="42.90pt" w:type="dxa"/>
          </w:tcPr>
          <w:p w14:paraId="51882BE0" w14:textId="52BC848C"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0080544" w14:textId="609D3DC0" w:rsidR="00A74965" w:rsidRPr="001C35AF" w:rsidRDefault="00131C93" w:rsidP="00A74965">
            <w:pPr>
              <w:pStyle w:val="BodyText"/>
              <w:ind w:firstLine="0pt"/>
              <w:rPr>
                <w:sz w:val="15"/>
                <w:szCs w:val="15"/>
                <w:lang w:val="en-AU"/>
              </w:rPr>
            </w:pPr>
            <w:r>
              <w:rPr>
                <w:sz w:val="15"/>
                <w:szCs w:val="15"/>
                <w:lang w:val="en-AU"/>
              </w:rPr>
              <w:t>12</w:t>
            </w:r>
          </w:p>
        </w:tc>
      </w:tr>
      <w:tr w:rsidR="00A74965" w14:paraId="289BD7EF" w14:textId="77777777" w:rsidTr="00A74965">
        <w:trPr>
          <w:trHeight w:val="59"/>
        </w:trPr>
        <w:tc>
          <w:tcPr>
            <w:tcW w:w="38.35pt" w:type="dxa"/>
          </w:tcPr>
          <w:p w14:paraId="7F90E045" w14:textId="77777777" w:rsidR="00A74965" w:rsidRPr="001C35AF" w:rsidRDefault="00A74965" w:rsidP="00A74965">
            <w:pPr>
              <w:pStyle w:val="BodyText"/>
              <w:ind w:firstLine="0pt"/>
              <w:rPr>
                <w:sz w:val="15"/>
                <w:szCs w:val="15"/>
                <w:lang w:val="en-AU"/>
              </w:rPr>
            </w:pPr>
            <w:r w:rsidRPr="001C35AF">
              <w:rPr>
                <w:sz w:val="15"/>
                <w:szCs w:val="15"/>
                <w:lang w:val="en-AU"/>
              </w:rPr>
              <w:t>45°</w:t>
            </w:r>
          </w:p>
        </w:tc>
        <w:tc>
          <w:tcPr>
            <w:tcW w:w="42.90pt" w:type="dxa"/>
          </w:tcPr>
          <w:p w14:paraId="73F8B95D" w14:textId="1C754049"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27EC2032" w14:textId="5492246D" w:rsidR="00A74965" w:rsidRPr="001C35AF" w:rsidRDefault="00131C93" w:rsidP="00A74965">
            <w:pPr>
              <w:pStyle w:val="BodyText"/>
              <w:ind w:firstLine="0pt"/>
              <w:rPr>
                <w:sz w:val="15"/>
                <w:szCs w:val="15"/>
                <w:lang w:val="en-AU"/>
              </w:rPr>
            </w:pPr>
            <w:r>
              <w:rPr>
                <w:sz w:val="15"/>
                <w:szCs w:val="15"/>
                <w:lang w:val="en-AU"/>
              </w:rPr>
              <w:t>11</w:t>
            </w:r>
          </w:p>
        </w:tc>
      </w:tr>
      <w:tr w:rsidR="00A74965" w14:paraId="0C2CFC75" w14:textId="77777777" w:rsidTr="00A74965">
        <w:trPr>
          <w:trHeight w:val="191"/>
        </w:trPr>
        <w:tc>
          <w:tcPr>
            <w:tcW w:w="38.35pt" w:type="dxa"/>
          </w:tcPr>
          <w:p w14:paraId="7DB7C762" w14:textId="77777777" w:rsidR="00A74965" w:rsidRPr="001C35AF" w:rsidRDefault="00A74965" w:rsidP="00A74965">
            <w:pPr>
              <w:pStyle w:val="BodyText"/>
              <w:ind w:firstLine="0pt"/>
              <w:rPr>
                <w:sz w:val="15"/>
                <w:szCs w:val="15"/>
                <w:lang w:val="en-AU"/>
              </w:rPr>
            </w:pPr>
            <w:r w:rsidRPr="001C35AF">
              <w:rPr>
                <w:sz w:val="15"/>
                <w:szCs w:val="15"/>
                <w:lang w:val="en-AU"/>
              </w:rPr>
              <w:t>75°</w:t>
            </w:r>
          </w:p>
        </w:tc>
        <w:tc>
          <w:tcPr>
            <w:tcW w:w="42.90pt" w:type="dxa"/>
          </w:tcPr>
          <w:p w14:paraId="0E68F975" w14:textId="46BA79B7" w:rsidR="00A74965" w:rsidRPr="001C35AF" w:rsidRDefault="00131C93" w:rsidP="00A74965">
            <w:pPr>
              <w:pStyle w:val="BodyText"/>
              <w:ind w:firstLine="0pt"/>
              <w:rPr>
                <w:sz w:val="15"/>
                <w:szCs w:val="15"/>
                <w:lang w:val="en-AU"/>
              </w:rPr>
            </w:pPr>
            <w:r>
              <w:rPr>
                <w:sz w:val="15"/>
                <w:szCs w:val="15"/>
                <w:lang w:val="en-AU"/>
              </w:rPr>
              <w:t>15</w:t>
            </w:r>
          </w:p>
        </w:tc>
        <w:tc>
          <w:tcPr>
            <w:tcW w:w="42.90pt" w:type="dxa"/>
          </w:tcPr>
          <w:p w14:paraId="6C36C4E8" w14:textId="27E55655" w:rsidR="00A74965" w:rsidRPr="001C35AF" w:rsidRDefault="003B77B3" w:rsidP="00A74965">
            <w:pPr>
              <w:pStyle w:val="BodyText"/>
              <w:ind w:firstLine="0pt"/>
              <w:rPr>
                <w:sz w:val="15"/>
                <w:szCs w:val="15"/>
                <w:lang w:val="en-AU"/>
              </w:rPr>
            </w:pPr>
            <w:r>
              <w:rPr>
                <w:sz w:val="15"/>
                <w:szCs w:val="15"/>
                <w:lang w:val="en-AU"/>
              </w:rPr>
              <w:t>10</w:t>
            </w:r>
          </w:p>
        </w:tc>
      </w:tr>
    </w:tbl>
    <w:tbl>
      <w:tblPr>
        <w:tblStyle w:val="TableGrid"/>
        <w:tblpPr w:leftFromText="180" w:rightFromText="180" w:vertAnchor="text" w:horzAnchor="margin" w:tblpY="212"/>
        <w:tblW w:w="0pt" w:type="dxa"/>
        <w:tblLayout w:type="fixed"/>
        <w:tblLook w:firstRow="1" w:lastRow="0" w:firstColumn="1" w:lastColumn="0" w:noHBand="0" w:noVBand="1"/>
      </w:tblPr>
      <w:tblGrid>
        <w:gridCol w:w="571"/>
        <w:gridCol w:w="901"/>
        <w:gridCol w:w="933"/>
      </w:tblGrid>
      <w:tr w:rsidR="003B77B3" w:rsidRPr="001C35AF" w14:paraId="2993B572" w14:textId="77777777" w:rsidTr="003B77B3">
        <w:trPr>
          <w:trHeight w:val="524"/>
        </w:trPr>
        <w:tc>
          <w:tcPr>
            <w:tcW w:w="28.55pt" w:type="dxa"/>
          </w:tcPr>
          <w:p w14:paraId="2F629CC0"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Scale</w:t>
            </w:r>
          </w:p>
        </w:tc>
        <w:tc>
          <w:tcPr>
            <w:tcW w:w="45.05pt" w:type="dxa"/>
          </w:tcPr>
          <w:p w14:paraId="75243302"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w:t>
            </w:r>
          </w:p>
        </w:tc>
        <w:tc>
          <w:tcPr>
            <w:tcW w:w="46.65pt" w:type="dxa"/>
          </w:tcPr>
          <w:p w14:paraId="08C5DBF3"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 common with 1x</w:t>
            </w:r>
          </w:p>
        </w:tc>
      </w:tr>
      <w:tr w:rsidR="003B77B3" w:rsidRPr="001C35AF" w14:paraId="0DE79612" w14:textId="77777777" w:rsidTr="003B77B3">
        <w:trPr>
          <w:trHeight w:val="175"/>
        </w:trPr>
        <w:tc>
          <w:tcPr>
            <w:tcW w:w="28.55pt" w:type="dxa"/>
          </w:tcPr>
          <w:p w14:paraId="22A4AAC9" w14:textId="77777777" w:rsidR="003B77B3" w:rsidRPr="001C35AF" w:rsidRDefault="003B77B3" w:rsidP="003B77B3">
            <w:pPr>
              <w:pStyle w:val="BodyText"/>
              <w:ind w:firstLine="0pt"/>
              <w:rPr>
                <w:sz w:val="15"/>
                <w:szCs w:val="15"/>
                <w:lang w:val="en-AU"/>
              </w:rPr>
            </w:pPr>
            <w:r w:rsidRPr="001C35AF">
              <w:rPr>
                <w:sz w:val="15"/>
                <w:szCs w:val="15"/>
                <w:lang w:val="en-AU"/>
              </w:rPr>
              <w:t>1x</w:t>
            </w:r>
          </w:p>
        </w:tc>
        <w:tc>
          <w:tcPr>
            <w:tcW w:w="45.05pt" w:type="dxa"/>
          </w:tcPr>
          <w:p w14:paraId="2238A8BA"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72ADBAE3"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r>
      <w:tr w:rsidR="003B77B3" w:rsidRPr="001C35AF" w14:paraId="292AB28E" w14:textId="77777777" w:rsidTr="003B77B3">
        <w:trPr>
          <w:trHeight w:val="46"/>
        </w:trPr>
        <w:tc>
          <w:tcPr>
            <w:tcW w:w="28.55pt" w:type="dxa"/>
          </w:tcPr>
          <w:p w14:paraId="0874F0E8" w14:textId="77777777" w:rsidR="003B77B3" w:rsidRPr="001C35AF" w:rsidRDefault="003B77B3" w:rsidP="003B77B3">
            <w:pPr>
              <w:pStyle w:val="BodyText"/>
              <w:ind w:firstLine="0pt"/>
              <w:rPr>
                <w:sz w:val="15"/>
                <w:szCs w:val="15"/>
                <w:lang w:val="en-AU"/>
              </w:rPr>
            </w:pPr>
            <w:r w:rsidRPr="001C35AF">
              <w:rPr>
                <w:sz w:val="15"/>
                <w:szCs w:val="15"/>
                <w:lang w:val="en-AU"/>
              </w:rPr>
              <w:t>1.25x</w:t>
            </w:r>
          </w:p>
        </w:tc>
        <w:tc>
          <w:tcPr>
            <w:tcW w:w="45.05pt" w:type="dxa"/>
          </w:tcPr>
          <w:p w14:paraId="094AA8E2" w14:textId="77777777" w:rsidR="003B77B3" w:rsidRPr="001C35AF" w:rsidRDefault="003B77B3" w:rsidP="003B77B3">
            <w:pPr>
              <w:pStyle w:val="BodyText"/>
              <w:ind w:firstLine="0pt"/>
              <w:rPr>
                <w:sz w:val="15"/>
                <w:szCs w:val="15"/>
                <w:lang w:val="en-AU"/>
              </w:rPr>
            </w:pPr>
            <w:r>
              <w:rPr>
                <w:sz w:val="15"/>
                <w:szCs w:val="15"/>
                <w:lang w:val="en-AU"/>
              </w:rPr>
              <w:t>25</w:t>
            </w:r>
          </w:p>
        </w:tc>
        <w:tc>
          <w:tcPr>
            <w:tcW w:w="46.65pt" w:type="dxa"/>
          </w:tcPr>
          <w:p w14:paraId="103DAD36" w14:textId="77777777" w:rsidR="003B77B3" w:rsidRPr="001C35AF" w:rsidRDefault="003B77B3" w:rsidP="003B77B3">
            <w:pPr>
              <w:pStyle w:val="BodyText"/>
              <w:ind w:firstLine="0pt"/>
              <w:rPr>
                <w:sz w:val="15"/>
                <w:szCs w:val="15"/>
                <w:lang w:val="en-AU"/>
              </w:rPr>
            </w:pPr>
            <w:r>
              <w:rPr>
                <w:sz w:val="15"/>
                <w:szCs w:val="15"/>
                <w:lang w:val="en-AU"/>
              </w:rPr>
              <w:t>13</w:t>
            </w:r>
          </w:p>
        </w:tc>
      </w:tr>
      <w:tr w:rsidR="003B77B3" w:rsidRPr="001C35AF" w14:paraId="326C4C82" w14:textId="77777777" w:rsidTr="003B77B3">
        <w:trPr>
          <w:trHeight w:val="46"/>
        </w:trPr>
        <w:tc>
          <w:tcPr>
            <w:tcW w:w="28.55pt" w:type="dxa"/>
          </w:tcPr>
          <w:p w14:paraId="6610C56E" w14:textId="77777777" w:rsidR="003B77B3" w:rsidRPr="001C35AF" w:rsidRDefault="003B77B3" w:rsidP="003B77B3">
            <w:pPr>
              <w:pStyle w:val="BodyText"/>
              <w:ind w:firstLine="0pt"/>
              <w:rPr>
                <w:sz w:val="15"/>
                <w:szCs w:val="15"/>
                <w:lang w:val="en-AU"/>
              </w:rPr>
            </w:pPr>
            <w:r w:rsidRPr="001C35AF">
              <w:rPr>
                <w:sz w:val="15"/>
                <w:szCs w:val="15"/>
                <w:lang w:val="en-AU"/>
              </w:rPr>
              <w:t>1.5x</w:t>
            </w:r>
          </w:p>
        </w:tc>
        <w:tc>
          <w:tcPr>
            <w:tcW w:w="45.05pt" w:type="dxa"/>
          </w:tcPr>
          <w:p w14:paraId="2C72F09E" w14:textId="77777777" w:rsidR="003B77B3" w:rsidRPr="001C35AF" w:rsidRDefault="003B77B3" w:rsidP="003B77B3">
            <w:pPr>
              <w:pStyle w:val="BodyText"/>
              <w:ind w:firstLine="0pt"/>
              <w:rPr>
                <w:sz w:val="15"/>
                <w:szCs w:val="15"/>
                <w:lang w:val="en-AU"/>
              </w:rPr>
            </w:pPr>
            <w:r>
              <w:rPr>
                <w:sz w:val="15"/>
                <w:szCs w:val="15"/>
                <w:lang w:val="en-AU"/>
              </w:rPr>
              <w:t>32</w:t>
            </w:r>
          </w:p>
        </w:tc>
        <w:tc>
          <w:tcPr>
            <w:tcW w:w="46.65pt" w:type="dxa"/>
          </w:tcPr>
          <w:p w14:paraId="5085A734" w14:textId="77777777" w:rsidR="003B77B3" w:rsidRPr="001C35AF" w:rsidRDefault="003B77B3" w:rsidP="003B77B3">
            <w:pPr>
              <w:pStyle w:val="BodyText"/>
              <w:ind w:firstLine="0pt"/>
              <w:rPr>
                <w:sz w:val="15"/>
                <w:szCs w:val="15"/>
                <w:lang w:val="en-AU"/>
              </w:rPr>
            </w:pPr>
            <w:r>
              <w:rPr>
                <w:sz w:val="15"/>
                <w:szCs w:val="15"/>
                <w:lang w:val="en-AU"/>
              </w:rPr>
              <w:t>16</w:t>
            </w:r>
          </w:p>
        </w:tc>
      </w:tr>
      <w:tr w:rsidR="003B77B3" w:rsidRPr="001C35AF" w14:paraId="1EB7363E" w14:textId="77777777" w:rsidTr="003B77B3">
        <w:trPr>
          <w:trHeight w:val="107"/>
        </w:trPr>
        <w:tc>
          <w:tcPr>
            <w:tcW w:w="28.55pt" w:type="dxa"/>
          </w:tcPr>
          <w:p w14:paraId="7FBFF02A" w14:textId="77777777" w:rsidR="003B77B3" w:rsidRPr="001C35AF" w:rsidRDefault="003B77B3" w:rsidP="003B77B3">
            <w:pPr>
              <w:pStyle w:val="BodyText"/>
              <w:ind w:firstLine="0pt"/>
              <w:rPr>
                <w:sz w:val="15"/>
                <w:szCs w:val="15"/>
                <w:lang w:val="en-AU"/>
              </w:rPr>
            </w:pPr>
            <w:r w:rsidRPr="001C35AF">
              <w:rPr>
                <w:sz w:val="15"/>
                <w:szCs w:val="15"/>
                <w:lang w:val="en-AU"/>
              </w:rPr>
              <w:t>2x</w:t>
            </w:r>
          </w:p>
        </w:tc>
        <w:tc>
          <w:tcPr>
            <w:tcW w:w="45.05pt" w:type="dxa"/>
          </w:tcPr>
          <w:p w14:paraId="016D6C67" w14:textId="77777777" w:rsidR="003B77B3" w:rsidRPr="001C35AF" w:rsidRDefault="003B77B3" w:rsidP="003B77B3">
            <w:pPr>
              <w:pStyle w:val="BodyText"/>
              <w:ind w:firstLine="0pt"/>
              <w:rPr>
                <w:sz w:val="15"/>
                <w:szCs w:val="15"/>
                <w:lang w:val="en-AU"/>
              </w:rPr>
            </w:pPr>
            <w:r>
              <w:rPr>
                <w:sz w:val="15"/>
                <w:szCs w:val="15"/>
                <w:lang w:val="en-AU"/>
              </w:rPr>
              <w:t>45</w:t>
            </w:r>
          </w:p>
        </w:tc>
        <w:tc>
          <w:tcPr>
            <w:tcW w:w="46.65pt" w:type="dxa"/>
          </w:tcPr>
          <w:p w14:paraId="5DE469AF" w14:textId="77777777" w:rsidR="003B77B3" w:rsidRPr="001C35AF" w:rsidRDefault="003B77B3" w:rsidP="003B77B3">
            <w:pPr>
              <w:pStyle w:val="BodyText"/>
              <w:keepNext/>
              <w:ind w:firstLine="0pt"/>
              <w:rPr>
                <w:sz w:val="15"/>
                <w:szCs w:val="15"/>
                <w:lang w:val="en-AU"/>
              </w:rPr>
            </w:pPr>
            <w:r>
              <w:rPr>
                <w:sz w:val="15"/>
                <w:szCs w:val="15"/>
                <w:lang w:val="en-AU"/>
              </w:rPr>
              <w:t>16</w:t>
            </w:r>
          </w:p>
        </w:tc>
      </w:tr>
    </w:tbl>
    <w:p w14:paraId="1DEBCBC5" w14:textId="44B759B7" w:rsidR="00371857" w:rsidRPr="000606D9" w:rsidRDefault="001D3235" w:rsidP="00371857">
      <w:pPr>
        <w:pStyle w:val="Heading2"/>
        <w:rPr>
          <w:lang w:val="en-AU"/>
        </w:rPr>
      </w:pPr>
      <w:r w:rsidRPr="00CF57D2">
        <w:rPr>
          <w:lang w:val="en-AU"/>
        </w:rPr>
        <w:drawing>
          <wp:anchor distT="45720" distB="45720" distL="114300" distR="114300" simplePos="0" relativeHeight="251687424" behindDoc="0" locked="0" layoutInCell="1" allowOverlap="1" wp14:anchorId="5DEE9F7D" wp14:editId="1B3E35B3">
            <wp:simplePos x="0" y="0"/>
            <wp:positionH relativeFrom="margin">
              <wp:posOffset>1618615</wp:posOffset>
            </wp:positionH>
            <wp:positionV relativeFrom="page">
              <wp:posOffset>2004365</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6. Summary of SIFT keypoints from a region of the dugong image at varying rotations.</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lang w:val="en-AU"/>
        </w:rPr>
        <w:drawing>
          <wp:anchor distT="45720" distB="45720" distL="114300" distR="114300" simplePos="0" relativeHeight="251685376" behindDoc="0" locked="0" layoutInCell="1" allowOverlap="1" wp14:anchorId="632B4296" wp14:editId="3C9ED836">
            <wp:simplePos x="0" y="0"/>
            <wp:positionH relativeFrom="margin">
              <wp:posOffset>1956</wp:posOffset>
            </wp:positionH>
            <wp:positionV relativeFrom="page">
              <wp:posOffset>2033626</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keypoints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507224">
        <w:rPr>
          <w:lang w:val="en-AU"/>
        </w:rPr>
        <w:t>Scale</w:t>
      </w:r>
      <w:r w:rsidR="000830D6">
        <w:rPr>
          <w:lang w:val="en-AU"/>
        </w:rPr>
        <w:t>-i</w:t>
      </w:r>
      <w:r w:rsidR="00507224">
        <w:rPr>
          <w:lang w:val="en-AU"/>
        </w:rPr>
        <w:t>nvariant Feature Transform (</w:t>
      </w:r>
      <w:r w:rsidR="00E461D6">
        <w:rPr>
          <w:lang w:val="en-AU"/>
        </w:rPr>
        <w:t>SIFT</w:t>
      </w:r>
      <w:r w:rsidR="00507224">
        <w:rPr>
          <w:lang w:val="en-AU"/>
        </w:rPr>
        <w:t>)</w:t>
      </w:r>
      <w:r w:rsidR="00F02569">
        <w:rPr>
          <w:lang w:val="en-AU"/>
        </w:rPr>
        <w:t xml:space="preserve"> </w:t>
      </w:r>
      <w:r w:rsidR="00D82563">
        <w:rPr>
          <w:lang w:val="en-AU"/>
        </w:rPr>
        <w:t>K</w:t>
      </w:r>
      <w:r w:rsidR="00F02569">
        <w:rPr>
          <w:lang w:val="en-AU"/>
        </w:rPr>
        <w:t>eypoints</w:t>
      </w:r>
    </w:p>
    <w:p w14:paraId="0A392B73" w14:textId="5C6332DC"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r w:rsidR="00155A43">
        <w:rPr>
          <w:lang w:val="en-AU"/>
        </w:rPr>
        <w:t>keypoints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downsampling), </w:t>
      </w:r>
      <w:r w:rsidR="000A5B68">
        <w:rPr>
          <w:lang w:val="en-AU"/>
        </w:rPr>
        <w:t>transforming the image into</w:t>
      </w:r>
      <w:r w:rsidR="007E57AC">
        <w:rPr>
          <w:lang w:val="en-AU"/>
        </w:rPr>
        <w:t xml:space="preserve"> “scale space”</w:t>
      </w:r>
      <w:r w:rsidR="000A5B68">
        <w:rPr>
          <w:lang w:val="en-AU"/>
        </w:rPr>
        <w:t xml:space="preserve">. Keypoints are detected within this scale space, yielding not only the keypoint’s location in the image, but also the scale at which the keypoint exists. Further processing of the keypoint is adjusted for this scale, </w:t>
      </w:r>
      <w:r w:rsidR="004F1073">
        <w:rPr>
          <w:lang w:val="en-AU"/>
        </w:rPr>
        <w:t>producing keypoints which are largely invariant to scale.</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As the image size increases, the number of keypoints detected increases (presumably since there are simply more pixels in the image), but</w:t>
      </w:r>
      <w:r w:rsidR="00463528">
        <w:rPr>
          <w:lang w:val="en-AU"/>
        </w:rPr>
        <w:t xml:space="preserve"> a significant proportion of them match the</w:t>
      </w:r>
      <w:r w:rsidR="00371857">
        <w:rPr>
          <w:lang w:val="en-AU"/>
        </w:rPr>
        <w:t xml:space="preserve"> keypoints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2D1987C5" w:rsidR="00F35895" w:rsidRDefault="004F1073" w:rsidP="00193EF1">
      <w:pPr>
        <w:pStyle w:val="BodyText"/>
        <w:rPr>
          <w:lang w:val="en-AU"/>
        </w:rPr>
      </w:pPr>
      <w:r>
        <w:rPr>
          <w:lang w:val="en-AU"/>
        </w:rPr>
        <w:t xml:space="preserve">Rotational invariance is </w:t>
      </w:r>
      <w:r w:rsidR="001814C9">
        <w:rPr>
          <w:lang w:val="en-AU"/>
        </w:rPr>
        <w:t xml:space="preserve">(theoretically) </w:t>
      </w:r>
      <w:r>
        <w:rPr>
          <w:lang w:val="en-AU"/>
        </w:rPr>
        <w:t xml:space="preserve">achieved </w:t>
      </w:r>
      <w:r w:rsidR="00EA651B">
        <w:rPr>
          <w:lang w:val="en-AU"/>
        </w:rPr>
        <w:t>since keypoint detection only considers the magnitude of the</w:t>
      </w:r>
      <w:r w:rsidR="00640336">
        <w:rPr>
          <w:lang w:val="en-AU"/>
        </w:rPr>
        <w:t xml:space="preserve"> difference of Gaussians (which is</w:t>
      </w:r>
      <w:r w:rsidR="005A48C7">
        <w:rPr>
          <w:lang w:val="en-AU"/>
        </w:rPr>
        <w:t xml:space="preserve"> </w:t>
      </w:r>
      <w:r w:rsidR="00C91341">
        <w:rPr>
          <w:lang w:val="en-AU"/>
        </w:rPr>
        <w:t>isotropic</w:t>
      </w:r>
      <w:r w:rsidR="00640336">
        <w:rPr>
          <w:lang w:val="en-AU"/>
        </w:rPr>
        <w:t>)</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keypoints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y only explanation as to why such a large proportion of keypoints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5BC97FB" w:rsidR="00762EB6" w:rsidRDefault="00762EB6" w:rsidP="00193EF1">
      <w:pPr>
        <w:pStyle w:val="BodyText"/>
        <w:rPr>
          <w:lang w:val="en-AU"/>
        </w:rPr>
      </w:pPr>
      <w:r>
        <w:rPr>
          <w:lang w:val="en-AU"/>
        </w:rPr>
        <w:t xml:space="preserve">The keypoint-annotated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3501850F" w:rsidR="009303D9" w:rsidRPr="006B6B66" w:rsidRDefault="009F2C56" w:rsidP="006B6B66">
      <w:pPr>
        <w:pStyle w:val="Heading1"/>
      </w:pPr>
      <w:r>
        <w:t>Task 2</w:t>
      </w:r>
    </w:p>
    <w:p w14:paraId="407372AF" w14:textId="0A88EBA8" w:rsidR="009303D9" w:rsidRDefault="009F2C56" w:rsidP="00996E50">
      <w:pPr>
        <w:pStyle w:val="Heading2"/>
      </w:pPr>
      <w:r>
        <w:t>Local Binary Patterns (LBP)</w:t>
      </w:r>
      <w:r w:rsidR="00F428B6">
        <w:t xml:space="preserve"> Features</w:t>
      </w:r>
    </w:p>
    <w:p w14:paraId="2D811715" w14:textId="69EEEA3F" w:rsidR="00996E50" w:rsidRDefault="00F428B6" w:rsidP="00915A0D">
      <w:pPr>
        <w:pStyle w:val="BodyText"/>
        <w:rPr>
          <w:lang w:val="en-AU"/>
        </w:rPr>
      </w:pPr>
      <w:r>
        <w:rPr>
          <w:lang w:val="en-AU"/>
        </w:rPr>
        <w:t>LBP</w:t>
      </w:r>
      <w:r w:rsidR="00647034">
        <w:rPr>
          <w:lang w:val="en-AU"/>
        </w:rPr>
        <w:t xml:space="preserve"> [5]</w:t>
      </w:r>
      <w:r>
        <w:rPr>
          <w:lang w:val="en-AU"/>
        </w:rPr>
        <w:t xml:space="preserve"> </w:t>
      </w:r>
      <w:r w:rsidR="00243A59">
        <w:rPr>
          <w:lang w:val="en-AU"/>
        </w:rPr>
        <w:t xml:space="preserve">generates an 8-bit integer feature for every pixel in </w:t>
      </w:r>
      <w:r w:rsidR="008176CA">
        <w:rPr>
          <w:lang w:val="en-AU"/>
        </w:rPr>
        <w:t>a greyscale</w:t>
      </w:r>
      <w:r w:rsidR="00243A59">
        <w:rPr>
          <w:lang w:val="en-AU"/>
        </w:rPr>
        <w:t xml:space="preserve"> image (or image region). The feature is determined from the 8 pixels neighbouring the target </w:t>
      </w:r>
      <w:r w:rsidR="009557BD">
        <w:rPr>
          <w:lang w:val="en-AU"/>
        </w:rPr>
        <w:t>location</w:t>
      </w:r>
      <w:r>
        <w:rPr>
          <w:lang w:val="en-AU"/>
        </w:rPr>
        <w:t>.</w:t>
      </w:r>
      <w:r w:rsidR="00243A59">
        <w:rPr>
          <w:lang w:val="en-AU"/>
        </w:rPr>
        <w:t xml:space="preserve"> These neighbouring pixels are traversed in a fixed order and compared to the target pixel</w:t>
      </w:r>
      <w:r w:rsidR="00371AD5">
        <w:rPr>
          <w:lang w:val="en-AU"/>
        </w:rPr>
        <w:t>. I</w:t>
      </w:r>
      <w:r w:rsidR="00243A59">
        <w:rPr>
          <w:lang w:val="en-AU"/>
        </w:rPr>
        <w:t>f the neighbouring pixel is less than the target pixel, a 1 is recorded; if the neighbouring pixel is greater than the target pixel, a 0 is recorded.</w:t>
      </w:r>
      <w:r w:rsidR="00F305FE">
        <w:rPr>
          <w:lang w:val="en-AU"/>
        </w:rPr>
        <w:t xml:space="preserve"> The 1s and 0s are concatenated to form an 8-bit value, which is the feature descriptor for the target location.</w:t>
      </w:r>
      <w:r w:rsidR="00915A0D">
        <w:rPr>
          <w:lang w:val="en-AU"/>
        </w:rPr>
        <w:t xml:space="preserve"> Further processing may involve dividing the image into cells</w:t>
      </w:r>
      <w:r w:rsidR="00733340">
        <w:rPr>
          <w:lang w:val="en-AU"/>
        </w:rPr>
        <w:t>,</w:t>
      </w:r>
      <w:r w:rsidR="00915A0D">
        <w:rPr>
          <w:lang w:val="en-AU"/>
        </w:rPr>
        <w:t xml:space="preserve"> </w:t>
      </w:r>
      <w:r w:rsidR="00733340">
        <w:rPr>
          <w:lang w:val="en-AU"/>
        </w:rPr>
        <w:t>within which histograms of the feature values are calculated.</w:t>
      </w:r>
    </w:p>
    <w:p w14:paraId="5C895C00" w14:textId="4F34A655" w:rsidR="00371AD5" w:rsidRDefault="00733340" w:rsidP="00C10C8A">
      <w:pPr>
        <w:pStyle w:val="BodyText"/>
        <w:rPr>
          <w:lang w:val="en-AU"/>
        </w:rPr>
      </w:pPr>
      <w:r>
        <w:rPr>
          <w:lang w:val="en-AU"/>
        </w:rPr>
        <w:t>The main advantage of LBP is that it is quite effective compared to other texture descriptors, as found by [</w:t>
      </w:r>
      <w:r w:rsidR="00A4653F">
        <w:rPr>
          <w:lang w:val="en-AU"/>
        </w:rPr>
        <w:t>5</w:t>
      </w:r>
      <w:r>
        <w:rPr>
          <w:lang w:val="en-AU"/>
        </w:rPr>
        <w:t>] and [</w:t>
      </w:r>
      <w:r w:rsidR="00892457">
        <w:rPr>
          <w:lang w:val="en-AU"/>
        </w:rPr>
        <w:t>6</w:t>
      </w:r>
      <w:r>
        <w:rPr>
          <w:lang w:val="en-AU"/>
        </w:rPr>
        <w:t>].</w:t>
      </w:r>
      <w:r w:rsidR="00351CEE">
        <w:rPr>
          <w:lang w:val="en-AU"/>
        </w:rPr>
        <w:t xml:space="preserve"> Contributing to its effectiveness is its invariance </w:t>
      </w:r>
      <w:r w:rsidR="00131353">
        <w:rPr>
          <w:lang w:val="en-AU"/>
        </w:rPr>
        <w:t>under</w:t>
      </w:r>
      <w:r w:rsidR="00351CEE">
        <w:rPr>
          <w:lang w:val="en-AU"/>
        </w:rPr>
        <w:t xml:space="preserve"> global </w:t>
      </w:r>
      <w:r w:rsidR="00351CEE">
        <w:rPr>
          <w:lang w:val="en-AU"/>
        </w:rPr>
        <w:t>changes in illumination.</w:t>
      </w:r>
      <w:r w:rsidR="00FF1A42">
        <w:rPr>
          <w:lang w:val="en-AU"/>
        </w:rPr>
        <w:t xml:space="preserve"> </w:t>
      </w:r>
      <w:r w:rsidR="002F7E23">
        <w:rPr>
          <w:lang w:val="en-AU"/>
        </w:rPr>
        <w:t xml:space="preserve">The algorithm may be </w:t>
      </w:r>
      <w:r w:rsidR="00BC3007">
        <w:rPr>
          <w:lang w:val="en-AU"/>
        </w:rPr>
        <w:t>extended</w:t>
      </w:r>
      <w:r w:rsidR="002F7E23">
        <w:rPr>
          <w:lang w:val="en-AU"/>
        </w:rPr>
        <w:t xml:space="preserve"> to consider neighbouring pixels at any radius, allowing adjustment of the locality of detail that is extracted</w:t>
      </w:r>
      <w:r w:rsidR="00E424BC">
        <w:rPr>
          <w:lang w:val="en-AU"/>
        </w:rPr>
        <w:t xml:space="preserve"> [7]</w:t>
      </w:r>
      <w:r w:rsidR="002F7E23">
        <w:rPr>
          <w:lang w:val="en-AU"/>
        </w:rPr>
        <w:t xml:space="preserve">. </w:t>
      </w:r>
      <w:r w:rsidR="00FF1A42">
        <w:rPr>
          <w:lang w:val="en-AU"/>
        </w:rPr>
        <w:t>Finally, the algorithm is simple and computationally efficient.</w:t>
      </w:r>
    </w:p>
    <w:p w14:paraId="24EE096D" w14:textId="62479636" w:rsidR="00703BAA" w:rsidRPr="00C10C8A" w:rsidRDefault="00703BAA" w:rsidP="00C10C8A">
      <w:pPr>
        <w:pStyle w:val="BodyText"/>
        <w:rPr>
          <w:lang w:val="en-AU"/>
        </w:rPr>
      </w:pPr>
      <w:r>
        <w:rPr>
          <w:lang w:val="en-AU"/>
        </w:rPr>
        <w:t>The disadvantage</w:t>
      </w:r>
      <w:r w:rsidR="00EE78BE">
        <w:rPr>
          <w:lang w:val="en-AU"/>
        </w:rPr>
        <w:t>s</w:t>
      </w:r>
      <w:r>
        <w:rPr>
          <w:lang w:val="en-AU"/>
        </w:rPr>
        <w:t xml:space="preserve"> of LBP </w:t>
      </w:r>
      <w:r w:rsidR="00EE78BE">
        <w:rPr>
          <w:lang w:val="en-AU"/>
        </w:rPr>
        <w:t>are</w:t>
      </w:r>
      <w:r>
        <w:rPr>
          <w:lang w:val="en-AU"/>
        </w:rPr>
        <w:t xml:space="preserve"> that it is not (</w:t>
      </w:r>
      <w:r w:rsidR="00040500">
        <w:rPr>
          <w:lang w:val="en-AU"/>
        </w:rPr>
        <w:t>without extensions</w:t>
      </w:r>
      <w:r>
        <w:rPr>
          <w:lang w:val="en-AU"/>
        </w:rPr>
        <w:t xml:space="preserve">) scale </w:t>
      </w:r>
      <w:r w:rsidR="00FD3F9E">
        <w:rPr>
          <w:lang w:val="en-AU"/>
        </w:rPr>
        <w:t>nor</w:t>
      </w:r>
      <w:r>
        <w:rPr>
          <w:lang w:val="en-AU"/>
        </w:rPr>
        <w:t xml:space="preserve"> rotation</w:t>
      </w:r>
      <w:r w:rsidR="00FD3F9E">
        <w:rPr>
          <w:lang w:val="en-AU"/>
        </w:rPr>
        <w:t>ally</w:t>
      </w:r>
      <w:r>
        <w:rPr>
          <w:lang w:val="en-AU"/>
        </w:rPr>
        <w:t xml:space="preserve"> </w:t>
      </w:r>
      <w:r w:rsidR="002C27C2">
        <w:rPr>
          <w:lang w:val="en-AU"/>
        </w:rPr>
        <w:t>invariant and</w:t>
      </w:r>
      <w:r w:rsidR="00EE78BE">
        <w:rPr>
          <w:lang w:val="en-AU"/>
        </w:rPr>
        <w:t xml:space="preserve"> does not consider colour information.</w:t>
      </w:r>
    </w:p>
    <w:p w14:paraId="25DE607D" w14:textId="5D634768" w:rsidR="009303D9" w:rsidRDefault="009F2C56" w:rsidP="00996E50">
      <w:pPr>
        <w:pStyle w:val="Heading2"/>
      </w:pPr>
      <w:r>
        <w:t>Scale-invariant Feature Transform (SIFT)</w:t>
      </w:r>
      <w:r w:rsidR="00F428B6">
        <w:t xml:space="preserve"> Features</w:t>
      </w:r>
    </w:p>
    <w:p w14:paraId="71E72881" w14:textId="578D4C40" w:rsidR="00996E50" w:rsidRDefault="00636127" w:rsidP="00C10C8A">
      <w:pPr>
        <w:pStyle w:val="BodyText"/>
        <w:rPr>
          <w:lang w:val="en-AU"/>
        </w:rPr>
      </w:pPr>
      <w:r>
        <w:rPr>
          <w:lang w:val="en-AU"/>
        </w:rPr>
        <w:t xml:space="preserve">SIFT [3, 4] generates feature descriptors from the local neighbourhoods around </w:t>
      </w:r>
      <w:r w:rsidR="00D70716">
        <w:rPr>
          <w:lang w:val="en-AU"/>
        </w:rPr>
        <w:t xml:space="preserve">the detected </w:t>
      </w:r>
      <w:r>
        <w:rPr>
          <w:lang w:val="en-AU"/>
        </w:rPr>
        <w:t>keypoints.</w:t>
      </w:r>
      <w:r w:rsidR="003B607D">
        <w:rPr>
          <w:lang w:val="en-AU"/>
        </w:rPr>
        <w:t xml:space="preserve"> First, the 16x16 region of pixels centred at the keypoint is </w:t>
      </w:r>
      <w:r w:rsidR="00CC6820">
        <w:rPr>
          <w:lang w:val="en-AU"/>
        </w:rPr>
        <w:t>considered and</w:t>
      </w:r>
      <w:r w:rsidR="003B607D">
        <w:rPr>
          <w:lang w:val="en-AU"/>
        </w:rPr>
        <w:t xml:space="preserve"> divided into 16 4x4 pixel blocks.</w:t>
      </w:r>
      <w:r w:rsidR="00CC6820">
        <w:rPr>
          <w:lang w:val="en-AU"/>
        </w:rPr>
        <w:t xml:space="preserve"> For each block, a</w:t>
      </w:r>
      <w:r w:rsidR="00FD7476">
        <w:rPr>
          <w:lang w:val="en-AU"/>
        </w:rPr>
        <w:t>n 8-bin</w:t>
      </w:r>
      <w:r w:rsidR="00CC6820">
        <w:rPr>
          <w:lang w:val="en-AU"/>
        </w:rPr>
        <w:t xml:space="preserve"> histogram of gradient orientations is created. The orientation of each pixel is calculated at the scale of the detected keypoint</w:t>
      </w:r>
      <w:r w:rsidR="002D7D8A">
        <w:rPr>
          <w:lang w:val="en-AU"/>
        </w:rPr>
        <w:t xml:space="preserve">, </w:t>
      </w:r>
      <w:r w:rsidR="00CC6820">
        <w:rPr>
          <w:lang w:val="en-AU"/>
        </w:rPr>
        <w:t>achieving scale invariance</w:t>
      </w:r>
      <w:r w:rsidR="002D7D8A">
        <w:rPr>
          <w:lang w:val="en-AU"/>
        </w:rPr>
        <w:t>,</w:t>
      </w:r>
      <w:r w:rsidR="00AF5A08">
        <w:rPr>
          <w:lang w:val="en-AU"/>
        </w:rPr>
        <w:t xml:space="preserve"> and</w:t>
      </w:r>
      <w:r w:rsidR="00CC6820">
        <w:rPr>
          <w:lang w:val="en-AU"/>
        </w:rPr>
        <w:t xml:space="preserve"> is given relative to the orientation of the keypoint</w:t>
      </w:r>
      <w:r w:rsidR="002D7D8A">
        <w:rPr>
          <w:lang w:val="en-AU"/>
        </w:rPr>
        <w:t xml:space="preserve">, </w:t>
      </w:r>
      <w:r w:rsidR="00CC6820">
        <w:rPr>
          <w:lang w:val="en-AU"/>
        </w:rPr>
        <w:t>achieving rotational invariance.</w:t>
      </w:r>
      <w:r w:rsidR="00FD16EA">
        <w:rPr>
          <w:lang w:val="en-AU"/>
        </w:rPr>
        <w:t xml:space="preserve"> Each pixel’s histogram vote is weighted by the magnitude of its gradient, </w:t>
      </w:r>
      <w:r w:rsidR="005F1399">
        <w:rPr>
          <w:lang w:val="en-AU"/>
        </w:rPr>
        <w:t>and</w:t>
      </w:r>
      <w:r w:rsidR="00FD16EA">
        <w:rPr>
          <w:lang w:val="en-AU"/>
        </w:rPr>
        <w:t xml:space="preserve"> by a Gaussian window centred at the keypoint.</w:t>
      </w:r>
      <w:r w:rsidR="00560D96">
        <w:rPr>
          <w:lang w:val="en-AU"/>
        </w:rPr>
        <w:t xml:space="preserve"> The 16 histograms are concatenated into a single 128-element vector to form the feature descriptor. Finally, this vector is </w:t>
      </w:r>
      <w:r w:rsidR="00502212">
        <w:rPr>
          <w:lang w:val="en-AU"/>
        </w:rPr>
        <w:t xml:space="preserve">thresholded and </w:t>
      </w:r>
      <w:r w:rsidR="00560D96">
        <w:rPr>
          <w:lang w:val="en-AU"/>
        </w:rPr>
        <w:t>normalised to achieve some invariance to illumination changes.</w:t>
      </w:r>
    </w:p>
    <w:p w14:paraId="00A998FF" w14:textId="7735AD42" w:rsidR="00DD79DB" w:rsidRDefault="00DD79DB" w:rsidP="00C10C8A">
      <w:pPr>
        <w:pStyle w:val="BodyText"/>
        <w:rPr>
          <w:lang w:val="en-AU"/>
        </w:rPr>
      </w:pPr>
      <w:r>
        <w:rPr>
          <w:lang w:val="en-AU"/>
        </w:rPr>
        <w:t>The main advantages of SIFT features is, of course, that they are invariant under scaling, rotation, and illumination changes.</w:t>
      </w:r>
      <w:r w:rsidR="002C27C2">
        <w:rPr>
          <w:lang w:val="en-AU"/>
        </w:rPr>
        <w:t xml:space="preserve"> Another advantage</w:t>
      </w:r>
      <w:r w:rsidR="00C064B9">
        <w:rPr>
          <w:lang w:val="en-AU"/>
        </w:rPr>
        <w:t>,</w:t>
      </w:r>
      <w:r w:rsidR="002C27C2">
        <w:rPr>
          <w:lang w:val="en-AU"/>
        </w:rPr>
        <w:t xml:space="preserve"> </w:t>
      </w:r>
      <w:r w:rsidR="00C064B9">
        <w:rPr>
          <w:lang w:val="en-AU"/>
        </w:rPr>
        <w:t>demonstrated in</w:t>
      </w:r>
      <w:r w:rsidR="002C27C2">
        <w:rPr>
          <w:lang w:val="en-AU"/>
        </w:rPr>
        <w:t xml:space="preserve"> [</w:t>
      </w:r>
      <w:r w:rsidR="002D27C7">
        <w:rPr>
          <w:lang w:val="en-AU"/>
        </w:rPr>
        <w:t>4</w:t>
      </w:r>
      <w:r w:rsidR="002C27C2">
        <w:rPr>
          <w:lang w:val="en-AU"/>
        </w:rPr>
        <w:t>]</w:t>
      </w:r>
      <w:r w:rsidR="00C064B9">
        <w:rPr>
          <w:lang w:val="en-AU"/>
        </w:rPr>
        <w:t xml:space="preserve">, is that the </w:t>
      </w:r>
      <w:r w:rsidR="00C93C8B">
        <w:rPr>
          <w:lang w:val="en-AU"/>
        </w:rPr>
        <w:t>high distinctiveness of the descriptors enables reliable feature matching even within very large databases</w:t>
      </w:r>
      <w:r w:rsidR="00C064B9">
        <w:rPr>
          <w:lang w:val="en-AU"/>
        </w:rPr>
        <w:t>.</w:t>
      </w:r>
    </w:p>
    <w:p w14:paraId="1AB61590" w14:textId="3A7EA814" w:rsidR="002C27C2" w:rsidRPr="00C10C8A" w:rsidRDefault="002C27C2" w:rsidP="00C10C8A">
      <w:pPr>
        <w:pStyle w:val="BodyText"/>
        <w:rPr>
          <w:lang w:val="en-AU"/>
        </w:rPr>
      </w:pPr>
      <w:r>
        <w:rPr>
          <w:lang w:val="en-AU"/>
        </w:rPr>
        <w:t>The disadvantages of SIFT features</w:t>
      </w:r>
      <w:r w:rsidR="006925D7">
        <w:rPr>
          <w:lang w:val="en-AU"/>
        </w:rPr>
        <w:t xml:space="preserve"> are that the algorithm is quite complex, and colour information is not considered.</w:t>
      </w:r>
      <w:r w:rsidR="00BA4862">
        <w:rPr>
          <w:lang w:val="en-AU"/>
        </w:rPr>
        <w:t xml:space="preserve"> [4] also notes that the high dimensionality of the feature descriptors inhibited feature matching efficiency when used with nearest-neighbour classification.</w:t>
      </w:r>
    </w:p>
    <w:p w14:paraId="15B65907" w14:textId="1D0FD04C" w:rsidR="00996E50" w:rsidRDefault="009F2C56" w:rsidP="00996E50">
      <w:pPr>
        <w:pStyle w:val="Heading2"/>
        <w:rPr>
          <w:lang w:val="en-AU"/>
        </w:rPr>
      </w:pPr>
      <w:r>
        <w:rPr>
          <w:lang w:val="en-AU"/>
        </w:rPr>
        <w:t>Histogram of Oriented Gradients (HOG)</w:t>
      </w:r>
      <w:r w:rsidR="00F428B6">
        <w:rPr>
          <w:lang w:val="en-AU"/>
        </w:rPr>
        <w:t xml:space="preserve"> Features</w:t>
      </w:r>
    </w:p>
    <w:p w14:paraId="1B618846" w14:textId="311292D7" w:rsidR="00C10C8A" w:rsidRDefault="00FD6E68" w:rsidP="00C10C8A">
      <w:pPr>
        <w:pStyle w:val="BodyText"/>
        <w:rPr>
          <w:lang w:val="en-AU"/>
        </w:rPr>
      </w:pPr>
      <w:r>
        <w:rPr>
          <w:lang w:val="en-AU"/>
        </w:rPr>
        <w:t>HOG</w:t>
      </w:r>
      <w:r w:rsidR="004205AC">
        <w:rPr>
          <w:lang w:val="en-AU"/>
        </w:rPr>
        <w:t xml:space="preserve"> [8]</w:t>
      </w:r>
      <w:r>
        <w:rPr>
          <w:lang w:val="en-AU"/>
        </w:rPr>
        <w:t xml:space="preserve"> </w:t>
      </w:r>
      <w:r w:rsidR="00A045D1">
        <w:rPr>
          <w:lang w:val="en-AU"/>
        </w:rPr>
        <w:t>generates a feature descriptor for an image (or image region)</w:t>
      </w:r>
      <w:r w:rsidR="00F561B2">
        <w:rPr>
          <w:lang w:val="en-AU"/>
        </w:rPr>
        <w:t>,</w:t>
      </w:r>
      <w:r w:rsidR="00A045D1">
        <w:rPr>
          <w:lang w:val="en-AU"/>
        </w:rPr>
        <w:t xml:space="preserve"> derived from 8x8 pixel cells</w:t>
      </w:r>
      <w:r w:rsidR="003739BD">
        <w:rPr>
          <w:lang w:val="en-AU"/>
        </w:rPr>
        <w:t>.</w:t>
      </w:r>
      <w:r>
        <w:rPr>
          <w:lang w:val="en-AU"/>
        </w:rPr>
        <w:t xml:space="preserve"> </w:t>
      </w:r>
      <w:r w:rsidR="004205AC">
        <w:rPr>
          <w:lang w:val="en-AU"/>
        </w:rPr>
        <w:t>A gradient orientation histogram is created for each cell. The histogram</w:t>
      </w:r>
      <w:r w:rsidR="0014773D">
        <w:rPr>
          <w:lang w:val="en-AU"/>
        </w:rPr>
        <w:t xml:space="preserve"> uses 9 bins for 0° to 180°, with orientations </w:t>
      </w:r>
      <w:r w:rsidR="003752E6">
        <w:rPr>
          <w:lang w:val="en-AU"/>
        </w:rPr>
        <w:t>taken</w:t>
      </w:r>
      <w:r w:rsidR="0014773D">
        <w:rPr>
          <w:lang w:val="en-AU"/>
        </w:rPr>
        <w:t xml:space="preserve"> modulo 180° (this was found to be most effective for human detection).</w:t>
      </w:r>
      <w:r w:rsidR="00ED685B">
        <w:rPr>
          <w:lang w:val="en-AU"/>
        </w:rPr>
        <w:t xml:space="preserve"> Each pixel’s vote is linearly interpolated between the two nearest histogram </w:t>
      </w:r>
      <w:r w:rsidR="00572611">
        <w:rPr>
          <w:lang w:val="en-AU"/>
        </w:rPr>
        <w:t>bins and</w:t>
      </w:r>
      <w:r w:rsidR="00ED685B">
        <w:rPr>
          <w:lang w:val="en-AU"/>
        </w:rPr>
        <w:t xml:space="preserve"> is additionally weighted by the </w:t>
      </w:r>
      <w:r w:rsidR="00871B4C">
        <w:rPr>
          <w:lang w:val="en-AU"/>
        </w:rPr>
        <w:t>magnitude of the gradient.</w:t>
      </w:r>
      <w:r w:rsidR="00572611">
        <w:rPr>
          <w:lang w:val="en-AU"/>
        </w:rPr>
        <w:t xml:space="preserve"> The cells are then grouped into overlapping 2x2 cell (16x16 pixel) blocks and normalised, </w:t>
      </w:r>
      <w:r w:rsidR="00203B5A">
        <w:rPr>
          <w:lang w:val="en-AU"/>
        </w:rPr>
        <w:t>to</w:t>
      </w:r>
      <w:r w:rsidR="00572611">
        <w:rPr>
          <w:lang w:val="en-AU"/>
        </w:rPr>
        <w:t xml:space="preserve"> account for local illumination changes.</w:t>
      </w:r>
      <w:r w:rsidR="00203B5A">
        <w:rPr>
          <w:lang w:val="en-AU"/>
        </w:rPr>
        <w:t xml:space="preserve"> Finally, the blocks are flattened and concatenated into a single vector</w:t>
      </w:r>
      <w:r w:rsidR="00163E1B">
        <w:rPr>
          <w:lang w:val="en-AU"/>
        </w:rPr>
        <w:t xml:space="preserve"> to form the feature descriptor.</w:t>
      </w:r>
    </w:p>
    <w:p w14:paraId="30980FA8" w14:textId="2C81028F" w:rsidR="00026C01" w:rsidRDefault="00026C01" w:rsidP="00C10C8A">
      <w:pPr>
        <w:pStyle w:val="BodyText"/>
        <w:rPr>
          <w:lang w:val="en-AU"/>
        </w:rPr>
      </w:pPr>
      <w:r>
        <w:rPr>
          <w:lang w:val="en-AU"/>
        </w:rPr>
        <w:t xml:space="preserve">The primary advantage of HOG features </w:t>
      </w:r>
      <w:r w:rsidR="0001674B">
        <w:rPr>
          <w:lang w:val="en-AU"/>
        </w:rPr>
        <w:t>is</w:t>
      </w:r>
      <w:r>
        <w:rPr>
          <w:lang w:val="en-AU"/>
        </w:rPr>
        <w:t xml:space="preserve"> their excellent performance in the detection of humans (significantly better than other techniques)</w:t>
      </w:r>
      <w:r w:rsidR="00103879">
        <w:rPr>
          <w:lang w:val="en-AU"/>
        </w:rPr>
        <w:t>, in part due to their illumination invariance [8].</w:t>
      </w:r>
    </w:p>
    <w:p w14:paraId="6C4C05FB" w14:textId="31E75A21" w:rsidR="00D41711" w:rsidRPr="00C10C8A" w:rsidRDefault="00D41711" w:rsidP="00C10C8A">
      <w:pPr>
        <w:pStyle w:val="BodyText"/>
        <w:rPr>
          <w:lang w:val="en-AU"/>
        </w:rPr>
      </w:pPr>
      <w:r>
        <w:rPr>
          <w:lang w:val="en-AU"/>
        </w:rPr>
        <w:t>The disadvantages of HOG features are that they are not scale nor rotationally invariant.</w:t>
      </w:r>
      <w:r w:rsidR="00BE6D90">
        <w:rPr>
          <w:lang w:val="en-AU"/>
        </w:rPr>
        <w:t xml:space="preserve"> Another possible disadvantage is the high dimensionality of the descriptor, which may be a challenge for classification.</w:t>
      </w:r>
    </w:p>
    <w:p w14:paraId="70D1E30E" w14:textId="4DEC75B2" w:rsidR="00C811BD" w:rsidRDefault="00C811BD" w:rsidP="00C811BD">
      <w:pPr>
        <w:pStyle w:val="Heading2"/>
        <w:rPr>
          <w:lang w:val="en-AU"/>
        </w:rPr>
      </w:pPr>
      <w:r>
        <w:rPr>
          <w:lang w:val="en-AU"/>
        </w:rPr>
        <w:t>Comparison of SIFT and HOG Descriptors</w:t>
      </w:r>
    </w:p>
    <w:p w14:paraId="2B9C9506" w14:textId="20034FA6" w:rsidR="00C10C8A" w:rsidRDefault="001D3235" w:rsidP="00C10C8A">
      <w:pPr>
        <w:pStyle w:val="BodyText"/>
        <w:rPr>
          <w:lang w:val="en-AU"/>
        </w:rPr>
      </w:pPr>
      <w:r>
        <w:rPr>
          <w:lang w:val="en-AU"/>
        </w:rPr>
        <w:t xml:space="preserve">Fig. </w:t>
      </w:r>
      <w:r w:rsidR="004F3FE5">
        <w:rPr>
          <w:lang w:val="en-AU"/>
        </w:rPr>
        <w:t>7</w:t>
      </w:r>
      <w:r>
        <w:rPr>
          <w:lang w:val="en-AU"/>
        </w:rPr>
        <w:t xml:space="preserve"> and </w:t>
      </w:r>
      <w:r w:rsidR="004F3FE5">
        <w:rPr>
          <w:lang w:val="en-AU"/>
        </w:rPr>
        <w:t>8</w:t>
      </w:r>
      <w:r>
        <w:rPr>
          <w:lang w:val="en-AU"/>
        </w:rPr>
        <w:t xml:space="preserve"> compare</w:t>
      </w:r>
      <w:r w:rsidR="00BC37E9">
        <w:rPr>
          <w:lang w:val="en-AU"/>
        </w:rPr>
        <w:t xml:space="preserve"> the similarity of</w:t>
      </w:r>
      <w:r>
        <w:rPr>
          <w:lang w:val="en-AU"/>
        </w:rPr>
        <w:t xml:space="preserve"> SIFT and HOG feature descriptors taken from </w:t>
      </w:r>
      <w:r w:rsidR="00FF0F88">
        <w:rPr>
          <w:lang w:val="en-AU"/>
        </w:rPr>
        <w:t xml:space="preserve">a region of </w:t>
      </w:r>
      <w:r>
        <w:rPr>
          <w:lang w:val="en-AU"/>
        </w:rPr>
        <w:t>the dugong image, across different scales and rotations.</w:t>
      </w:r>
      <w:r w:rsidR="00FF0F88">
        <w:rPr>
          <w:lang w:val="en-AU"/>
        </w:rPr>
        <w:t xml:space="preserve"> The </w:t>
      </w:r>
      <w:r w:rsidR="006C0D10">
        <w:rPr>
          <w:lang w:val="en-AU"/>
        </w:rPr>
        <w:t>descriptors are taken at SIFT keypoints that match in location and orientation across all versions of the image. For each transform</w:t>
      </w:r>
      <w:r w:rsidR="0043023D">
        <w:rPr>
          <w:lang w:val="en-AU"/>
        </w:rPr>
        <w:t>ed version of the image</w:t>
      </w:r>
      <w:r w:rsidR="006C0D10">
        <w:rPr>
          <w:lang w:val="en-AU"/>
        </w:rPr>
        <w:t xml:space="preserve">, the </w:t>
      </w:r>
      <w:r w:rsidR="0043023D">
        <w:rPr>
          <w:lang w:val="en-AU"/>
        </w:rPr>
        <w:t>Euclidean distance</w:t>
      </w:r>
      <w:r w:rsidR="00F70F30">
        <w:rPr>
          <w:lang w:val="en-AU"/>
        </w:rPr>
        <w:t xml:space="preserve"> is calculated between </w:t>
      </w:r>
      <w:r w:rsidR="00527574">
        <w:rPr>
          <w:lang w:val="en-AU"/>
        </w:rPr>
        <w:t>its</w:t>
      </w:r>
      <w:r w:rsidR="00F70F30">
        <w:rPr>
          <w:lang w:val="en-AU"/>
        </w:rPr>
        <w:t xml:space="preserve"> matrix </w:t>
      </w:r>
      <w:r w:rsidR="008F2154">
        <w:rPr>
          <w:noProof/>
        </w:rPr>
        <w:lastRenderedPageBreak/>
        <w:drawing>
          <wp:anchor distT="0" distB="0" distL="114300" distR="114300" simplePos="0" relativeHeight="251695616" behindDoc="0" locked="0" layoutInCell="1" allowOverlap="1" wp14:anchorId="7BF16D15" wp14:editId="02617E88">
            <wp:simplePos x="0" y="0"/>
            <wp:positionH relativeFrom="margin">
              <wp:posOffset>1956</wp:posOffset>
            </wp:positionH>
            <wp:positionV relativeFrom="page">
              <wp:posOffset>3321101</wp:posOffset>
            </wp:positionV>
            <wp:extent cx="3089910" cy="2664460"/>
            <wp:effectExtent l="0" t="0" r="0" b="2540"/>
            <wp:wrapTopAndBottom/>
            <wp:docPr id="6" name="Group 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64460"/>
                      <a:chOff x="0" y="0"/>
                      <a:chExt cx="3089910" cy="2664968"/>
                    </a:xfrm>
                  </wp:grpSpPr>
                  <pic:pic xmlns:pic="http://purl.oclc.org/ooxml/drawingml/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5" name="Text Box 5"/>
                    <wp:cNvSpPr txBox="1"/>
                    <wp:spPr>
                      <a:xfrm>
                        <a:off x="0" y="2304288"/>
                        <a:ext cx="3089910" cy="360680"/>
                      </a:xfrm>
                      <a:prstGeom prst="rect">
                        <a:avLst/>
                      </a:prstGeom>
                      <a:solidFill>
                        <a:prstClr val="white"/>
                      </a:solidFill>
                      <a:ln>
                        <a:noFill/>
                      </a:ln>
                    </wp:spPr>
                    <wp:txbx>
                      <wne:txbxContent>
                        <w:p w14:paraId="31697271" w14:textId="2EE7CBEB" w:rsidR="00BD39DC" w:rsidRPr="00584390" w:rsidRDefault="00BD39DC" w:rsidP="00BD39DC">
                          <w:pPr>
                            <w:pStyle w:val="Caption"/>
                            <w:rPr>
                              <w:noProof/>
                              <w:spacing w:val="-1"/>
                              <w:sz w:val="20"/>
                              <w:szCs w:val="20"/>
                              <w:lang w:val="x-none" w:eastAsia="x-none"/>
                            </w:rPr>
                          </w:pPr>
                          <w:r>
                            <w:t>Fig. 8. SIFT and HOG feature descriptor similarity across rotated versions of a region of 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A058C7">
        <w:rPr>
          <w:noProof/>
          <w:lang w:val="en-AU"/>
        </w:rPr>
        <w:drawing>
          <wp:anchor distT="0" distB="0" distL="114300" distR="114300" simplePos="0" relativeHeight="251691520" behindDoc="0" locked="0" layoutInCell="1" allowOverlap="1" wp14:anchorId="56CD3D37" wp14:editId="2AFC2ECB">
            <wp:simplePos x="0" y="0"/>
            <wp:positionH relativeFrom="column">
              <wp:posOffset>1956</wp:posOffset>
            </wp:positionH>
            <wp:positionV relativeFrom="page">
              <wp:posOffset>694944</wp:posOffset>
            </wp:positionV>
            <wp:extent cx="3091180" cy="2664460"/>
            <wp:effectExtent l="0" t="0" r="0" b="2540"/>
            <wp:wrapTopAndBottom/>
            <wp:docPr id="3" name="Group 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1180" cy="2664460"/>
                      <a:chOff x="0" y="0"/>
                      <a:chExt cx="3091180" cy="2664968"/>
                    </a:xfrm>
                  </wp:grpSpPr>
                  <pic:pic xmlns:pic="http://purl.oclc.org/ooxml/drawingml/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91180" cy="2318385"/>
                      </a:xfrm>
                      <a:prstGeom prst="rect">
                        <a:avLst/>
                      </a:prstGeom>
                    </pic:spPr>
                  </pic:pic>
                  <wp:wsp>
                    <wp:cNvPr id="2" name="Text Box 2"/>
                    <wp:cNvSpPr txBox="1"/>
                    <wp:spPr>
                      <a:xfrm>
                        <a:off x="0" y="2304288"/>
                        <a:ext cx="3091180" cy="360680"/>
                      </a:xfrm>
                      <a:prstGeom prst="rect">
                        <a:avLst/>
                      </a:prstGeom>
                      <a:solidFill>
                        <a:prstClr val="white"/>
                      </a:solidFill>
                      <a:ln>
                        <a:noFill/>
                      </a:ln>
                    </wp:spPr>
                    <wp:txbx>
                      <wne:txbxContent>
                        <w:p w14:paraId="06809908" w14:textId="1261A80F" w:rsidR="0027101B" w:rsidRPr="008F4129" w:rsidRDefault="0027101B" w:rsidP="0027101B">
                          <w:pPr>
                            <w:pStyle w:val="Caption"/>
                            <w:rPr>
                              <w:spacing w:val="-1"/>
                              <w:sz w:val="20"/>
                              <w:szCs w:val="20"/>
                              <w:lang w:eastAsia="x-none"/>
                            </w:rPr>
                          </w:pPr>
                          <w:r>
                            <w:t xml:space="preserve">Fig. 7. SIFT and HOG feature descriptor similarity across scaled versions of </w:t>
                          </w:r>
                          <w:r w:rsidR="00552E18">
                            <w:t>a region of t</w:t>
                          </w:r>
                          <w:r>
                            <w: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F70F30">
        <w:rPr>
          <w:lang w:val="en-AU"/>
        </w:rPr>
        <w:t xml:space="preserve">of descriptors and </w:t>
      </w:r>
      <w:r w:rsidR="00527574">
        <w:rPr>
          <w:lang w:val="en-AU"/>
        </w:rPr>
        <w:t>the matrix of descriptors</w:t>
      </w:r>
      <w:r w:rsidR="00F70F30">
        <w:rPr>
          <w:lang w:val="en-AU"/>
        </w:rPr>
        <w:t xml:space="preserve"> </w:t>
      </w:r>
      <w:r w:rsidR="00334F32">
        <w:rPr>
          <w:lang w:val="en-AU"/>
        </w:rPr>
        <w:t>from</w:t>
      </w:r>
      <w:r w:rsidR="00F70F30">
        <w:rPr>
          <w:lang w:val="en-AU"/>
        </w:rPr>
        <w:t xml:space="preserve"> the original, untransformed image</w:t>
      </w:r>
      <w:r w:rsidR="00B82E61">
        <w:rPr>
          <w:lang w:val="en-AU"/>
        </w:rPr>
        <w:t>.</w:t>
      </w:r>
    </w:p>
    <w:p w14:paraId="7BBFE307" w14:textId="00DA196F" w:rsidR="008F2154" w:rsidRDefault="008F2154" w:rsidP="00C10C8A">
      <w:pPr>
        <w:pStyle w:val="BodyText"/>
        <w:rPr>
          <w:lang w:val="en-AU"/>
        </w:rPr>
      </w:pPr>
      <w:r>
        <w:rPr>
          <w:lang w:val="en-AU"/>
        </w:rPr>
        <w:t>As expected, the HOG descriptors exhibit less similarity as the degree of transformation increases</w:t>
      </w:r>
      <w:r w:rsidR="00E013BB">
        <w:rPr>
          <w:lang w:val="en-AU"/>
        </w:rPr>
        <w:t xml:space="preserve">, since HOG is </w:t>
      </w:r>
      <w:r w:rsidR="00705210">
        <w:rPr>
          <w:lang w:val="en-AU"/>
        </w:rPr>
        <w:t>variant under scaling and rotation</w:t>
      </w:r>
      <w:r w:rsidR="00E013BB">
        <w:rPr>
          <w:lang w:val="en-AU"/>
        </w:rPr>
        <w:t>.</w:t>
      </w:r>
      <w:r w:rsidR="00D23B7E">
        <w:rPr>
          <w:lang w:val="en-AU"/>
        </w:rPr>
        <w:t xml:space="preserve"> The SIFT descriptors also exhibit some dissimilarity</w:t>
      </w:r>
      <w:r w:rsidR="004B2CEF">
        <w:rPr>
          <w:lang w:val="en-AU"/>
        </w:rPr>
        <w:t>;</w:t>
      </w:r>
      <w:r w:rsidR="00D23B7E">
        <w:rPr>
          <w:lang w:val="en-AU"/>
        </w:rPr>
        <w:t xml:space="preserve"> however, to a lesser amount. Critically, while the HOG descriptor similarity </w:t>
      </w:r>
      <w:r w:rsidR="000D5FCE">
        <w:rPr>
          <w:lang w:val="en-AU"/>
        </w:rPr>
        <w:t xml:space="preserve">is </w:t>
      </w:r>
      <w:r w:rsidR="0018511E">
        <w:rPr>
          <w:lang w:val="en-AU"/>
        </w:rPr>
        <w:t xml:space="preserve">strictly </w:t>
      </w:r>
      <w:r w:rsidR="000D5FCE">
        <w:rPr>
          <w:lang w:val="en-AU"/>
        </w:rPr>
        <w:t>decreasing</w:t>
      </w:r>
      <w:r w:rsidR="00D23B7E">
        <w:rPr>
          <w:lang w:val="en-AU"/>
        </w:rPr>
        <w:t>, the SIFT descriptor similarity is not particularly correlated to the amount of transformation</w:t>
      </w:r>
      <w:r w:rsidR="007D0910">
        <w:rPr>
          <w:lang w:val="en-AU"/>
        </w:rPr>
        <w:t xml:space="preserve">. </w:t>
      </w:r>
      <w:r w:rsidR="008569A2">
        <w:rPr>
          <w:lang w:val="en-AU"/>
        </w:rPr>
        <w:t>This result highlights the scale and rotational invariance of SIFT.</w:t>
      </w:r>
    </w:p>
    <w:p w14:paraId="774D6BDA" w14:textId="40338422" w:rsidR="00C2773C" w:rsidRPr="00C10C8A" w:rsidRDefault="00C2773C" w:rsidP="00C10C8A">
      <w:pPr>
        <w:pStyle w:val="BodyText"/>
        <w:rPr>
          <w:lang w:val="en-AU"/>
        </w:rPr>
      </w:pPr>
      <w:r>
        <w:rPr>
          <w:lang w:val="en-AU"/>
        </w:rPr>
        <w:t>Interestingly, both SIFT and HOG descriptors exhibit a large jump in dissimilarity between the untransformed image versions and the first transformed version.</w:t>
      </w:r>
      <w:r w:rsidR="007D0910">
        <w:rPr>
          <w:lang w:val="en-AU"/>
        </w:rPr>
        <w:t xml:space="preserve"> </w:t>
      </w:r>
      <w:r w:rsidR="004E5E73">
        <w:rPr>
          <w:lang w:val="en-AU"/>
        </w:rPr>
        <w:t>From a theoretical standpoint, I would expect the smallest amount of transformation to produce the smallest descriptor difference</w:t>
      </w:r>
      <w:r w:rsidR="009042BA">
        <w:rPr>
          <w:lang w:val="en-AU"/>
        </w:rPr>
        <w:t xml:space="preserve">. </w:t>
      </w:r>
      <w:r w:rsidR="009042BA">
        <w:rPr>
          <w:lang w:val="en-AU"/>
        </w:rPr>
        <w:t xml:space="preserve">Additionally, the SIFT descriptor </w:t>
      </w:r>
      <w:r w:rsidR="009042BA">
        <w:rPr>
          <w:lang w:val="en-AU"/>
        </w:rPr>
        <w:t>difference</w:t>
      </w:r>
      <w:r w:rsidR="009042BA">
        <w:rPr>
          <w:lang w:val="en-AU"/>
        </w:rPr>
        <w:t xml:space="preserve"> </w:t>
      </w:r>
      <w:r w:rsidR="009042BA">
        <w:rPr>
          <w:lang w:val="en-AU"/>
        </w:rPr>
        <w:t>decreases</w:t>
      </w:r>
      <w:r w:rsidR="009042BA">
        <w:rPr>
          <w:lang w:val="en-AU"/>
        </w:rPr>
        <w:t xml:space="preserve"> from scales of 1.6x to 2x</w:t>
      </w:r>
      <w:r w:rsidR="009042BA">
        <w:rPr>
          <w:lang w:val="en-AU"/>
        </w:rPr>
        <w:t xml:space="preserve"> – I would expect that it stays the same or increases slightly.</w:t>
      </w:r>
      <w:r w:rsidR="009042BA">
        <w:rPr>
          <w:lang w:val="en-AU"/>
        </w:rPr>
        <w:t xml:space="preserve"> </w:t>
      </w:r>
      <w:r w:rsidR="009042BA">
        <w:rPr>
          <w:lang w:val="en-AU"/>
        </w:rPr>
        <w:t xml:space="preserve">I </w:t>
      </w:r>
      <w:r w:rsidR="00E503F3">
        <w:rPr>
          <w:lang w:val="en-AU"/>
        </w:rPr>
        <w:t>believe these observations are</w:t>
      </w:r>
      <w:r w:rsidR="009042BA">
        <w:rPr>
          <w:lang w:val="en-AU"/>
        </w:rPr>
        <w:t xml:space="preserve"> an effect of the image resampling during scaling/rotation.</w:t>
      </w:r>
      <w:r w:rsidR="00150C93">
        <w:rPr>
          <w:lang w:val="en-AU"/>
        </w:rPr>
        <w:t xml:space="preserve"> Preliminary testing with the application of a transformation followed by the inverse transformation</w:t>
      </w:r>
      <w:r w:rsidR="007055B4">
        <w:rPr>
          <w:lang w:val="en-AU"/>
        </w:rPr>
        <w:t xml:space="preserve"> – theoretically </w:t>
      </w:r>
      <w:r w:rsidR="00150C93">
        <w:rPr>
          <w:lang w:val="en-AU"/>
        </w:rPr>
        <w:t>producing no chang</w:t>
      </w:r>
      <w:r w:rsidR="00E503F3">
        <w:rPr>
          <w:lang w:val="en-AU"/>
        </w:rPr>
        <w:t xml:space="preserve">e – </w:t>
      </w:r>
      <w:r w:rsidR="008A31C2">
        <w:rPr>
          <w:lang w:val="en-AU"/>
        </w:rPr>
        <w:t>shows similar patterns</w:t>
      </w:r>
      <w:r w:rsidR="00E503F3">
        <w:rPr>
          <w:lang w:val="en-AU"/>
        </w:rPr>
        <w:t>.</w:t>
      </w:r>
      <w:r w:rsidR="00F00189">
        <w:rPr>
          <w:lang w:val="en-AU"/>
        </w:rPr>
        <w:t xml:space="preserve"> Further investigation may be required to determine the effect</w:t>
      </w:r>
      <w:r w:rsidR="00EA6FFE">
        <w:rPr>
          <w:lang w:val="en-AU"/>
        </w:rPr>
        <w:t>s</w:t>
      </w:r>
      <w:r w:rsidR="00F00189">
        <w:rPr>
          <w:lang w:val="en-AU"/>
        </w:rPr>
        <w:t xml:space="preserve"> of resampling on the results presented here.</w:t>
      </w:r>
    </w:p>
    <w:p w14:paraId="5F285AF3" w14:textId="20B5691B" w:rsidR="009303D9" w:rsidRDefault="009303D9" w:rsidP="006B6B66">
      <w:pPr>
        <w:pStyle w:val="Heading1"/>
      </w:pPr>
      <w:r>
        <w:t xml:space="preserve">Prepare Your Paper </w:t>
      </w:r>
      <w:r w:rsidRPr="005B520E">
        <w:t>Before</w:t>
      </w:r>
      <w:r>
        <w:t xml:space="preserve"> Styling</w:t>
      </w:r>
    </w:p>
    <w:p w14:paraId="2A35F751" w14:textId="6F68874E"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5DAC80" w14:textId="79D9D459"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F8EAD" w14:textId="1A033E3F" w:rsidR="009303D9" w:rsidRDefault="009303D9" w:rsidP="00ED0149">
      <w:pPr>
        <w:pStyle w:val="Heading2"/>
      </w:pPr>
      <w:r w:rsidRPr="00ED0149">
        <w:t>Abbreviations</w:t>
      </w:r>
      <w:r>
        <w:t xml:space="preserve"> and Acronyms</w:t>
      </w:r>
    </w:p>
    <w:p w14:paraId="49017D81" w14:textId="2DE5A14C"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938A50A" w14:textId="1F2B489B" w:rsidR="009303D9" w:rsidRDefault="009303D9" w:rsidP="00ED0149">
      <w:pPr>
        <w:pStyle w:val="Heading2"/>
      </w:pPr>
      <w:r>
        <w:t>Units</w:t>
      </w:r>
    </w:p>
    <w:p w14:paraId="6D204F0A" w14:textId="06E3104A"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852DBE" w14:textId="74413DDE"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F389649" w14:textId="5464DFD5"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BE185E3" w14:textId="63EFAA8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DA0485" w14:textId="3C8045D2" w:rsidR="009303D9" w:rsidRPr="005B520E" w:rsidRDefault="009303D9" w:rsidP="00ED0149">
      <w:pPr>
        <w:pStyle w:val="Heading2"/>
      </w:pPr>
      <w:r w:rsidRPr="005B520E">
        <w:t>Equations</w:t>
      </w:r>
    </w:p>
    <w:p w14:paraId="07EC3EDB" w14:textId="62CFE5A2"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34178D" w14:textId="6E2E3CB5"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783459" w14:textId="5F64FB0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7CEFA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C03CCA3" w14:textId="77777777" w:rsidR="009303D9" w:rsidRDefault="009303D9" w:rsidP="00ED0149">
      <w:pPr>
        <w:pStyle w:val="Heading2"/>
      </w:pPr>
      <w:r>
        <w:lastRenderedPageBreak/>
        <w:t>Some Common Mistakes</w:t>
      </w:r>
    </w:p>
    <w:p w14:paraId="68CE6EBE" w14:textId="77777777" w:rsidR="009303D9" w:rsidRPr="005B520E" w:rsidRDefault="009303D9" w:rsidP="00E7596C">
      <w:pPr>
        <w:pStyle w:val="bulletlist"/>
      </w:pPr>
      <w:r w:rsidRPr="005B520E">
        <w:t>The word “data” is plural, not singular.</w:t>
      </w:r>
    </w:p>
    <w:p w14:paraId="527B4D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F0F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E9646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BD5CE6" w14:textId="77777777" w:rsidR="009303D9" w:rsidRPr="005B520E" w:rsidRDefault="009303D9" w:rsidP="00E7596C">
      <w:pPr>
        <w:pStyle w:val="bulletlist"/>
      </w:pPr>
      <w:r w:rsidRPr="005B520E">
        <w:t>Do not use the word “essentially” to mean “approximately” or “effectively”.</w:t>
      </w:r>
    </w:p>
    <w:p w14:paraId="7BA18DB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C76F9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11CB41" w14:textId="77777777" w:rsidR="009303D9" w:rsidRPr="005B520E" w:rsidRDefault="009303D9" w:rsidP="00E7596C">
      <w:pPr>
        <w:pStyle w:val="bulletlist"/>
      </w:pPr>
      <w:r w:rsidRPr="005B520E">
        <w:t>Do not confuse “imply” and “infer”.</w:t>
      </w:r>
    </w:p>
    <w:p w14:paraId="42AF41C6" w14:textId="77777777" w:rsidR="009303D9" w:rsidRPr="005B520E" w:rsidRDefault="009303D9" w:rsidP="00E7596C">
      <w:pPr>
        <w:pStyle w:val="bulletlist"/>
      </w:pPr>
      <w:r w:rsidRPr="005B520E">
        <w:t>The prefix “non” is not a word; it should be joined to the word it modifies, usually without a hyphen.</w:t>
      </w:r>
    </w:p>
    <w:p w14:paraId="587B1581" w14:textId="77777777" w:rsidR="009303D9" w:rsidRPr="005B520E" w:rsidRDefault="009303D9" w:rsidP="00E7596C">
      <w:pPr>
        <w:pStyle w:val="bulletlist"/>
      </w:pPr>
      <w:r w:rsidRPr="005B520E">
        <w:t>There is no period after the “et” in the Latin abbreviation “et al.”.</w:t>
      </w:r>
    </w:p>
    <w:p w14:paraId="04F4E822" w14:textId="77777777" w:rsidR="009303D9" w:rsidRPr="005B520E" w:rsidRDefault="009303D9" w:rsidP="00E7596C">
      <w:pPr>
        <w:pStyle w:val="bulletlist"/>
      </w:pPr>
      <w:r w:rsidRPr="005B520E">
        <w:t>The abbreviation “i.e.” means “that is”, and the abbreviation “e.g.” means “for example”.</w:t>
      </w:r>
    </w:p>
    <w:p w14:paraId="427A13E7" w14:textId="77777777" w:rsidR="009303D9" w:rsidRPr="005B520E" w:rsidRDefault="009303D9" w:rsidP="00E7596C">
      <w:pPr>
        <w:pStyle w:val="BodyText"/>
      </w:pPr>
      <w:r w:rsidRPr="005B520E">
        <w:t>An excellent style manual for science writers is [7].</w:t>
      </w:r>
    </w:p>
    <w:p w14:paraId="605A5D8E" w14:textId="77777777" w:rsidR="009303D9" w:rsidRDefault="009303D9" w:rsidP="006B6B66">
      <w:pPr>
        <w:pStyle w:val="Heading1"/>
      </w:pPr>
      <w:r>
        <w:t xml:space="preserve">Using the </w:t>
      </w:r>
      <w:r w:rsidRPr="005B520E">
        <w:t>Template</w:t>
      </w:r>
    </w:p>
    <w:p w14:paraId="05C40C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58EF1" w14:textId="77777777" w:rsidR="009303D9" w:rsidRDefault="009303D9" w:rsidP="00ED0149">
      <w:pPr>
        <w:pStyle w:val="Heading2"/>
      </w:pPr>
      <w:r w:rsidRPr="005B520E">
        <w:t>Authors</w:t>
      </w:r>
      <w:r>
        <w:t xml:space="preserve"> and Affiliations</w:t>
      </w:r>
    </w:p>
    <w:p w14:paraId="4F19A22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56E432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13F81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21E6B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9D02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7AFA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9B01CB" w14:textId="77777777" w:rsidR="006F6D3D" w:rsidRDefault="006F6D3D" w:rsidP="006F6D3D">
      <w:pPr>
        <w:jc w:val="start"/>
        <w:rPr>
          <w:i/>
          <w:iCs/>
          <w:noProof/>
        </w:rPr>
      </w:pPr>
    </w:p>
    <w:p w14:paraId="27A0BE4F" w14:textId="77777777" w:rsidR="009303D9" w:rsidRDefault="009303D9" w:rsidP="00ED0149">
      <w:pPr>
        <w:pStyle w:val="Heading2"/>
      </w:pPr>
      <w:r w:rsidRPr="005B520E">
        <w:t>Identify</w:t>
      </w:r>
      <w:r>
        <w:t xml:space="preserve"> the Headings</w:t>
      </w:r>
    </w:p>
    <w:p w14:paraId="5CB1B6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EDE1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89ED7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66FBE3" w14:textId="77777777" w:rsidR="009303D9" w:rsidRDefault="009303D9" w:rsidP="00ED0149">
      <w:pPr>
        <w:pStyle w:val="Heading2"/>
      </w:pPr>
      <w:r>
        <w:t>Figures and Tables</w:t>
      </w:r>
    </w:p>
    <w:p w14:paraId="46DA2C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EEC4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71335C5" w14:textId="77777777">
        <w:trPr>
          <w:cantSplit/>
          <w:trHeight w:val="240"/>
          <w:tblHeader/>
          <w:jc w:val="center"/>
        </w:trPr>
        <w:tc>
          <w:tcPr>
            <w:tcW w:w="36pt" w:type="dxa"/>
            <w:vMerge w:val="restart"/>
            <w:vAlign w:val="center"/>
          </w:tcPr>
          <w:p w14:paraId="75067B69" w14:textId="77777777" w:rsidR="009303D9" w:rsidRDefault="009303D9">
            <w:pPr>
              <w:pStyle w:val="tablecolhead"/>
            </w:pPr>
            <w:r>
              <w:t>Table Head</w:t>
            </w:r>
          </w:p>
        </w:tc>
        <w:tc>
          <w:tcPr>
            <w:tcW w:w="207pt" w:type="dxa"/>
            <w:gridSpan w:val="3"/>
            <w:vAlign w:val="center"/>
          </w:tcPr>
          <w:p w14:paraId="14B962E2" w14:textId="77777777" w:rsidR="009303D9" w:rsidRDefault="009303D9">
            <w:pPr>
              <w:pStyle w:val="tablecolhead"/>
            </w:pPr>
            <w:r>
              <w:t>Table Column Head</w:t>
            </w:r>
          </w:p>
        </w:tc>
      </w:tr>
      <w:tr w:rsidR="009303D9" w14:paraId="4707884C" w14:textId="77777777">
        <w:trPr>
          <w:cantSplit/>
          <w:trHeight w:val="240"/>
          <w:tblHeader/>
          <w:jc w:val="center"/>
        </w:trPr>
        <w:tc>
          <w:tcPr>
            <w:tcW w:w="36pt" w:type="dxa"/>
            <w:vMerge/>
          </w:tcPr>
          <w:p w14:paraId="27028CDA" w14:textId="77777777" w:rsidR="009303D9" w:rsidRDefault="009303D9">
            <w:pPr>
              <w:rPr>
                <w:sz w:val="16"/>
                <w:szCs w:val="16"/>
              </w:rPr>
            </w:pPr>
          </w:p>
        </w:tc>
        <w:tc>
          <w:tcPr>
            <w:tcW w:w="117pt" w:type="dxa"/>
            <w:vAlign w:val="center"/>
          </w:tcPr>
          <w:p w14:paraId="27E24935" w14:textId="77777777" w:rsidR="009303D9" w:rsidRDefault="009303D9">
            <w:pPr>
              <w:pStyle w:val="tablecolsubhead"/>
            </w:pPr>
            <w:r>
              <w:t>Table column subhead</w:t>
            </w:r>
          </w:p>
        </w:tc>
        <w:tc>
          <w:tcPr>
            <w:tcW w:w="45pt" w:type="dxa"/>
            <w:vAlign w:val="center"/>
          </w:tcPr>
          <w:p w14:paraId="2F1F5111" w14:textId="77777777" w:rsidR="009303D9" w:rsidRDefault="009303D9">
            <w:pPr>
              <w:pStyle w:val="tablecolsubhead"/>
            </w:pPr>
            <w:r>
              <w:t>Subhead</w:t>
            </w:r>
          </w:p>
        </w:tc>
        <w:tc>
          <w:tcPr>
            <w:tcW w:w="45pt" w:type="dxa"/>
            <w:vAlign w:val="center"/>
          </w:tcPr>
          <w:p w14:paraId="5F75D8B5" w14:textId="77777777" w:rsidR="009303D9" w:rsidRDefault="009303D9">
            <w:pPr>
              <w:pStyle w:val="tablecolsubhead"/>
            </w:pPr>
            <w:r>
              <w:t>Subhead</w:t>
            </w:r>
          </w:p>
        </w:tc>
      </w:tr>
      <w:tr w:rsidR="009303D9" w14:paraId="1504EF61" w14:textId="77777777">
        <w:trPr>
          <w:trHeight w:val="320"/>
          <w:jc w:val="center"/>
        </w:trPr>
        <w:tc>
          <w:tcPr>
            <w:tcW w:w="36pt" w:type="dxa"/>
            <w:vAlign w:val="center"/>
          </w:tcPr>
          <w:p w14:paraId="07049EB5" w14:textId="77777777" w:rsidR="009303D9" w:rsidRDefault="009303D9">
            <w:pPr>
              <w:pStyle w:val="tablecopy"/>
              <w:rPr>
                <w:sz w:val="8"/>
                <w:szCs w:val="8"/>
              </w:rPr>
            </w:pPr>
            <w:r>
              <w:t>copy</w:t>
            </w:r>
          </w:p>
        </w:tc>
        <w:tc>
          <w:tcPr>
            <w:tcW w:w="117pt" w:type="dxa"/>
            <w:vAlign w:val="center"/>
          </w:tcPr>
          <w:p w14:paraId="57494A16" w14:textId="77777777" w:rsidR="009303D9" w:rsidRDefault="009303D9">
            <w:pPr>
              <w:pStyle w:val="tablecopy"/>
            </w:pPr>
            <w:r>
              <w:t>More table copy</w:t>
            </w:r>
            <w:r>
              <w:rPr>
                <w:vertAlign w:val="superscript"/>
              </w:rPr>
              <w:t>a</w:t>
            </w:r>
          </w:p>
        </w:tc>
        <w:tc>
          <w:tcPr>
            <w:tcW w:w="45pt" w:type="dxa"/>
            <w:vAlign w:val="center"/>
          </w:tcPr>
          <w:p w14:paraId="31AC2102" w14:textId="77777777" w:rsidR="009303D9" w:rsidRDefault="009303D9">
            <w:pPr>
              <w:rPr>
                <w:sz w:val="16"/>
                <w:szCs w:val="16"/>
              </w:rPr>
            </w:pPr>
          </w:p>
        </w:tc>
        <w:tc>
          <w:tcPr>
            <w:tcW w:w="45pt" w:type="dxa"/>
            <w:vAlign w:val="center"/>
          </w:tcPr>
          <w:p w14:paraId="337B1C99" w14:textId="77777777" w:rsidR="009303D9" w:rsidRDefault="009303D9">
            <w:pPr>
              <w:rPr>
                <w:sz w:val="16"/>
                <w:szCs w:val="16"/>
              </w:rPr>
            </w:pPr>
          </w:p>
        </w:tc>
      </w:tr>
    </w:tbl>
    <w:p w14:paraId="79600E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28129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5D71D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4E4EFE4"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7DD3CC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64BF8C" w14:textId="77777777" w:rsidR="009303D9" w:rsidRDefault="009303D9" w:rsidP="00A059B3">
      <w:pPr>
        <w:pStyle w:val="Heading5"/>
      </w:pPr>
      <w:r w:rsidRPr="005B520E">
        <w:t>References</w:t>
      </w:r>
    </w:p>
    <w:p w14:paraId="511527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887C6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199B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769D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BF679B" w14:textId="77777777" w:rsidR="009303D9" w:rsidRDefault="009303D9" w:rsidP="00A45EDB">
      <w:pPr>
        <w:pStyle w:val="references"/>
        <w:numPr>
          <w:ilvl w:val="0"/>
          <w:numId w:val="0"/>
        </w:numPr>
      </w:pPr>
    </w:p>
    <w:p w14:paraId="26F6681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F417780" w14:textId="77777777" w:rsidR="007221F6" w:rsidRDefault="007221F6">
      <w:pPr>
        <w:jc w:val="start"/>
      </w:pPr>
      <w:r>
        <w:br w:type="page"/>
      </w:r>
    </w:p>
    <w:p w14:paraId="57E8BB6C" w14:textId="3FE1B47E" w:rsidR="00D318E3" w:rsidRDefault="007221F6" w:rsidP="005C0C2C">
      <w:pPr>
        <w:pStyle w:val="Heading5"/>
      </w:pPr>
      <w:r>
        <w:lastRenderedPageBreak/>
        <w:t>References</w:t>
      </w:r>
    </w:p>
    <w:p w14:paraId="5D4D4C1F" w14:textId="437EB743" w:rsidR="005C0C2C" w:rsidRDefault="00D362AB" w:rsidP="006B0D55">
      <w:pPr>
        <w:pStyle w:val="references"/>
      </w:pPr>
      <w:r>
        <w:t xml:space="preserve">C. Harris and M. Stephens, “A combined corner and edge detector,” </w:t>
      </w:r>
      <w:r>
        <w:rPr>
          <w:i/>
          <w:iCs/>
        </w:rPr>
        <w:t>Alvey Vision Conference</w:t>
      </w:r>
      <w:r>
        <w:t>, vol. 15, no. 50, pp. 147-151</w:t>
      </w:r>
      <w:r w:rsidR="000D12E9">
        <w:t>, 1988.</w:t>
      </w:r>
    </w:p>
    <w:p w14:paraId="51E41069" w14:textId="69184C50" w:rsidR="00A15B09" w:rsidRPr="00D318E3" w:rsidRDefault="005C0C2C" w:rsidP="006B0D55">
      <w:pPr>
        <w:pStyle w:val="references"/>
      </w:pPr>
      <w:r>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03F48B0D" w14:textId="36902F71" w:rsidR="002F7E23" w:rsidRDefault="00646AAE" w:rsidP="006B0D55">
      <w:pPr>
        <w:pStyle w:val="references"/>
      </w:pPr>
      <w:r>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763C5F53" w14:textId="34EE2B6B" w:rsidR="002F7E23" w:rsidRDefault="008476C1" w:rsidP="006B0D55">
      <w:pPr>
        <w:pStyle w:val="references"/>
      </w:pPr>
      <w:r>
        <w:t>D. G. Lowe, “Distinctive image features from scale-invariant keypoints,”</w:t>
      </w:r>
      <w:r w:rsidR="006B6A7B">
        <w:t xml:space="preserve"> </w:t>
      </w:r>
      <w:r w:rsidR="006B6A7B">
        <w:rPr>
          <w:i/>
          <w:iCs/>
        </w:rPr>
        <w:t>International Journal of Computer Vision</w:t>
      </w:r>
      <w:r w:rsidR="00F63CB7">
        <w:t>, vol. 60, no. 2, pp. 91-110</w:t>
      </w:r>
      <w:r w:rsidR="00A4653F">
        <w:t>,</w:t>
      </w:r>
      <w:r w:rsidR="00C25A4D">
        <w:t xml:space="preserve"> Nov. 2004</w:t>
      </w:r>
      <w:r w:rsidR="00027FAA">
        <w:t xml:space="preserve">, doi: </w:t>
      </w:r>
      <w:r w:rsidR="00027FAA" w:rsidRPr="00027FAA">
        <w:t>10.1023/B:VISI.0000029664.99615.94</w:t>
      </w:r>
      <w:r w:rsidR="00027FAA">
        <w:t>.</w:t>
      </w:r>
    </w:p>
    <w:p w14:paraId="46C75995" w14:textId="2BF0F507" w:rsidR="00A4653F" w:rsidRDefault="00436372" w:rsidP="006B0D55">
      <w:pPr>
        <w:pStyle w:val="references"/>
      </w:pPr>
      <w:r>
        <w:t xml:space="preserve">T. Ojala, </w:t>
      </w:r>
      <w:r w:rsidRPr="00436372">
        <w:t>M</w:t>
      </w:r>
      <w:r>
        <w:t>.</w:t>
      </w:r>
      <w:r w:rsidRPr="00436372">
        <w:t xml:space="preserve"> Pietikäinen</w:t>
      </w:r>
      <w:r>
        <w:t xml:space="preserve"> and D. Harwood, “A comparative study of texture measures with classification based on feature distributions,” </w:t>
      </w:r>
      <w:r>
        <w:rPr>
          <w:i/>
          <w:iCs/>
        </w:rPr>
        <w:t>Pattern Recognition</w:t>
      </w:r>
      <w:r>
        <w:t>, vol. 29, no. 1, pp 51-59</w:t>
      </w:r>
      <w:r w:rsidR="00A4653F">
        <w:t>,</w:t>
      </w:r>
      <w:r>
        <w:t xml:space="preserve"> Jan. 1996, doi: </w:t>
      </w:r>
      <w:r w:rsidRPr="00436372">
        <w:t>10.1016/0031-3203(95)00067-4</w:t>
      </w:r>
      <w:r>
        <w:t>.</w:t>
      </w:r>
    </w:p>
    <w:p w14:paraId="23089B08" w14:textId="5E24DBCD" w:rsidR="00936DD4" w:rsidRDefault="00A4653F" w:rsidP="006B0D55">
      <w:pPr>
        <w:pStyle w:val="references"/>
      </w:pPr>
      <w:r>
        <w:t xml:space="preserve">T. Ahonen, A. Hadid and M. </w:t>
      </w:r>
      <w:r w:rsidRPr="00436372">
        <w:t>Pietikäinen</w:t>
      </w:r>
      <w:r>
        <w:t xml:space="preserve">, “Face description with local binary patterns: Application to face recognition,” in </w:t>
      </w:r>
      <w:r>
        <w:rPr>
          <w:i/>
          <w:iCs/>
        </w:rPr>
        <w:t>IEEE Transactions on Pattern Analysis and Machine Intelligence</w:t>
      </w:r>
      <w:r>
        <w:t xml:space="preserve">, vol. 28, no. 12, pp. 2037-2041, Dec. 2006, </w:t>
      </w:r>
      <w:r w:rsidRPr="00A4653F">
        <w:t>doi: 10.1109/TPAMI.2006.244.</w:t>
      </w:r>
    </w:p>
    <w:p w14:paraId="3AA16827" w14:textId="3B17F390" w:rsidR="004205AC" w:rsidRDefault="00936DD4" w:rsidP="006B0D55">
      <w:pPr>
        <w:pStyle w:val="references"/>
      </w:pPr>
      <w:r>
        <w:t xml:space="preserve">T. Ojala, M. </w:t>
      </w:r>
      <w:r w:rsidRPr="00436372">
        <w:t>Pietikäinen</w:t>
      </w:r>
      <w:r>
        <w:t xml:space="preserve"> and T. </w:t>
      </w:r>
      <w:r w:rsidRPr="00936DD4">
        <w:t>M</w:t>
      </w:r>
      <w:r>
        <w:t xml:space="preserve">äenpää, “Multiresolution gray-scale and rotation invariant texture classification with local binary patterns,” in </w:t>
      </w:r>
      <w:r>
        <w:rPr>
          <w:i/>
          <w:iCs/>
        </w:rPr>
        <w:t>IEEE Transactions on Pattern Analysis and Machine Intelligence</w:t>
      </w:r>
      <w:r>
        <w:t xml:space="preserve">, vol. 24, no. 7, pp. 971-987, July 2002, doi: </w:t>
      </w:r>
      <w:r w:rsidRPr="00936DD4">
        <w:t>10.1109/TPAMI.2002.1017623.</w:t>
      </w:r>
    </w:p>
    <w:p w14:paraId="01703448" w14:textId="21EDD660" w:rsidR="004205AC" w:rsidRPr="00936DD4" w:rsidRDefault="004205AC" w:rsidP="00A45EDB">
      <w:pPr>
        <w:pStyle w:val="references"/>
      </w:pPr>
      <w:r w:rsidRPr="004205AC">
        <w:t>N. Dalal and B. Triggs, "Histograms of oriented gradients for human detection," 2005 IEEE Computer Society Conference on Computer Vision and Pattern Recognition, San Diego, CA, USA, 2005, pp. 886-893 vol. 1, doi: 10.1109/CVPR.2005.177.</w:t>
      </w:r>
    </w:p>
    <w:sectPr w:rsidR="004205AC" w:rsidRPr="00936DD4" w:rsidSect="007221F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92B2C96" w14:textId="77777777" w:rsidR="0017089A" w:rsidRDefault="0017089A" w:rsidP="001A3B3D">
      <w:r>
        <w:separator/>
      </w:r>
    </w:p>
  </w:endnote>
  <w:endnote w:type="continuationSeparator" w:id="0">
    <w:p w14:paraId="28AF423F" w14:textId="77777777" w:rsidR="0017089A" w:rsidRDefault="001708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BCFB2DD" w14:textId="77777777" w:rsidR="0017089A" w:rsidRDefault="0017089A" w:rsidP="001A3B3D">
      <w:r>
        <w:separator/>
      </w:r>
    </w:p>
  </w:footnote>
  <w:footnote w:type="continuationSeparator" w:id="0">
    <w:p w14:paraId="4237DAAD" w14:textId="77777777" w:rsidR="0017089A" w:rsidRDefault="001708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74B"/>
    <w:rsid w:val="00020775"/>
    <w:rsid w:val="00026C01"/>
    <w:rsid w:val="00027FAA"/>
    <w:rsid w:val="00040500"/>
    <w:rsid w:val="0004781E"/>
    <w:rsid w:val="000606D9"/>
    <w:rsid w:val="000627AA"/>
    <w:rsid w:val="000712AA"/>
    <w:rsid w:val="000755A6"/>
    <w:rsid w:val="000830D6"/>
    <w:rsid w:val="0008758A"/>
    <w:rsid w:val="000A3DE8"/>
    <w:rsid w:val="000A5B68"/>
    <w:rsid w:val="000A5C5F"/>
    <w:rsid w:val="000C1E68"/>
    <w:rsid w:val="000C26F6"/>
    <w:rsid w:val="000D12E9"/>
    <w:rsid w:val="000D227F"/>
    <w:rsid w:val="000D38D5"/>
    <w:rsid w:val="000D5FCE"/>
    <w:rsid w:val="000F35E6"/>
    <w:rsid w:val="00103879"/>
    <w:rsid w:val="00131353"/>
    <w:rsid w:val="00131C93"/>
    <w:rsid w:val="00134BE5"/>
    <w:rsid w:val="00140BC2"/>
    <w:rsid w:val="0014773D"/>
    <w:rsid w:val="00150C93"/>
    <w:rsid w:val="00152852"/>
    <w:rsid w:val="00155A43"/>
    <w:rsid w:val="00160796"/>
    <w:rsid w:val="00163E1B"/>
    <w:rsid w:val="0017089A"/>
    <w:rsid w:val="001814C9"/>
    <w:rsid w:val="00181B46"/>
    <w:rsid w:val="0018511E"/>
    <w:rsid w:val="00193EF1"/>
    <w:rsid w:val="001A2EFD"/>
    <w:rsid w:val="001A3B3D"/>
    <w:rsid w:val="001B464A"/>
    <w:rsid w:val="001B67DC"/>
    <w:rsid w:val="001C35AF"/>
    <w:rsid w:val="001D3235"/>
    <w:rsid w:val="001F2B81"/>
    <w:rsid w:val="00203B5A"/>
    <w:rsid w:val="00214F32"/>
    <w:rsid w:val="00223350"/>
    <w:rsid w:val="002254A9"/>
    <w:rsid w:val="00233D97"/>
    <w:rsid w:val="002347A2"/>
    <w:rsid w:val="00240A20"/>
    <w:rsid w:val="00243A59"/>
    <w:rsid w:val="00251F64"/>
    <w:rsid w:val="0025516B"/>
    <w:rsid w:val="0027101B"/>
    <w:rsid w:val="0028217F"/>
    <w:rsid w:val="002850E3"/>
    <w:rsid w:val="00292A75"/>
    <w:rsid w:val="002A2008"/>
    <w:rsid w:val="002C27C2"/>
    <w:rsid w:val="002D27C7"/>
    <w:rsid w:val="002D7D8A"/>
    <w:rsid w:val="002F7E23"/>
    <w:rsid w:val="00303598"/>
    <w:rsid w:val="00325ADF"/>
    <w:rsid w:val="00334F32"/>
    <w:rsid w:val="00337DE2"/>
    <w:rsid w:val="00351CEE"/>
    <w:rsid w:val="00352373"/>
    <w:rsid w:val="003525D7"/>
    <w:rsid w:val="00354FCF"/>
    <w:rsid w:val="003652BD"/>
    <w:rsid w:val="00371857"/>
    <w:rsid w:val="00371AD5"/>
    <w:rsid w:val="003739BD"/>
    <w:rsid w:val="003752E6"/>
    <w:rsid w:val="00386DEF"/>
    <w:rsid w:val="003A08EC"/>
    <w:rsid w:val="003A0D57"/>
    <w:rsid w:val="003A19E2"/>
    <w:rsid w:val="003B031B"/>
    <w:rsid w:val="003B2B40"/>
    <w:rsid w:val="003B4E04"/>
    <w:rsid w:val="003B607D"/>
    <w:rsid w:val="003B77B3"/>
    <w:rsid w:val="003C622B"/>
    <w:rsid w:val="003C6A9E"/>
    <w:rsid w:val="003C7F08"/>
    <w:rsid w:val="003D45B1"/>
    <w:rsid w:val="003F5A08"/>
    <w:rsid w:val="00410330"/>
    <w:rsid w:val="00417AD0"/>
    <w:rsid w:val="00417F49"/>
    <w:rsid w:val="004205AC"/>
    <w:rsid w:val="00420716"/>
    <w:rsid w:val="0043023D"/>
    <w:rsid w:val="004325FB"/>
    <w:rsid w:val="00436372"/>
    <w:rsid w:val="004432BA"/>
    <w:rsid w:val="0044407E"/>
    <w:rsid w:val="00447BB9"/>
    <w:rsid w:val="0046031D"/>
    <w:rsid w:val="00463528"/>
    <w:rsid w:val="00473AC9"/>
    <w:rsid w:val="00475E42"/>
    <w:rsid w:val="00490CBD"/>
    <w:rsid w:val="004B2CEF"/>
    <w:rsid w:val="004B5919"/>
    <w:rsid w:val="004D72B5"/>
    <w:rsid w:val="004D77B1"/>
    <w:rsid w:val="004E5E73"/>
    <w:rsid w:val="004F1073"/>
    <w:rsid w:val="004F163F"/>
    <w:rsid w:val="004F3FE5"/>
    <w:rsid w:val="004F7989"/>
    <w:rsid w:val="00502212"/>
    <w:rsid w:val="005024A3"/>
    <w:rsid w:val="00504828"/>
    <w:rsid w:val="00507224"/>
    <w:rsid w:val="00527574"/>
    <w:rsid w:val="00530FBC"/>
    <w:rsid w:val="00537622"/>
    <w:rsid w:val="00544520"/>
    <w:rsid w:val="00551B7F"/>
    <w:rsid w:val="00552E18"/>
    <w:rsid w:val="00560D96"/>
    <w:rsid w:val="0056610F"/>
    <w:rsid w:val="00572611"/>
    <w:rsid w:val="00575BCA"/>
    <w:rsid w:val="0058029F"/>
    <w:rsid w:val="005A0158"/>
    <w:rsid w:val="005A48C7"/>
    <w:rsid w:val="005B0344"/>
    <w:rsid w:val="005B520E"/>
    <w:rsid w:val="005C0C2C"/>
    <w:rsid w:val="005C4529"/>
    <w:rsid w:val="005E0373"/>
    <w:rsid w:val="005E2800"/>
    <w:rsid w:val="005F1399"/>
    <w:rsid w:val="005F4D77"/>
    <w:rsid w:val="00605825"/>
    <w:rsid w:val="00625E43"/>
    <w:rsid w:val="00636127"/>
    <w:rsid w:val="00640336"/>
    <w:rsid w:val="00645D22"/>
    <w:rsid w:val="0064611B"/>
    <w:rsid w:val="00646AAE"/>
    <w:rsid w:val="00647034"/>
    <w:rsid w:val="00651A08"/>
    <w:rsid w:val="00652CA5"/>
    <w:rsid w:val="00654204"/>
    <w:rsid w:val="0065494E"/>
    <w:rsid w:val="00666D87"/>
    <w:rsid w:val="00670434"/>
    <w:rsid w:val="006925D7"/>
    <w:rsid w:val="006A263B"/>
    <w:rsid w:val="006A5D54"/>
    <w:rsid w:val="006B0D55"/>
    <w:rsid w:val="006B6A7B"/>
    <w:rsid w:val="006B6B66"/>
    <w:rsid w:val="006C0D10"/>
    <w:rsid w:val="006E5225"/>
    <w:rsid w:val="006F6AE2"/>
    <w:rsid w:val="006F6D3D"/>
    <w:rsid w:val="00703BAA"/>
    <w:rsid w:val="00705210"/>
    <w:rsid w:val="007055B4"/>
    <w:rsid w:val="00715BEA"/>
    <w:rsid w:val="007166CD"/>
    <w:rsid w:val="007221F6"/>
    <w:rsid w:val="00730352"/>
    <w:rsid w:val="00733340"/>
    <w:rsid w:val="00740EEA"/>
    <w:rsid w:val="00762EB6"/>
    <w:rsid w:val="00777223"/>
    <w:rsid w:val="007773A0"/>
    <w:rsid w:val="00794804"/>
    <w:rsid w:val="00797EA6"/>
    <w:rsid w:val="007A2458"/>
    <w:rsid w:val="007A3D09"/>
    <w:rsid w:val="007B33F1"/>
    <w:rsid w:val="007B6DDA"/>
    <w:rsid w:val="007C0308"/>
    <w:rsid w:val="007C2FF2"/>
    <w:rsid w:val="007D0910"/>
    <w:rsid w:val="007D6232"/>
    <w:rsid w:val="007E57AC"/>
    <w:rsid w:val="007E7220"/>
    <w:rsid w:val="007F1F99"/>
    <w:rsid w:val="007F768F"/>
    <w:rsid w:val="0080791D"/>
    <w:rsid w:val="008176CA"/>
    <w:rsid w:val="00836367"/>
    <w:rsid w:val="008476C1"/>
    <w:rsid w:val="008562D8"/>
    <w:rsid w:val="008569A2"/>
    <w:rsid w:val="00871B4C"/>
    <w:rsid w:val="00873603"/>
    <w:rsid w:val="00892457"/>
    <w:rsid w:val="008929B5"/>
    <w:rsid w:val="0089563A"/>
    <w:rsid w:val="008A059D"/>
    <w:rsid w:val="008A11D4"/>
    <w:rsid w:val="008A2C7D"/>
    <w:rsid w:val="008A31C2"/>
    <w:rsid w:val="008B4019"/>
    <w:rsid w:val="008B6524"/>
    <w:rsid w:val="008C0C83"/>
    <w:rsid w:val="008C4B23"/>
    <w:rsid w:val="008D3EAB"/>
    <w:rsid w:val="008F2154"/>
    <w:rsid w:val="008F6E2C"/>
    <w:rsid w:val="008F70EB"/>
    <w:rsid w:val="009042BA"/>
    <w:rsid w:val="009075B5"/>
    <w:rsid w:val="00910F67"/>
    <w:rsid w:val="00915A0D"/>
    <w:rsid w:val="009303D9"/>
    <w:rsid w:val="00933C64"/>
    <w:rsid w:val="00936DD4"/>
    <w:rsid w:val="00944BA8"/>
    <w:rsid w:val="00954E0D"/>
    <w:rsid w:val="009557BD"/>
    <w:rsid w:val="0096162D"/>
    <w:rsid w:val="00972203"/>
    <w:rsid w:val="00996E50"/>
    <w:rsid w:val="009C5BB5"/>
    <w:rsid w:val="009D5A1B"/>
    <w:rsid w:val="009E53B9"/>
    <w:rsid w:val="009F19A4"/>
    <w:rsid w:val="009F1D79"/>
    <w:rsid w:val="009F23F2"/>
    <w:rsid w:val="009F2C56"/>
    <w:rsid w:val="009F311A"/>
    <w:rsid w:val="00A0001E"/>
    <w:rsid w:val="00A045D1"/>
    <w:rsid w:val="00A058C7"/>
    <w:rsid w:val="00A059B3"/>
    <w:rsid w:val="00A05BA2"/>
    <w:rsid w:val="00A15B09"/>
    <w:rsid w:val="00A1627F"/>
    <w:rsid w:val="00A17B10"/>
    <w:rsid w:val="00A24D21"/>
    <w:rsid w:val="00A264E0"/>
    <w:rsid w:val="00A446F6"/>
    <w:rsid w:val="00A45EDB"/>
    <w:rsid w:val="00A4653F"/>
    <w:rsid w:val="00A74965"/>
    <w:rsid w:val="00AB4500"/>
    <w:rsid w:val="00AC4CDD"/>
    <w:rsid w:val="00AC6E14"/>
    <w:rsid w:val="00AD55DD"/>
    <w:rsid w:val="00AE3409"/>
    <w:rsid w:val="00AE7863"/>
    <w:rsid w:val="00AF5A08"/>
    <w:rsid w:val="00B0678B"/>
    <w:rsid w:val="00B07E0F"/>
    <w:rsid w:val="00B11A60"/>
    <w:rsid w:val="00B215CD"/>
    <w:rsid w:val="00B22613"/>
    <w:rsid w:val="00B4115B"/>
    <w:rsid w:val="00B44A76"/>
    <w:rsid w:val="00B5531F"/>
    <w:rsid w:val="00B56EB6"/>
    <w:rsid w:val="00B630C1"/>
    <w:rsid w:val="00B768D1"/>
    <w:rsid w:val="00B82E61"/>
    <w:rsid w:val="00BA1025"/>
    <w:rsid w:val="00BA4862"/>
    <w:rsid w:val="00BC3007"/>
    <w:rsid w:val="00BC3420"/>
    <w:rsid w:val="00BC37E9"/>
    <w:rsid w:val="00BC4064"/>
    <w:rsid w:val="00BD39DC"/>
    <w:rsid w:val="00BD670B"/>
    <w:rsid w:val="00BE6D90"/>
    <w:rsid w:val="00BE7D3C"/>
    <w:rsid w:val="00BF5FF6"/>
    <w:rsid w:val="00C0207F"/>
    <w:rsid w:val="00C064B9"/>
    <w:rsid w:val="00C07B98"/>
    <w:rsid w:val="00C10C8A"/>
    <w:rsid w:val="00C12086"/>
    <w:rsid w:val="00C16117"/>
    <w:rsid w:val="00C2345D"/>
    <w:rsid w:val="00C25A4D"/>
    <w:rsid w:val="00C2773C"/>
    <w:rsid w:val="00C3075A"/>
    <w:rsid w:val="00C4123E"/>
    <w:rsid w:val="00C53C43"/>
    <w:rsid w:val="00C56CB1"/>
    <w:rsid w:val="00C811BD"/>
    <w:rsid w:val="00C84011"/>
    <w:rsid w:val="00C91341"/>
    <w:rsid w:val="00C919A4"/>
    <w:rsid w:val="00C93C8B"/>
    <w:rsid w:val="00CA1122"/>
    <w:rsid w:val="00CA4392"/>
    <w:rsid w:val="00CC393F"/>
    <w:rsid w:val="00CC6820"/>
    <w:rsid w:val="00CE2568"/>
    <w:rsid w:val="00CE5C06"/>
    <w:rsid w:val="00CF005F"/>
    <w:rsid w:val="00CF57D2"/>
    <w:rsid w:val="00D03016"/>
    <w:rsid w:val="00D111C6"/>
    <w:rsid w:val="00D13FAF"/>
    <w:rsid w:val="00D153F6"/>
    <w:rsid w:val="00D2176E"/>
    <w:rsid w:val="00D21AD5"/>
    <w:rsid w:val="00D23B7E"/>
    <w:rsid w:val="00D27570"/>
    <w:rsid w:val="00D30FB2"/>
    <w:rsid w:val="00D318E3"/>
    <w:rsid w:val="00D362AB"/>
    <w:rsid w:val="00D41711"/>
    <w:rsid w:val="00D442CD"/>
    <w:rsid w:val="00D632BE"/>
    <w:rsid w:val="00D657CF"/>
    <w:rsid w:val="00D70716"/>
    <w:rsid w:val="00D72D06"/>
    <w:rsid w:val="00D7522C"/>
    <w:rsid w:val="00D7536F"/>
    <w:rsid w:val="00D76668"/>
    <w:rsid w:val="00D82563"/>
    <w:rsid w:val="00D86633"/>
    <w:rsid w:val="00DA45AE"/>
    <w:rsid w:val="00DA7469"/>
    <w:rsid w:val="00DB5F99"/>
    <w:rsid w:val="00DC51EA"/>
    <w:rsid w:val="00DD79DB"/>
    <w:rsid w:val="00DF2721"/>
    <w:rsid w:val="00E00D17"/>
    <w:rsid w:val="00E013BB"/>
    <w:rsid w:val="00E07383"/>
    <w:rsid w:val="00E165BC"/>
    <w:rsid w:val="00E22C8C"/>
    <w:rsid w:val="00E31388"/>
    <w:rsid w:val="00E32168"/>
    <w:rsid w:val="00E36179"/>
    <w:rsid w:val="00E424BC"/>
    <w:rsid w:val="00E461D6"/>
    <w:rsid w:val="00E503F3"/>
    <w:rsid w:val="00E61E12"/>
    <w:rsid w:val="00E66DBC"/>
    <w:rsid w:val="00E7596C"/>
    <w:rsid w:val="00E84BC4"/>
    <w:rsid w:val="00E878F2"/>
    <w:rsid w:val="00E97AC6"/>
    <w:rsid w:val="00EA651B"/>
    <w:rsid w:val="00EA6FFE"/>
    <w:rsid w:val="00EC24BD"/>
    <w:rsid w:val="00ED0149"/>
    <w:rsid w:val="00ED59A7"/>
    <w:rsid w:val="00ED685B"/>
    <w:rsid w:val="00EE78BE"/>
    <w:rsid w:val="00EF7DE3"/>
    <w:rsid w:val="00F00189"/>
    <w:rsid w:val="00F02569"/>
    <w:rsid w:val="00F03103"/>
    <w:rsid w:val="00F06A34"/>
    <w:rsid w:val="00F1335F"/>
    <w:rsid w:val="00F271DE"/>
    <w:rsid w:val="00F305FE"/>
    <w:rsid w:val="00F343D3"/>
    <w:rsid w:val="00F3530A"/>
    <w:rsid w:val="00F35895"/>
    <w:rsid w:val="00F428B6"/>
    <w:rsid w:val="00F5321D"/>
    <w:rsid w:val="00F561B2"/>
    <w:rsid w:val="00F627DA"/>
    <w:rsid w:val="00F6328F"/>
    <w:rsid w:val="00F63CB7"/>
    <w:rsid w:val="00F70F30"/>
    <w:rsid w:val="00F7288F"/>
    <w:rsid w:val="00F847A6"/>
    <w:rsid w:val="00F907D3"/>
    <w:rsid w:val="00F942AA"/>
    <w:rsid w:val="00F9441B"/>
    <w:rsid w:val="00FA4C32"/>
    <w:rsid w:val="00FB1D8E"/>
    <w:rsid w:val="00FD1485"/>
    <w:rsid w:val="00FD16EA"/>
    <w:rsid w:val="00FD3F9E"/>
    <w:rsid w:val="00FD6E68"/>
    <w:rsid w:val="00FD7476"/>
    <w:rsid w:val="00FE5C3B"/>
    <w:rsid w:val="00FE7114"/>
    <w:rsid w:val="00FF0F88"/>
    <w:rsid w:val="00FF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 w:type="paragraph" w:styleId="BodyText2">
    <w:name w:val="Body Text 2"/>
    <w:basedOn w:val="Normal"/>
    <w:link w:val="BodyText2Char"/>
    <w:rsid w:val="00C10C8A"/>
    <w:pPr>
      <w:spacing w:after="6pt" w:line="24pt" w:lineRule="auto"/>
    </w:pPr>
  </w:style>
  <w:style w:type="character" w:customStyle="1" w:styleId="BodyText2Char">
    <w:name w:val="Body Text 2 Char"/>
    <w:basedOn w:val="DefaultParagraphFont"/>
    <w:link w:val="BodyText2"/>
    <w:rsid w:val="00C10C8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3108</TotalTime>
  <Pages>6</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262</cp:revision>
  <dcterms:created xsi:type="dcterms:W3CDTF">2019-01-08T18:42:00Z</dcterms:created>
  <dcterms:modified xsi:type="dcterms:W3CDTF">2020-09-21T14:10:00Z</dcterms:modified>
</cp:coreProperties>
</file>