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C46C7">
      <w:pPr>
        <w:spacing w:before="200" w:after="80"/>
        <w:jc w:val="center"/>
        <w:rPr>
          <w:rFonts w:hint="eastAsia"/>
          <w:i/>
          <w:color w:val="555555"/>
          <w:sz w:val="22"/>
        </w:rPr>
      </w:pPr>
      <w:r>
        <w:rPr>
          <w:rFonts w:hint="eastAsia"/>
          <w:i/>
          <w:color w:val="555555"/>
          <w:sz w:val="22"/>
        </w:rPr>
        <w:t>My Pair's Preliminary Project Proposal</w:t>
      </w:r>
    </w:p>
    <w:p w14:paraId="263E7FCD">
      <w:pPr>
        <w:spacing w:before="200" w:after="80"/>
        <w:jc w:val="center"/>
      </w:pPr>
      <w:r>
        <w:rPr>
          <w:b/>
          <w:color w:val="1F3A5F"/>
          <w:sz w:val="36"/>
        </w:rPr>
        <w:t>Airline Flight Delay Pattern Analysis: A Multi-Dimensional</w:t>
      </w:r>
      <w:r>
        <w:rPr>
          <w:b/>
          <w:color w:val="1F3A5F"/>
          <w:sz w:val="36"/>
        </w:rPr>
        <w:br w:type="textWrapping"/>
      </w:r>
      <w:r>
        <w:rPr>
          <w:b/>
          <w:color w:val="1F3A5F"/>
          <w:sz w:val="36"/>
        </w:rPr>
        <w:t>Attribution Study of U.S. Domestic Flights</w:t>
      </w:r>
    </w:p>
    <w:p w14:paraId="00CAA45F">
      <w:pPr>
        <w:spacing w:after="160"/>
        <w:jc w:val="center"/>
      </w:pPr>
      <w:r>
        <w:rPr>
          <w:i/>
          <w:color w:val="555555"/>
          <w:sz w:val="21"/>
        </w:rPr>
        <w:t>Research Question: What drives U.S. domestic flight delays — carriers, airports, time of year, or causal factors?</w:t>
      </w:r>
    </w:p>
    <w:p w14:paraId="4F34C6C1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color w:val="555555"/>
          <w:sz w:val="19"/>
        </w:rPr>
        <w:t xml:space="preserve">  Team: </w:t>
      </w:r>
      <w:r>
        <w:rPr>
          <w:rFonts w:hint="eastAsia" w:eastAsia="宋体"/>
          <w:color w:val="555555"/>
          <w:sz w:val="19"/>
          <w:lang w:val="en-US" w:eastAsia="zh-CN"/>
        </w:rPr>
        <w:t>MC636087 ZHOU ZHUO</w:t>
      </w:r>
      <w:r>
        <w:rPr>
          <w:color w:val="555555"/>
          <w:sz w:val="19"/>
        </w:rPr>
        <w:t xml:space="preserve">, </w:t>
      </w:r>
      <w:r>
        <w:rPr>
          <w:rFonts w:hint="eastAsia" w:eastAsia="宋体"/>
          <w:color w:val="555555"/>
          <w:sz w:val="19"/>
          <w:lang w:val="en-US" w:eastAsia="zh-CN"/>
        </w:rPr>
        <w:t>MC636011 WANG YU MENG</w:t>
      </w:r>
    </w:p>
    <w:p w14:paraId="5B6F124C">
      <w:pPr>
        <w:spacing w:before="160" w:after="80"/>
      </w:pPr>
      <w:r>
        <w:rPr>
          <w:rFonts w:ascii="Calibri" w:hAnsi="Calibri"/>
          <w:b/>
          <w:color w:val="1F3A5F"/>
          <w:sz w:val="28"/>
        </w:rPr>
        <w:t>Preliminary Project Proposal — Ideation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200"/>
      </w:tblGrid>
      <w:tr w14:paraId="0052384D">
        <w:trPr>
          <w:tblHeader/>
          <w:jc w:val="center"/>
        </w:trPr>
        <w:tc>
          <w:tcPr>
            <w:tcW w:w="2304" w:type="dxa"/>
            <w:shd w:val="clear" w:color="auto" w:fill="1F3A5F"/>
          </w:tcPr>
          <w:p w14:paraId="731DFE0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w="7200" w:type="dxa"/>
            <w:shd w:val="clear" w:color="auto" w:fill="1F3A5F"/>
          </w:tcPr>
          <w:p w14:paraId="50ACC01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 w14:paraId="652B29D2">
        <w:trPr>
          <w:jc w:val="center"/>
        </w:trPr>
        <w:tc>
          <w:tcPr>
            <w:tcW w:w="2304" w:type="dxa"/>
          </w:tcPr>
          <w:p w14:paraId="09098BD2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Region</w:t>
            </w:r>
          </w:p>
        </w:tc>
        <w:tc>
          <w:tcPr>
            <w:tcW w:w="7200" w:type="dxa"/>
          </w:tcPr>
          <w:p w14:paraId="3878692F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United States of America (national scope)</w:t>
            </w:r>
          </w:p>
        </w:tc>
      </w:tr>
      <w:tr w14:paraId="1A51BAD6">
        <w:trPr>
          <w:jc w:val="center"/>
        </w:trPr>
        <w:tc>
          <w:tcPr>
            <w:tcW w:w="2304" w:type="dxa"/>
          </w:tcPr>
          <w:p w14:paraId="21C1970F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Domain Category</w:t>
            </w:r>
          </w:p>
        </w:tc>
        <w:tc>
          <w:tcPr>
            <w:tcW w:w="7200" w:type="dxa"/>
          </w:tcPr>
          <w:p w14:paraId="778810C0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Transportation / Aviation — On-Time Performance &amp; Delay Attribution</w:t>
            </w:r>
          </w:p>
        </w:tc>
      </w:tr>
      <w:tr w14:paraId="14EDB6B5">
        <w:trPr>
          <w:jc w:val="center"/>
        </w:trPr>
        <w:tc>
          <w:tcPr>
            <w:tcW w:w="2304" w:type="dxa"/>
          </w:tcPr>
          <w:p w14:paraId="04F20D77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Research Question</w:t>
            </w:r>
          </w:p>
        </w:tc>
        <w:tc>
          <w:tcPr>
            <w:tcW w:w="7200" w:type="dxa"/>
          </w:tcPr>
          <w:p w14:paraId="74C5FAE0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What drives U.S. domestic flight delays — carriers, airports, time of year, or causal factors — and how can travelers, airlines, and policy makers use these insights to improve on-time performance?</w:t>
            </w:r>
          </w:p>
        </w:tc>
      </w:tr>
      <w:tr w14:paraId="642C0BB6">
        <w:trPr>
          <w:jc w:val="center"/>
        </w:trPr>
        <w:tc>
          <w:tcPr>
            <w:tcW w:w="2304" w:type="dxa"/>
          </w:tcPr>
          <w:p w14:paraId="2321FC4D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Dataset Link 1 (Kaggle)</w:t>
            </w:r>
          </w:p>
        </w:tc>
        <w:tc>
          <w:tcPr>
            <w:tcW w:w="7200" w:type="dxa"/>
          </w:tcPr>
          <w:p w14:paraId="4C8A75C1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https://www.kaggle.com/datasets/daryaheyko/airline-on-time-statistics-and-delay-causes-bts</w:t>
            </w:r>
          </w:p>
        </w:tc>
      </w:tr>
      <w:tr w14:paraId="352AA873">
        <w:trPr>
          <w:jc w:val="center"/>
        </w:trPr>
        <w:tc>
          <w:tcPr>
            <w:tcW w:w="2304" w:type="dxa"/>
          </w:tcPr>
          <w:p w14:paraId="4FB0618D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Dataset Link 2 (BTS official)</w:t>
            </w:r>
          </w:p>
        </w:tc>
        <w:tc>
          <w:tcPr>
            <w:tcW w:w="7200" w:type="dxa"/>
          </w:tcPr>
          <w:p w14:paraId="35C1A7AE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https://www.transtats.bts.gov</w:t>
            </w:r>
          </w:p>
        </w:tc>
      </w:tr>
    </w:tbl>
    <w:p w14:paraId="07C786E8">
      <w:pPr>
        <w:spacing w:before="120" w:after="60"/>
      </w:pPr>
      <w:r>
        <w:rPr>
          <w:rFonts w:ascii="Calibri" w:hAnsi="Calibri"/>
          <w:b/>
          <w:color w:val="1F3A5F"/>
          <w:sz w:val="23"/>
        </w:rPr>
        <w:t>Justification — How the Visualisations Address the Research Question</w:t>
      </w:r>
    </w:p>
    <w:p w14:paraId="16580BA3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The four visualisations jointly operationalise the research question along its four analytical dimensions. The carrier-delay ranking (Figure 1) answers “who” by surfacing a 24-percentage-point spread between the best and worst carriers, turning intuition into defensible carrier-selection guidance. The top-delay airports chart (Figure 2) answers “where” by ranking fifteen airports above 27% delay rate, exposing concentrations in weather-vulnerable or infrastructure-constrained locations. The monthly-trend chart (Figure 4) answers “when” by isolating the June peak (23.1%) and September trough (14.9%) — a clear seasonal signal for travel-timing advice. The weather-vs-carrier chart (Figure 3) answers “why” by disaggregating cause mix across major carriers, demonstrating that weather is a minor direct contributor (3.6% system-wide) while carrier operations dominate (~29.5%), redirecting intervention toward operational management rather than weather mitigation.</w:t>
      </w:r>
    </w:p>
    <w:p w14:paraId="2D51C62B">
      <w:pPr>
        <w:spacing w:before="160" w:after="80"/>
      </w:pPr>
      <w:r>
        <w:rPr>
          <w:rFonts w:ascii="Calibri" w:hAnsi="Calibri"/>
          <w:b/>
          <w:color w:val="1F3A5F"/>
          <w:sz w:val="28"/>
        </w:rPr>
        <w:t>1. Project Topic Name</w:t>
      </w:r>
    </w:p>
    <w:p w14:paraId="05584497">
      <w:pPr>
        <w:spacing w:after="60" w:line="288" w:lineRule="auto"/>
        <w:jc w:val="both"/>
        <w:rPr>
          <w:rFonts w:ascii="Calibri" w:hAnsi="Calibri"/>
          <w:b w:val="0"/>
          <w:i w:val="0"/>
          <w:sz w:val="20"/>
        </w:rPr>
      </w:pPr>
      <w:r>
        <w:rPr>
          <w:rFonts w:hint="eastAsia" w:eastAsia="宋体"/>
          <w:b w:val="0"/>
          <w:i w:val="0"/>
          <w:sz w:val="20"/>
          <w:lang w:val="en-US" w:eastAsia="zh-CN"/>
        </w:rPr>
        <w:t xml:space="preserve">Project Topic : </w:t>
      </w:r>
      <w:r>
        <w:rPr>
          <w:rFonts w:ascii="Calibri" w:hAnsi="Calibri"/>
          <w:b w:val="0"/>
          <w:i w:val="0"/>
          <w:sz w:val="20"/>
        </w:rPr>
        <w:t xml:space="preserve">Airline Flight Delay Pattern Analysis — A Multi-Dimensional Attribution Study of U.S. Domestic Flights.  </w:t>
      </w:r>
    </w:p>
    <w:p w14:paraId="5C9F3A16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Research Question: What drives U.S. domestic flight delays — carriers, airports, time of year, or causal factors?</w:t>
      </w:r>
    </w:p>
    <w:p w14:paraId="26176D68">
      <w:pPr>
        <w:spacing w:before="160" w:after="80"/>
      </w:pPr>
      <w:r>
        <w:rPr>
          <w:rFonts w:ascii="Calibri" w:hAnsi="Calibri"/>
          <w:b/>
          <w:color w:val="1F3A5F"/>
          <w:sz w:val="28"/>
        </w:rPr>
        <w:t>2. Project Purpose</w:t>
      </w:r>
    </w:p>
    <w:p w14:paraId="48F1B20A">
      <w:pPr>
        <w:spacing w:before="120" w:after="60"/>
      </w:pPr>
      <w:r>
        <w:rPr>
          <w:rFonts w:ascii="Calibri" w:hAnsi="Calibri"/>
          <w:b/>
          <w:color w:val="1F3A5F"/>
          <w:sz w:val="23"/>
        </w:rPr>
        <w:t>2.1 Outcomes</w:t>
      </w:r>
    </w:p>
    <w:p w14:paraId="2DB6A55C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Directly delivers on CISC7204's central learning outcome — performing an end-to-end analysis on real data and producing an evidence-based narrative. Reinforces the Data Science major's core workflow (acquisition → cleaning → EDA → visualisation → interpretation) and mirrors the role of an industry analyst who turns operational data into business-relevant recommendations.</w:t>
      </w:r>
    </w:p>
    <w:p w14:paraId="62618CF5">
      <w:pPr>
        <w:spacing w:before="120" w:after="60"/>
      </w:pPr>
      <w:r>
        <w:rPr>
          <w:rFonts w:ascii="Calibri" w:hAnsi="Calibri"/>
          <w:b/>
          <w:color w:val="1F3A5F"/>
          <w:sz w:val="23"/>
        </w:rPr>
        <w:t>2.2 Skills</w:t>
      </w:r>
    </w:p>
    <w:p w14:paraId="0247D21F">
      <w:pPr>
        <w:pStyle w:val="16"/>
        <w:spacing w:after="20" w:line="276" w:lineRule="auto"/>
      </w:pPr>
      <w:r>
        <w:rPr>
          <w:rFonts w:ascii="Calibri" w:hAnsi="Calibri"/>
          <w:sz w:val="19"/>
        </w:rPr>
        <w:t>Python data analysis (Pandas: groupby, aggregation, imputation, feature engineering).</w:t>
      </w:r>
    </w:p>
    <w:p w14:paraId="6442D7EA">
      <w:pPr>
        <w:pStyle w:val="16"/>
        <w:spacing w:after="20" w:line="276" w:lineRule="auto"/>
      </w:pPr>
      <w:r>
        <w:rPr>
          <w:rFonts w:ascii="Calibri" w:hAnsi="Calibri"/>
          <w:sz w:val="19"/>
        </w:rPr>
        <w:t>Ratio metrics (delay rate, cause share) for standardised cross-group comparison.</w:t>
      </w:r>
    </w:p>
    <w:p w14:paraId="32B1CB44">
      <w:pPr>
        <w:pStyle w:val="16"/>
        <w:spacing w:after="20" w:line="276" w:lineRule="auto"/>
      </w:pPr>
      <w:r>
        <w:rPr>
          <w:rFonts w:ascii="Calibri" w:hAnsi="Calibri"/>
          <w:sz w:val="19"/>
        </w:rPr>
        <w:t>Multi-dimensional thinking (4D matrix: Carrier × Airport × Time × Cause).</w:t>
      </w:r>
    </w:p>
    <w:p w14:paraId="7BCAEE80">
      <w:pPr>
        <w:pStyle w:val="16"/>
        <w:spacing w:after="20" w:line="276" w:lineRule="auto"/>
      </w:pPr>
      <w:r>
        <w:rPr>
          <w:rFonts w:ascii="Calibri" w:hAnsi="Calibri"/>
          <w:sz w:val="19"/>
        </w:rPr>
        <w:t>Visual communication (Matplotlib/Seaborn, 150 DPI, colour coding, value labels).</w:t>
      </w:r>
    </w:p>
    <w:p w14:paraId="4D36CBEF">
      <w:pPr>
        <w:pStyle w:val="16"/>
        <w:spacing w:after="20" w:line="276" w:lineRule="auto"/>
      </w:pPr>
      <w:r>
        <w:rPr>
          <w:rFonts w:ascii="Calibri" w:hAnsi="Calibri"/>
          <w:sz w:val="19"/>
        </w:rPr>
        <w:t>Reproducible research (annotated Jupyter Notebook, documented assumptions).</w:t>
      </w:r>
    </w:p>
    <w:p w14:paraId="6EB2E081">
      <w:pPr>
        <w:pStyle w:val="16"/>
        <w:numPr>
          <w:ilvl w:val="0"/>
          <w:numId w:val="0"/>
        </w:numPr>
        <w:spacing w:after="20" w:line="276" w:lineRule="auto"/>
        <w:ind w:leftChars="0"/>
      </w:pPr>
    </w:p>
    <w:p w14:paraId="1807BF40">
      <w:pPr>
        <w:spacing w:before="120" w:after="60"/>
      </w:pPr>
      <w:r>
        <w:rPr>
          <w:rFonts w:ascii="Calibri" w:hAnsi="Calibri"/>
          <w:b/>
          <w:color w:val="1F3A5F"/>
          <w:sz w:val="23"/>
        </w:rPr>
        <w:t>2.3 Knowledge</w:t>
      </w:r>
    </w:p>
    <w:p w14:paraId="102DB0AF">
      <w:pPr>
        <w:pStyle w:val="16"/>
        <w:spacing w:after="20" w:line="276" w:lineRule="auto"/>
      </w:pPr>
      <w:r>
        <w:rPr>
          <w:rFonts w:ascii="Calibri" w:hAnsi="Calibri"/>
          <w:sz w:val="19"/>
        </w:rPr>
        <w:t>Aviation domain — four canonical delay causes (carrier, weather, NAS, security) and their shares.</w:t>
      </w:r>
    </w:p>
    <w:p w14:paraId="463431DA">
      <w:pPr>
        <w:pStyle w:val="16"/>
        <w:spacing w:after="20" w:line="276" w:lineRule="auto"/>
      </w:pPr>
      <w:r>
        <w:rPr>
          <w:rFonts w:ascii="Calibri" w:hAnsi="Calibri"/>
          <w:sz w:val="19"/>
        </w:rPr>
        <w:t>Bias recognition — minimum-sample thresholds to tame small-sample volatility.</w:t>
      </w:r>
    </w:p>
    <w:p w14:paraId="09251DA9">
      <w:pPr>
        <w:pStyle w:val="16"/>
        <w:spacing w:after="20" w:line="276" w:lineRule="auto"/>
      </w:pPr>
      <w:r>
        <w:rPr>
          <w:rFonts w:ascii="Calibri" w:hAnsi="Calibri"/>
          <w:sz w:val="19"/>
        </w:rPr>
        <w:t>Time-series fundamentals — seasonal patterns driven by weather and demand cycles.</w:t>
      </w:r>
    </w:p>
    <w:p w14:paraId="4F9B9684">
      <w:pPr>
        <w:spacing w:before="0" w:after="0"/>
      </w:pPr>
      <w:r>
        <w:rPr>
          <w:rFonts w:ascii="Calibri" w:hAnsi="Calibri"/>
          <w:b/>
          <w:color w:val="1F3A5F"/>
          <w:sz w:val="28"/>
        </w:rPr>
        <w:t>3. Project Tasks</w:t>
      </w:r>
    </w:p>
    <w:p w14:paraId="17BB6A97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Nine concrete steps with explicit deliverables, archived in the shared project folder.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200"/>
      </w:tblGrid>
      <w:tr w14:paraId="3B7EA07E">
        <w:trPr>
          <w:tblHeader/>
          <w:jc w:val="center"/>
        </w:trPr>
        <w:tc>
          <w:tcPr>
            <w:tcW w:w="2304" w:type="dxa"/>
            <w:shd w:val="clear" w:color="auto" w:fill="1F3A5F"/>
          </w:tcPr>
          <w:p w14:paraId="7D1266C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w="7200" w:type="dxa"/>
            <w:shd w:val="clear" w:color="auto" w:fill="1F3A5F"/>
          </w:tcPr>
          <w:p w14:paraId="76BA232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 &amp; Deliverable</w:t>
            </w:r>
          </w:p>
        </w:tc>
      </w:tr>
      <w:tr w14:paraId="0032334C">
        <w:trPr>
          <w:jc w:val="center"/>
        </w:trPr>
        <w:tc>
          <w:tcPr>
            <w:tcW w:w="2304" w:type="dxa"/>
          </w:tcPr>
          <w:p w14:paraId="637BBB76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1. Data Acquisition</w:t>
            </w:r>
          </w:p>
        </w:tc>
        <w:tc>
          <w:tcPr>
            <w:tcW w:w="7200" w:type="dxa"/>
          </w:tcPr>
          <w:p w14:paraId="3706427E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Download BTS Airline On-Time dataset from Kaggle; record ≥ 2 source links.</w:t>
            </w:r>
          </w:p>
        </w:tc>
      </w:tr>
      <w:tr w14:paraId="5C786838">
        <w:trPr>
          <w:jc w:val="center"/>
        </w:trPr>
        <w:tc>
          <w:tcPr>
            <w:tcW w:w="2304" w:type="dxa"/>
          </w:tcPr>
          <w:p w14:paraId="79A6D527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2. Inspection &amp; Cleaning</w:t>
            </w:r>
          </w:p>
        </w:tc>
        <w:tc>
          <w:tcPr>
            <w:tcW w:w="7200" w:type="dxa"/>
          </w:tcPr>
          <w:p w14:paraId="09575E3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Audit missing values; document imputation (carrier_ct, weather_ct → 0).</w:t>
            </w:r>
          </w:p>
        </w:tc>
      </w:tr>
      <w:tr w14:paraId="29EE118C">
        <w:trPr>
          <w:jc w:val="center"/>
        </w:trPr>
        <w:tc>
          <w:tcPr>
            <w:tcW w:w="2304" w:type="dxa"/>
          </w:tcPr>
          <w:p w14:paraId="74113EB5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3. Feature Engineering</w:t>
            </w:r>
          </w:p>
        </w:tc>
        <w:tc>
          <w:tcPr>
            <w:tcW w:w="7200" w:type="dxa"/>
          </w:tcPr>
          <w:p w14:paraId="44B573A3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Build delay_rate, weather_share, carrier_share (zero-division guarded).</w:t>
            </w:r>
          </w:p>
        </w:tc>
      </w:tr>
      <w:tr w14:paraId="0C4F6066">
        <w:trPr>
          <w:jc w:val="center"/>
        </w:trPr>
        <w:tc>
          <w:tcPr>
            <w:tcW w:w="2304" w:type="dxa"/>
          </w:tcPr>
          <w:p w14:paraId="71B39980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4. Carrier Analysis</w:t>
            </w:r>
          </w:p>
        </w:tc>
        <w:tc>
          <w:tcPr>
            <w:tcW w:w="7200" w:type="dxa"/>
          </w:tcPr>
          <w:p w14:paraId="49AE8697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Rank by delay_rate (flights &gt; 10,000); produce carrier_delay_ranking.png.</w:t>
            </w:r>
          </w:p>
        </w:tc>
      </w:tr>
      <w:tr w14:paraId="2A94ECFF">
        <w:trPr>
          <w:jc w:val="center"/>
        </w:trPr>
        <w:tc>
          <w:tcPr>
            <w:tcW w:w="2304" w:type="dxa"/>
          </w:tcPr>
          <w:p w14:paraId="6FF27956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5. Airport Analysis</w:t>
            </w:r>
          </w:p>
        </w:tc>
        <w:tc>
          <w:tcPr>
            <w:tcW w:w="7200" w:type="dxa"/>
          </w:tcPr>
          <w:p w14:paraId="3F749C9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Rank by delay_rate (flights ≥ 500); produce top_delay_airports.png.</w:t>
            </w:r>
          </w:p>
        </w:tc>
      </w:tr>
      <w:tr w14:paraId="037DE8BA">
        <w:trPr>
          <w:jc w:val="center"/>
        </w:trPr>
        <w:tc>
          <w:tcPr>
            <w:tcW w:w="2304" w:type="dxa"/>
          </w:tcPr>
          <w:p w14:paraId="2B8DB006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6. Temporal Analysis</w:t>
            </w:r>
          </w:p>
        </w:tc>
        <w:tc>
          <w:tcPr>
            <w:tcW w:w="7200" w:type="dxa"/>
          </w:tcPr>
          <w:p w14:paraId="5DA0C137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Monthly delay rates; produce monthly_trend.png with peak annotation.</w:t>
            </w:r>
          </w:p>
        </w:tc>
      </w:tr>
      <w:tr w14:paraId="41DE3BE1">
        <w:trPr>
          <w:jc w:val="center"/>
        </w:trPr>
        <w:tc>
          <w:tcPr>
            <w:tcW w:w="2304" w:type="dxa"/>
          </w:tcPr>
          <w:p w14:paraId="5E7EAFB4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7. Causal Analysis</w:t>
            </w:r>
          </w:p>
        </w:tc>
        <w:tc>
          <w:tcPr>
            <w:tcW w:w="7200" w:type="dxa"/>
          </w:tcPr>
          <w:p w14:paraId="73244677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Cause proportions + per-carrier weather vs carrier shares; produce weather_vs_carrier.png.</w:t>
            </w:r>
          </w:p>
        </w:tc>
      </w:tr>
      <w:tr w14:paraId="5A2A9EAF">
        <w:trPr>
          <w:jc w:val="center"/>
        </w:trPr>
        <w:tc>
          <w:tcPr>
            <w:tcW w:w="2304" w:type="dxa"/>
          </w:tcPr>
          <w:p w14:paraId="6A87F945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8. Interpretation</w:t>
            </w:r>
          </w:p>
        </w:tc>
        <w:tc>
          <w:tcPr>
            <w:tcW w:w="7200" w:type="dxa"/>
          </w:tcPr>
          <w:p w14:paraId="4E609579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Stakeholder-specific recommendations (travelers, airlines, airports, FAA).</w:t>
            </w:r>
          </w:p>
        </w:tc>
      </w:tr>
      <w:tr w14:paraId="212E6ECA">
        <w:trPr>
          <w:jc w:val="center"/>
        </w:trPr>
        <w:tc>
          <w:tcPr>
            <w:tcW w:w="2304" w:type="dxa"/>
          </w:tcPr>
          <w:p w14:paraId="0CB7E260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9. Integration</w:t>
            </w:r>
          </w:p>
        </w:tc>
        <w:tc>
          <w:tcPr>
            <w:tcW w:w="7200" w:type="dxa"/>
          </w:tcPr>
          <w:p w14:paraId="11902D9F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Compile DOCX; run notebook end-to-end; archive outputs.</w:t>
            </w:r>
          </w:p>
        </w:tc>
      </w:tr>
    </w:tbl>
    <w:p w14:paraId="44F43F4A">
      <w:pPr>
        <w:spacing w:before="160" w:after="80"/>
      </w:pPr>
      <w:r>
        <w:rPr>
          <w:rFonts w:ascii="Calibri" w:hAnsi="Calibri"/>
          <w:b/>
          <w:color w:val="1F3A5F"/>
          <w:sz w:val="28"/>
        </w:rPr>
        <w:t>4. Criteria for Success</w:t>
      </w:r>
    </w:p>
    <w:p w14:paraId="62D3C839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Six measurable criteria; each carries explicit evidence.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200"/>
      </w:tblGrid>
      <w:tr w14:paraId="61EB0C19">
        <w:trPr>
          <w:tblHeader/>
          <w:jc w:val="center"/>
        </w:trPr>
        <w:tc>
          <w:tcPr>
            <w:tcW w:w="2304" w:type="dxa"/>
            <w:shd w:val="clear" w:color="auto" w:fill="1F3A5F"/>
          </w:tcPr>
          <w:p w14:paraId="6BE32F0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w="7200" w:type="dxa"/>
            <w:shd w:val="clear" w:color="auto" w:fill="1F3A5F"/>
          </w:tcPr>
          <w:p w14:paraId="43463DA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 of Done &amp; Evidence</w:t>
            </w:r>
          </w:p>
        </w:tc>
      </w:tr>
      <w:tr w14:paraId="5303DD0B">
        <w:trPr>
          <w:jc w:val="center"/>
        </w:trPr>
        <w:tc>
          <w:tcPr>
            <w:tcW w:w="2304" w:type="dxa"/>
          </w:tcPr>
          <w:p w14:paraId="583069A4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Data Integrity</w:t>
            </w:r>
          </w:p>
        </w:tc>
        <w:tc>
          <w:tcPr>
            <w:tcW w:w="7200" w:type="dxa"/>
          </w:tcPr>
          <w:p w14:paraId="784A7328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Missing values treated with documented business-logic imputation.  Evidence: §4 / notebook comments.</w:t>
            </w:r>
          </w:p>
        </w:tc>
      </w:tr>
      <w:tr w14:paraId="3352DD3A">
        <w:trPr>
          <w:jc w:val="center"/>
        </w:trPr>
        <w:tc>
          <w:tcPr>
            <w:tcW w:w="2304" w:type="dxa"/>
          </w:tcPr>
          <w:p w14:paraId="73ABC379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Analytical Depth</w:t>
            </w:r>
          </w:p>
        </w:tc>
        <w:tc>
          <w:tcPr>
            <w:tcW w:w="7200" w:type="dxa"/>
          </w:tcPr>
          <w:p w14:paraId="0EEE5D4D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Interpretation explains “why” each pattern emerges, not just numbers.  Evidence: §6 + §7.</w:t>
            </w:r>
          </w:p>
        </w:tc>
      </w:tr>
      <w:tr w14:paraId="469C1287">
        <w:trPr>
          <w:jc w:val="center"/>
        </w:trPr>
        <w:tc>
          <w:tcPr>
            <w:tcW w:w="2304" w:type="dxa"/>
          </w:tcPr>
          <w:p w14:paraId="39A786AE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Visualisation Quality</w:t>
            </w:r>
          </w:p>
        </w:tc>
        <w:tc>
          <w:tcPr>
            <w:tcW w:w="7200" w:type="dxa"/>
          </w:tcPr>
          <w:p w14:paraId="3B71420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Title, axis labels, value annotations, legend, 150 DPI, purposeful colour.  Evidence: 4 embedded PNGs.</w:t>
            </w:r>
          </w:p>
        </w:tc>
      </w:tr>
      <w:tr w14:paraId="45C3A8A5">
        <w:trPr>
          <w:jc w:val="center"/>
        </w:trPr>
        <w:tc>
          <w:tcPr>
            <w:tcW w:w="2304" w:type="dxa"/>
          </w:tcPr>
          <w:p w14:paraId="61B02AA8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Actionable Outputs</w:t>
            </w:r>
          </w:p>
        </w:tc>
        <w:tc>
          <w:tcPr>
            <w:tcW w:w="7200" w:type="dxa"/>
          </w:tcPr>
          <w:p w14:paraId="1CBA1197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Stakeholder-specific recommendations.  Evidence: §8 stakeholder table.</w:t>
            </w:r>
          </w:p>
        </w:tc>
      </w:tr>
      <w:tr w14:paraId="2AC6D39C">
        <w:trPr>
          <w:jc w:val="center"/>
        </w:trPr>
        <w:tc>
          <w:tcPr>
            <w:tcW w:w="2304" w:type="dxa"/>
          </w:tcPr>
          <w:p w14:paraId="53B9BD0D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Reproducibility</w:t>
            </w:r>
          </w:p>
        </w:tc>
        <w:tc>
          <w:tcPr>
            <w:tcW w:w="7200" w:type="dxa"/>
          </w:tcPr>
          <w:p w14:paraId="6C080EC9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Notebook runs end-to-end without errors; commented code committed to GitHub.  Evidence: .ipynb file.</w:t>
            </w:r>
          </w:p>
        </w:tc>
      </w:tr>
      <w:tr w14:paraId="61497308">
        <w:trPr>
          <w:jc w:val="center"/>
        </w:trPr>
        <w:tc>
          <w:tcPr>
            <w:tcW w:w="2304" w:type="dxa"/>
          </w:tcPr>
          <w:p w14:paraId="44645693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Proposal Completeness</w:t>
            </w:r>
          </w:p>
        </w:tc>
        <w:tc>
          <w:tcPr>
            <w:tcW w:w="7200" w:type="dxa"/>
          </w:tcPr>
          <w:p w14:paraId="005C79FB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All 5 required components (Topic, Purpose, Tasks, Criteria, Collaboration).  Evidence: §1–§5 of this report.</w:t>
            </w:r>
          </w:p>
        </w:tc>
      </w:tr>
    </w:tbl>
    <w:p w14:paraId="5AD0336B">
      <w:pPr>
        <w:spacing w:before="160" w:after="80"/>
      </w:pPr>
      <w:r>
        <w:rPr>
          <w:rFonts w:ascii="Calibri" w:hAnsi="Calibri"/>
          <w:b/>
          <w:color w:val="1F3A5F"/>
          <w:sz w:val="28"/>
        </w:rPr>
        <w:t>5. Project Collaboration</w:t>
      </w:r>
    </w:p>
    <w:p w14:paraId="5FFA8962">
      <w:pPr>
        <w:spacing w:after="60" w:line="288" w:lineRule="auto"/>
        <w:jc w:val="both"/>
        <w:rPr>
          <w:rFonts w:ascii="Calibri" w:hAnsi="Calibri"/>
          <w:b w:val="0"/>
          <w:i w:val="0"/>
          <w:sz w:val="20"/>
        </w:rPr>
      </w:pPr>
      <w:r>
        <w:rPr>
          <w:rFonts w:ascii="Calibri" w:hAnsi="Calibri"/>
          <w:b w:val="0"/>
          <w:i w:val="0"/>
          <w:sz w:val="20"/>
        </w:rPr>
        <w:t>Division of Work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624"/>
      </w:tblGrid>
      <w:tr w14:paraId="14E5FCED">
        <w:trPr>
          <w:tblHeader/>
          <w:jc w:val="center"/>
        </w:trPr>
        <w:tc>
          <w:tcPr>
            <w:tcW w:w="2880" w:type="dxa"/>
            <w:shd w:val="clear" w:color="auto" w:fill="1F3A5F"/>
          </w:tcPr>
          <w:p w14:paraId="266EB5A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 / Role</w:t>
            </w:r>
          </w:p>
        </w:tc>
        <w:tc>
          <w:tcPr>
            <w:tcW w:w="6624" w:type="dxa"/>
            <w:shd w:val="clear" w:color="auto" w:fill="1F3A5F"/>
          </w:tcPr>
          <w:p w14:paraId="18FDB81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Core Responsibilities</w:t>
            </w:r>
          </w:p>
        </w:tc>
      </w:tr>
      <w:tr w14:paraId="41086D30">
        <w:trPr>
          <w:jc w:val="center"/>
        </w:trPr>
        <w:tc>
          <w:tcPr>
            <w:tcW w:w="2880" w:type="dxa"/>
          </w:tcPr>
          <w:p w14:paraId="30DE4752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Member A — Coordinator &amp; Data Analyst</w:t>
            </w:r>
          </w:p>
        </w:tc>
        <w:tc>
          <w:tcPr>
            <w:tcW w:w="6624" w:type="dxa"/>
          </w:tcPr>
          <w:p w14:paraId="1244A2A6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Timeline &amp; progress tracking; data loading / cleaning / feature engineering; carrier &amp; airport analyses; carrier &amp; airport charts; code integration; primary instructor liaison.</w:t>
            </w:r>
          </w:p>
        </w:tc>
      </w:tr>
      <w:tr w14:paraId="0BB91230">
        <w:trPr>
          <w:jc w:val="center"/>
        </w:trPr>
        <w:tc>
          <w:tcPr>
            <w:tcW w:w="2880" w:type="dxa"/>
          </w:tcPr>
          <w:p w14:paraId="39F243CB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Member B — Researcher &amp; Report Writer</w:t>
            </w:r>
          </w:p>
        </w:tc>
        <w:tc>
          <w:tcPr>
            <w:tcW w:w="6624" w:type="dxa"/>
          </w:tcPr>
          <w:p w14:paraId="4F01070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Cause &amp; temporal analyses; cause &amp; trend charts; proposal &amp; report writing; meeting minutes &amp; decision log; code review and testing support.</w:t>
            </w:r>
          </w:p>
        </w:tc>
      </w:tr>
    </w:tbl>
    <w:p w14:paraId="4148A98C">
      <w:pPr>
        <w:spacing w:before="0" w:after="0"/>
      </w:pPr>
      <w:r>
        <w:rPr>
          <w:rFonts w:ascii="Calibri" w:hAnsi="Calibri"/>
          <w:b/>
          <w:color w:val="1F3A5F"/>
          <w:sz w:val="28"/>
        </w:rPr>
        <w:t>6. Data Analysis Report</w:t>
      </w:r>
    </w:p>
    <w:p w14:paraId="028C5109">
      <w:pPr>
        <w:spacing w:before="120" w:after="60"/>
      </w:pPr>
      <w:r>
        <w:rPr>
          <w:rFonts w:ascii="Calibri" w:hAnsi="Calibri"/>
          <w:b/>
          <w:color w:val="1F3A5F"/>
          <w:sz w:val="23"/>
        </w:rPr>
        <w:t>6.1 Executive Summary &amp; Key Findings</w:t>
      </w:r>
    </w:p>
    <w:p w14:paraId="3B725681">
      <w:pPr>
        <w:widowControl/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 xml:space="preserve">Analyses U.S. domestic flight delays using </w:t>
      </w:r>
      <w:r>
        <w:rPr>
          <w:rFonts w:hint="default" w:ascii="Calibri" w:hAnsi="Calibri" w:cstheme="minorBidi"/>
          <w:b w:val="0"/>
          <w:i w:val="0"/>
          <w:kern w:val="0"/>
          <w:sz w:val="20"/>
          <w:szCs w:val="22"/>
          <w:lang w:val="en-US" w:eastAsia="zh-CN"/>
        </w:rPr>
        <w:t>the U.S. BTS Airline On-Time Statistics dataset (Kaggle), which contains 398,233 aggregated records summarizing flight activity from June 2003 to January 2025. These records represent over 140 million actual domestic flights.</w:t>
      </w:r>
    </w:p>
    <w:p w14:paraId="0521631E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 xml:space="preserve"> A multi-dimensional framework (carrier, airport, time, cause) is applied to investigate delay determinants. Overall delay rate is 19.2%; carrier operations are the largest identifiable cause (29.5%); weather contributes only 3.6% directly; September is the most reliable travel month (14.9%) and June the worst (23.1%). The four visualisations below operationalise the research question's four analytical dimensions.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048"/>
      </w:tblGrid>
      <w:tr w14:paraId="166FDEF5">
        <w:trPr>
          <w:tblHeader/>
          <w:jc w:val="center"/>
        </w:trPr>
        <w:tc>
          <w:tcPr>
            <w:tcW w:w="3456" w:type="dxa"/>
            <w:shd w:val="clear" w:color="auto" w:fill="1F3A5F"/>
          </w:tcPr>
          <w:p w14:paraId="6A751CE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Indicator</w:t>
            </w:r>
          </w:p>
        </w:tc>
        <w:tc>
          <w:tcPr>
            <w:tcW w:w="6048" w:type="dxa"/>
            <w:shd w:val="clear" w:color="auto" w:fill="1F3A5F"/>
          </w:tcPr>
          <w:p w14:paraId="08F1744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 w14:paraId="68B1C282">
        <w:trPr>
          <w:jc w:val="center"/>
        </w:trPr>
        <w:tc>
          <w:tcPr>
            <w:tcW w:w="3456" w:type="dxa"/>
          </w:tcPr>
          <w:p w14:paraId="624EFD13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Overall delay rate</w:t>
            </w:r>
          </w:p>
        </w:tc>
        <w:tc>
          <w:tcPr>
            <w:tcW w:w="6048" w:type="dxa"/>
          </w:tcPr>
          <w:p w14:paraId="2417367E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19.2%</w:t>
            </w:r>
          </w:p>
        </w:tc>
      </w:tr>
      <w:tr w14:paraId="07C4A878">
        <w:trPr>
          <w:jc w:val="center"/>
        </w:trPr>
        <w:tc>
          <w:tcPr>
            <w:tcW w:w="3456" w:type="dxa"/>
          </w:tcPr>
          <w:p w14:paraId="7DB7BE3F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Most punctual carrier</w:t>
            </w:r>
          </w:p>
        </w:tc>
        <w:tc>
          <w:tcPr>
            <w:tcW w:w="6048" w:type="dxa"/>
          </w:tcPr>
          <w:p w14:paraId="371BA20F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Aloha Airlines Inc. — 7.1%</w:t>
            </w:r>
          </w:p>
        </w:tc>
      </w:tr>
      <w:tr w14:paraId="78C17447">
        <w:trPr>
          <w:jc w:val="center"/>
        </w:trPr>
        <w:tc>
          <w:tcPr>
            <w:tcW w:w="3456" w:type="dxa"/>
          </w:tcPr>
          <w:p w14:paraId="3A4DCEDA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Least punctual carrier</w:t>
            </w:r>
          </w:p>
        </w:tc>
        <w:tc>
          <w:tcPr>
            <w:tcW w:w="6048" w:type="dxa"/>
          </w:tcPr>
          <w:p w14:paraId="46334521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Peninsula Airways Inc. — 31.5%</w:t>
            </w:r>
          </w:p>
        </w:tc>
      </w:tr>
      <w:tr w14:paraId="60139580">
        <w:trPr>
          <w:jc w:val="center"/>
        </w:trPr>
        <w:tc>
          <w:tcPr>
            <w:tcW w:w="3456" w:type="dxa"/>
          </w:tcPr>
          <w:p w14:paraId="68B1CC27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Most delay-prone airport</w:t>
            </w:r>
          </w:p>
        </w:tc>
        <w:tc>
          <w:tcPr>
            <w:tcW w:w="6048" w:type="dxa"/>
          </w:tcPr>
          <w:p w14:paraId="2630D848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Unalaska, AK — 37.1%</w:t>
            </w:r>
          </w:p>
        </w:tc>
      </w:tr>
      <w:tr w14:paraId="726D7F8D">
        <w:trPr>
          <w:jc w:val="center"/>
        </w:trPr>
        <w:tc>
          <w:tcPr>
            <w:tcW w:w="3456" w:type="dxa"/>
          </w:tcPr>
          <w:p w14:paraId="5A4950A8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Carrier-caused delay share</w:t>
            </w:r>
          </w:p>
        </w:tc>
        <w:tc>
          <w:tcPr>
            <w:tcW w:w="6048" w:type="dxa"/>
          </w:tcPr>
          <w:p w14:paraId="419CDA3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29.5% (largest identifiable cause)</w:t>
            </w:r>
          </w:p>
        </w:tc>
      </w:tr>
      <w:tr w14:paraId="46ADCE71">
        <w:trPr>
          <w:jc w:val="center"/>
        </w:trPr>
        <w:tc>
          <w:tcPr>
            <w:tcW w:w="3456" w:type="dxa"/>
          </w:tcPr>
          <w:p w14:paraId="15967E48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Weather-caused delay share</w:t>
            </w:r>
          </w:p>
        </w:tc>
        <w:tc>
          <w:tcPr>
            <w:tcW w:w="6048" w:type="dxa"/>
          </w:tcPr>
          <w:p w14:paraId="72D7DD9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3.6%</w:t>
            </w:r>
          </w:p>
        </w:tc>
      </w:tr>
      <w:tr w14:paraId="715ABEC3">
        <w:trPr>
          <w:jc w:val="center"/>
        </w:trPr>
        <w:tc>
          <w:tcPr>
            <w:tcW w:w="3456" w:type="dxa"/>
          </w:tcPr>
          <w:p w14:paraId="710039B6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Best travel month</w:t>
            </w:r>
          </w:p>
        </w:tc>
        <w:tc>
          <w:tcPr>
            <w:tcW w:w="6048" w:type="dxa"/>
          </w:tcPr>
          <w:p w14:paraId="3A9877A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September — 14.9%</w:t>
            </w:r>
          </w:p>
        </w:tc>
      </w:tr>
      <w:tr w14:paraId="0CEB401D">
        <w:trPr>
          <w:jc w:val="center"/>
        </w:trPr>
        <w:tc>
          <w:tcPr>
            <w:tcW w:w="3456" w:type="dxa"/>
          </w:tcPr>
          <w:p w14:paraId="46F8A04F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Worst travel month</w:t>
            </w:r>
          </w:p>
        </w:tc>
        <w:tc>
          <w:tcPr>
            <w:tcW w:w="6048" w:type="dxa"/>
          </w:tcPr>
          <w:p w14:paraId="72066EC0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June — 23.1%</w:t>
            </w:r>
          </w:p>
        </w:tc>
      </w:tr>
    </w:tbl>
    <w:p w14:paraId="61FDFAF9">
      <w:pPr>
        <w:spacing w:before="120" w:after="60"/>
      </w:pPr>
      <w:r>
        <w:rPr>
          <w:rFonts w:ascii="Calibri" w:hAnsi="Calibri"/>
          <w:b/>
          <w:color w:val="1F3A5F"/>
          <w:sz w:val="23"/>
        </w:rPr>
        <w:t>6.2 Carrier Analysis (Who, RQ1)</w:t>
      </w:r>
    </w:p>
    <w:p w14:paraId="79E5E7B3">
      <w:pPr>
        <w:widowControl/>
        <w:spacing w:after="60" w:line="288" w:lineRule="auto"/>
        <w:jc w:val="both"/>
      </w:pPr>
      <w:r>
        <w:rPr>
          <w:rFonts w:hint="default" w:ascii="Calibri" w:hAnsi="Calibri" w:cstheme="minorBidi"/>
          <w:b w:val="0"/>
          <w:i w:val="0"/>
          <w:kern w:val="0"/>
          <w:sz w:val="20"/>
          <w:szCs w:val="22"/>
          <w:lang w:val="en-US" w:eastAsia="zh-CN"/>
        </w:rPr>
        <w:t>Based on aggregation over the entire 2003–2025 dataset (filtering carriers with &gt;10,000 total flights), the top 5 most punctual carriers are:</w:t>
      </w:r>
      <w:r>
        <w:rPr>
          <w:rFonts w:ascii="Calibri" w:hAnsi="Calibri"/>
          <w:b w:val="0"/>
          <w:i w:val="0"/>
          <w:sz w:val="20"/>
        </w:rPr>
        <w:t>Aloha Airlines 7.1%, Hawaiian 7.8%, Cape Air 8.9%, Endeavor Air 13.8%, Horizon Air 14.3%.  Bottom 5: Peninsula Airways 31.5%, Frontier 26.2%, JetBlue 24.4%, Allegiant 23.7%, Spirit 23.6%.  Hawaiian carriers benefit from stable tropical weather and short-haul island operations; Peninsula's poor performance reflects remote Alaska weather and infrastructure constraints. Spread of 24.4 percentage points confirms carrier choice is consequential.</w:t>
      </w:r>
    </w:p>
    <w:p w14:paraId="53D0C938">
      <w:pPr>
        <w:spacing w:before="40" w:after="0"/>
        <w:jc w:val="center"/>
      </w:pPr>
      <w:r>
        <w:drawing>
          <wp:inline distT="0" distB="0" distL="114300" distR="114300">
            <wp:extent cx="4572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7762">
      <w:pPr>
        <w:spacing w:after="80"/>
        <w:jc w:val="center"/>
        <w:rPr>
          <w:rFonts w:ascii="Calibri" w:hAnsi="Calibri"/>
          <w:i/>
          <w:color w:val="555555"/>
          <w:sz w:val="17"/>
        </w:rPr>
      </w:pPr>
      <w:r>
        <w:rPr>
          <w:rFonts w:ascii="Calibri" w:hAnsi="Calibri"/>
          <w:i/>
          <w:color w:val="555555"/>
          <w:sz w:val="17"/>
        </w:rPr>
        <w:t>Figure 1 — Carrier delay-rate ranking (green &lt;15%, yellow 15–25%, red &gt;25%).</w:t>
      </w:r>
    </w:p>
    <w:p w14:paraId="2FB2000C">
      <w:pPr>
        <w:spacing w:before="120" w:after="60"/>
        <w:rPr>
          <w:rFonts w:ascii="Calibri" w:hAnsi="Calibri"/>
          <w:b/>
          <w:color w:val="1F3A5F"/>
          <w:sz w:val="23"/>
        </w:rPr>
      </w:pPr>
    </w:p>
    <w:p w14:paraId="5FF464C5">
      <w:pPr>
        <w:spacing w:before="120" w:after="60"/>
        <w:rPr>
          <w:rFonts w:ascii="Calibri" w:hAnsi="Calibri"/>
          <w:b/>
          <w:color w:val="1F3A5F"/>
          <w:sz w:val="23"/>
        </w:rPr>
      </w:pPr>
    </w:p>
    <w:p w14:paraId="73682455">
      <w:pPr>
        <w:spacing w:before="120" w:after="60"/>
        <w:rPr>
          <w:rFonts w:ascii="Calibri" w:hAnsi="Calibri"/>
          <w:b/>
          <w:color w:val="1F3A5F"/>
          <w:sz w:val="23"/>
        </w:rPr>
      </w:pPr>
      <w:r>
        <w:rPr>
          <w:rFonts w:ascii="Calibri" w:hAnsi="Calibri"/>
          <w:b/>
          <w:color w:val="1F3A5F"/>
          <w:sz w:val="23"/>
        </w:rPr>
        <w:t>6.3 Airport Analysis (Where, RQ2)</w:t>
      </w:r>
    </w:p>
    <w:p w14:paraId="532885E8">
      <w:pPr>
        <w:spacing w:before="120" w:after="60"/>
      </w:pPr>
      <w:r>
        <w:rPr>
          <w:rFonts w:ascii="Calibri" w:hAnsi="Calibri"/>
          <w:b w:val="0"/>
          <w:i w:val="0"/>
          <w:sz w:val="20"/>
        </w:rPr>
        <w:t>Top high-delay airports: Unalaska 37.1%, Wilmington 32.4%, Salem 31.9%, Macon 31.6%, Aguadilla 28.7%. Two clusters emerge: remote/underserved (Unalaska, Presque Isle) and climate-vulnerable (Aguadilla, Punta Gorda). All exceed the 19.2% national average by ≥9 percentage points.</w:t>
      </w:r>
    </w:p>
    <w:p w14:paraId="52B1ADA3">
      <w:pPr>
        <w:spacing w:before="40" w:after="0"/>
        <w:jc w:val="center"/>
      </w:pPr>
      <w:r>
        <w:drawing>
          <wp:inline distT="0" distB="0" distL="114300" distR="114300">
            <wp:extent cx="4520565" cy="2637155"/>
            <wp:effectExtent l="0" t="0" r="571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6D7B">
      <w:pPr>
        <w:spacing w:after="80"/>
        <w:jc w:val="center"/>
      </w:pPr>
      <w:r>
        <w:rPr>
          <w:rFonts w:ascii="Calibri" w:hAnsi="Calibri"/>
          <w:i/>
          <w:color w:val="555555"/>
          <w:sz w:val="17"/>
        </w:rPr>
        <w:t>Figure 2 — Top 15 high-delay airports.</w:t>
      </w:r>
    </w:p>
    <w:p w14:paraId="168C9E53">
      <w:pPr>
        <w:spacing w:before="0" w:after="0"/>
      </w:pPr>
      <w:r>
        <w:rPr>
          <w:rFonts w:ascii="Calibri" w:hAnsi="Calibri"/>
          <w:b/>
          <w:color w:val="1F3A5F"/>
          <w:sz w:val="23"/>
        </w:rPr>
        <w:t>6.4 Causal Analysis — Aggregate (Why, RQ4)</w:t>
      </w:r>
    </w:p>
    <w:p w14:paraId="2C5A91CD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Aggregate cause distribution: Carrier 8,166,343 (29.5%); Weather 997,212 (3.6%); Other (NAS / Security / Late aircraft / System) 18,484,937 (66.9%); Total 27,648,492.  “Other” dominates, underscoring systemic complexity. The largest identifiable contributor is carrier operations — fleet, crew, and maintenance management are the critical improvement levers. Weather is a minor direct cause despite popular perception.</w:t>
      </w:r>
    </w:p>
    <w:p w14:paraId="3FD0680A">
      <w:pPr>
        <w:spacing w:before="120" w:after="60"/>
      </w:pPr>
      <w:r>
        <w:rPr>
          <w:rFonts w:ascii="Calibri" w:hAnsi="Calibri"/>
          <w:b/>
          <w:color w:val="1F3A5F"/>
          <w:sz w:val="23"/>
        </w:rPr>
        <w:t>6.5 Causal Analysis — Carrier-Level (RQ5)</w:t>
      </w:r>
    </w:p>
    <w:p w14:paraId="5686DBA1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Top 10 carriers by weather-delay share: Comair 18.5%, Atlantic Southeast 9.4%, Virgin America 8.7%, Peninsula Airways 6.9%, Envoy Air 6.3%, Piedmont 5.8%, Allegiant 5.7%, SkyWest 5.1%, Northwest 4.9%, American Eagle 4.9%.  Comair's high weather exposure reflects its Midwest/Southeast route structure. Carriers should match mitigation strategy to cause profile: operational optimisation for carrier-dominated delays, route planning &amp; forecasting for weather-dominated ones.</w:t>
      </w:r>
    </w:p>
    <w:p w14:paraId="0817887B">
      <w:pPr>
        <w:spacing w:before="40" w:after="0"/>
        <w:jc w:val="center"/>
      </w:pPr>
      <w:r>
        <w:drawing>
          <wp:inline distT="0" distB="0" distL="114300" distR="114300">
            <wp:extent cx="45720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5D5">
      <w:pPr>
        <w:spacing w:after="80"/>
        <w:jc w:val="center"/>
      </w:pPr>
      <w:r>
        <w:rPr>
          <w:rFonts w:ascii="Calibri" w:hAnsi="Calibri"/>
          <w:i/>
          <w:color w:val="555555"/>
          <w:sz w:val="17"/>
        </w:rPr>
        <w:t>Figure 3 — Weather vs airline delay causes by carrier (top carriers by delay volume).</w:t>
      </w:r>
    </w:p>
    <w:p w14:paraId="71EA2EAC">
      <w:pPr>
        <w:spacing w:before="120" w:after="60"/>
        <w:rPr>
          <w:rFonts w:ascii="Calibri" w:hAnsi="Calibri"/>
          <w:b/>
          <w:color w:val="1F3A5F"/>
          <w:sz w:val="23"/>
        </w:rPr>
      </w:pPr>
    </w:p>
    <w:p w14:paraId="14FFC87F">
      <w:pPr>
        <w:spacing w:before="120" w:after="60"/>
        <w:rPr>
          <w:rFonts w:ascii="Calibri" w:hAnsi="Calibri"/>
          <w:b/>
          <w:color w:val="1F3A5F"/>
          <w:sz w:val="23"/>
        </w:rPr>
      </w:pPr>
    </w:p>
    <w:p w14:paraId="300796DB">
      <w:pPr>
        <w:spacing w:before="120" w:after="60"/>
      </w:pPr>
      <w:r>
        <w:rPr>
          <w:rFonts w:ascii="Calibri" w:hAnsi="Calibri"/>
          <w:b/>
          <w:color w:val="1F3A5F"/>
          <w:sz w:val="23"/>
        </w:rPr>
        <w:t>6.6 Temporal Analysis (When, RQ3)</w:t>
      </w:r>
    </w:p>
    <w:p w14:paraId="0C010D5E">
      <w:pPr>
        <w:spacing w:after="60" w:line="288" w:lineRule="auto"/>
        <w:jc w:val="both"/>
      </w:pPr>
      <w:r>
        <w:rPr>
          <w:rFonts w:ascii="Calibri" w:hAnsi="Calibri"/>
          <w:b w:val="0"/>
          <w:i w:val="0"/>
          <w:sz w:val="20"/>
        </w:rPr>
        <w:t>Monthly delay rates follow a clear unimodal pattern: low in winter, rising through spring, peaking in June (23.1%) on combined summer-storm and peak-demand stress, then sharply dropping to September (14.9%) as demand falls and weather stabilises. Range = 8.2 pp — large enough to support timing-based travel advice.</w:t>
      </w:r>
    </w:p>
    <w:p w14:paraId="29914934">
      <w:pPr>
        <w:spacing w:before="40" w:after="0"/>
        <w:jc w:val="center"/>
      </w:pPr>
      <w:r>
        <w:drawing>
          <wp:inline distT="0" distB="0" distL="114300" distR="114300">
            <wp:extent cx="4572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9512">
      <w:pPr>
        <w:spacing w:after="80"/>
        <w:jc w:val="center"/>
      </w:pPr>
      <w:r>
        <w:rPr>
          <w:rFonts w:ascii="Calibri" w:hAnsi="Calibri"/>
          <w:i/>
          <w:color w:val="555555"/>
          <w:sz w:val="17"/>
        </w:rPr>
        <w:t>Figure 4 — Monthly delay rate trend with annotated maximum.</w:t>
      </w:r>
    </w:p>
    <w:p w14:paraId="456EE9F5">
      <w:pPr>
        <w:spacing w:before="0" w:after="0"/>
      </w:pPr>
      <w:r>
        <w:rPr>
          <w:rFonts w:ascii="Calibri" w:hAnsi="Calibri"/>
          <w:b/>
          <w:color w:val="1F3A5F"/>
          <w:sz w:val="28"/>
        </w:rPr>
        <w:t>7. Discussion &amp; Conclusion</w:t>
      </w:r>
    </w:p>
    <w:p w14:paraId="603EC7F3">
      <w:pPr>
        <w:spacing w:before="120" w:after="60"/>
      </w:pPr>
      <w:r>
        <w:rPr>
          <w:rFonts w:ascii="Calibri" w:hAnsi="Calibri"/>
          <w:b/>
          <w:color w:val="1F3A5F"/>
          <w:sz w:val="23"/>
        </w:rPr>
        <w:t>7.1 Principal Conclusions</w:t>
      </w:r>
    </w:p>
    <w:p w14:paraId="262A9D58">
      <w:pPr>
        <w:pStyle w:val="16"/>
        <w:spacing w:after="20" w:line="276" w:lineRule="auto"/>
      </w:pPr>
      <w:r>
        <w:rPr>
          <w:rFonts w:ascii="Calibri" w:hAnsi="Calibri"/>
          <w:sz w:val="19"/>
        </w:rPr>
        <w:t>Carrier choice is consequential — a 24.4 pp spread between best and worst.</w:t>
      </w:r>
    </w:p>
    <w:p w14:paraId="575BFCF5">
      <w:pPr>
        <w:pStyle w:val="16"/>
        <w:spacing w:after="20" w:line="276" w:lineRule="auto"/>
      </w:pPr>
      <w:r>
        <w:rPr>
          <w:rFonts w:ascii="Calibri" w:hAnsi="Calibri"/>
          <w:sz w:val="19"/>
        </w:rPr>
        <w:t>Operational management is the key lever — 29.5% carrier + 66.9% other = 96.4% within operational reach.</w:t>
      </w:r>
    </w:p>
    <w:p w14:paraId="72DE9824">
      <w:pPr>
        <w:pStyle w:val="16"/>
        <w:spacing w:after="20" w:line="276" w:lineRule="auto"/>
      </w:pPr>
      <w:r>
        <w:rPr>
          <w:rFonts w:ascii="Calibri" w:hAnsi="Calibri"/>
          <w:sz w:val="19"/>
        </w:rPr>
        <w:t>Weather is a minor direct cause (3.6%) — over-emphasised in public perception.</w:t>
      </w:r>
    </w:p>
    <w:p w14:paraId="7427BE92">
      <w:pPr>
        <w:pStyle w:val="16"/>
        <w:spacing w:after="20" w:line="276" w:lineRule="auto"/>
      </w:pPr>
      <w:r>
        <w:rPr>
          <w:rFonts w:ascii="Calibri" w:hAnsi="Calibri"/>
          <w:sz w:val="19"/>
        </w:rPr>
        <w:t>September is the optimal travel month (14.9% delay rate).</w:t>
      </w:r>
    </w:p>
    <w:p w14:paraId="71BC4B9E">
      <w:pPr>
        <w:spacing w:before="120" w:after="60"/>
      </w:pPr>
      <w:r>
        <w:rPr>
          <w:rFonts w:ascii="Calibri" w:hAnsi="Calibri"/>
          <w:b/>
          <w:color w:val="1F3A5F"/>
          <w:sz w:val="23"/>
        </w:rPr>
        <w:t>7.2 Stakeholder Recommendations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184"/>
        <w:gridCol w:w="2880"/>
      </w:tblGrid>
      <w:tr w14:paraId="1F860898">
        <w:trPr>
          <w:tblHeader/>
          <w:jc w:val="center"/>
        </w:trPr>
        <w:tc>
          <w:tcPr>
            <w:tcW w:w="1728" w:type="dxa"/>
            <w:shd w:val="clear" w:color="auto" w:fill="1F3A5F"/>
          </w:tcPr>
          <w:p w14:paraId="7DF2090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</w:t>
            </w:r>
          </w:p>
        </w:tc>
        <w:tc>
          <w:tcPr>
            <w:tcW w:w="5184" w:type="dxa"/>
            <w:shd w:val="clear" w:color="auto" w:fill="1F3A5F"/>
          </w:tcPr>
          <w:p w14:paraId="3DDE5F8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Recommendation</w:t>
            </w:r>
          </w:p>
        </w:tc>
        <w:tc>
          <w:tcPr>
            <w:tcW w:w="2880" w:type="dxa"/>
            <w:shd w:val="clear" w:color="auto" w:fill="1F3A5F"/>
          </w:tcPr>
          <w:p w14:paraId="3BB33C8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 w14:paraId="48879EF4">
        <w:trPr>
          <w:jc w:val="center"/>
        </w:trPr>
        <w:tc>
          <w:tcPr>
            <w:tcW w:w="1728" w:type="dxa"/>
          </w:tcPr>
          <w:p w14:paraId="1CE84D0E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Travelers</w:t>
            </w:r>
          </w:p>
        </w:tc>
        <w:tc>
          <w:tcPr>
            <w:tcW w:w="5184" w:type="dxa"/>
          </w:tcPr>
          <w:p w14:paraId="55553EF1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Choose punctual carriers (Aloha, Hawaiian); avoid high-delay airports; travel in September.</w:t>
            </w:r>
          </w:p>
        </w:tc>
        <w:tc>
          <w:tcPr>
            <w:tcW w:w="2880" w:type="dxa"/>
          </w:tcPr>
          <w:p w14:paraId="310370EE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7.1% vs 31.5% carrier spread; 37.1% airport peak; 14.9% vs 23.1% monthly.</w:t>
            </w:r>
          </w:p>
        </w:tc>
      </w:tr>
      <w:tr w14:paraId="226BABAC">
        <w:trPr>
          <w:jc w:val="center"/>
        </w:trPr>
        <w:tc>
          <w:tcPr>
            <w:tcW w:w="1728" w:type="dxa"/>
          </w:tcPr>
          <w:p w14:paraId="2FF30CC8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Airlines</w:t>
            </w:r>
          </w:p>
        </w:tc>
        <w:tc>
          <w:tcPr>
            <w:tcW w:w="5184" w:type="dxa"/>
          </w:tcPr>
          <w:p w14:paraId="10C6FB93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Optimise crew scheduling &amp; maintenance; build weather preparedness for high-exposure routes (Comair); add slack in May–Aug.</w:t>
            </w:r>
          </w:p>
        </w:tc>
        <w:tc>
          <w:tcPr>
            <w:tcW w:w="2880" w:type="dxa"/>
          </w:tcPr>
          <w:p w14:paraId="344A0666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29.5% carrier share; Comair 18.5% weather share; 23.1% June peak.</w:t>
            </w:r>
          </w:p>
        </w:tc>
      </w:tr>
      <w:tr w14:paraId="1F1F43BE">
        <w:trPr>
          <w:jc w:val="center"/>
        </w:trPr>
        <w:tc>
          <w:tcPr>
            <w:tcW w:w="1728" w:type="dxa"/>
          </w:tcPr>
          <w:p w14:paraId="4C18DF3B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Airports</w:t>
            </w:r>
          </w:p>
        </w:tc>
        <w:tc>
          <w:tcPr>
            <w:tcW w:w="5184" w:type="dxa"/>
          </w:tcPr>
          <w:p w14:paraId="1441F822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Invest in weather monitoring &amp; de-icing at remote hubs (Unalaska); improve ground handling.</w:t>
            </w:r>
          </w:p>
        </w:tc>
        <w:tc>
          <w:tcPr>
            <w:tcW w:w="2880" w:type="dxa"/>
          </w:tcPr>
          <w:p w14:paraId="27A132FE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Remote airports &gt; 28% delay.</w:t>
            </w:r>
          </w:p>
        </w:tc>
      </w:tr>
      <w:tr w14:paraId="49F20CC0">
        <w:trPr>
          <w:jc w:val="center"/>
        </w:trPr>
        <w:tc>
          <w:tcPr>
            <w:tcW w:w="1728" w:type="dxa"/>
          </w:tcPr>
          <w:p w14:paraId="4F03DC60">
            <w:pPr>
              <w:spacing w:after="0" w:line="240" w:lineRule="auto"/>
            </w:pPr>
            <w:r>
              <w:rPr>
                <w:rFonts w:ascii="Calibri" w:hAnsi="Calibri"/>
                <w:b/>
                <w:sz w:val="18"/>
              </w:rPr>
              <w:t>FAA / Policy</w:t>
            </w:r>
          </w:p>
        </w:tc>
        <w:tc>
          <w:tcPr>
            <w:tcW w:w="5184" w:type="dxa"/>
          </w:tcPr>
          <w:p w14:paraId="534B80EC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Modernise NAS (NextGen) to address 66.9% “Other”; reduce cascading delays via system coordination.</w:t>
            </w:r>
          </w:p>
        </w:tc>
        <w:tc>
          <w:tcPr>
            <w:tcW w:w="2880" w:type="dxa"/>
          </w:tcPr>
          <w:p w14:paraId="18C236AB"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“Other” dominates at 66.9%.</w:t>
            </w:r>
          </w:p>
        </w:tc>
      </w:tr>
    </w:tbl>
    <w:p w14:paraId="3593F8C1">
      <w:pPr>
        <w:spacing w:before="120" w:after="60"/>
      </w:pPr>
      <w:r>
        <w:rPr>
          <w:rFonts w:ascii="Calibri" w:hAnsi="Calibri"/>
          <w:b/>
          <w:color w:val="1F3A5F"/>
          <w:sz w:val="23"/>
        </w:rPr>
        <w:t>7.3 Limitations &amp; Future Work</w:t>
      </w:r>
    </w:p>
    <w:p w14:paraId="4FE9A6A8">
      <w:pPr>
        <w:spacing w:after="60" w:line="288" w:lineRule="auto"/>
        <w:jc w:val="both"/>
        <w:rPr>
          <w:rFonts w:hint="default" w:ascii="Calibri" w:hAnsi="Calibri"/>
          <w:b w:val="0"/>
          <w:i w:val="0"/>
          <w:sz w:val="20"/>
          <w:lang w:eastAsia="en-US"/>
        </w:rPr>
      </w:pPr>
      <w:r>
        <w:rPr>
          <w:rFonts w:hint="default" w:ascii="Calibri" w:hAnsi="Calibri"/>
          <w:b w:val="0"/>
          <w:i w:val="0"/>
          <w:sz w:val="20"/>
          <w:lang w:eastAsia="en-US"/>
        </w:rPr>
        <w:t>Limitations: The data are pre</w:t>
      </w:r>
      <w:r>
        <w:rPr>
          <w:rFonts w:hint="default" w:ascii="Calibri" w:hAnsi="Calibri"/>
          <w:b w:val="0"/>
          <w:i w:val="0"/>
          <w:sz w:val="20"/>
          <w:lang w:eastAsia="en-US"/>
        </w:rPr>
        <w:noBreakHyphen/>
      </w:r>
      <w:r>
        <w:rPr>
          <w:rFonts w:hint="default" w:ascii="Calibri" w:hAnsi="Calibri"/>
          <w:b w:val="0"/>
          <w:i w:val="0"/>
          <w:sz w:val="20"/>
          <w:lang w:eastAsia="en-US"/>
        </w:rPr>
        <w:t>aggregated (monthly counts per carrier and airport), which prevents micro</w:t>
      </w:r>
      <w:r>
        <w:rPr>
          <w:rFonts w:hint="default" w:ascii="Calibri" w:hAnsi="Calibri"/>
          <w:b w:val="0"/>
          <w:i w:val="0"/>
          <w:sz w:val="20"/>
          <w:lang w:eastAsia="en-US"/>
        </w:rPr>
        <w:noBreakHyphen/>
      </w:r>
      <w:r>
        <w:rPr>
          <w:rFonts w:hint="default" w:ascii="Calibri" w:hAnsi="Calibri"/>
          <w:b w:val="0"/>
          <w:i w:val="0"/>
          <w:sz w:val="20"/>
          <w:lang w:eastAsia="en-US"/>
        </w:rPr>
        <w:t>level analysis such as daily weather event impacts or aircraft</w:t>
      </w:r>
      <w:r>
        <w:rPr>
          <w:rFonts w:hint="default" w:ascii="Calibri" w:hAnsi="Calibri"/>
          <w:b w:val="0"/>
          <w:i w:val="0"/>
          <w:sz w:val="20"/>
          <w:lang w:eastAsia="en-US"/>
        </w:rPr>
        <w:noBreakHyphen/>
      </w:r>
      <w:r>
        <w:rPr>
          <w:rFonts w:hint="default" w:ascii="Calibri" w:hAnsi="Calibri"/>
          <w:b w:val="0"/>
          <w:i w:val="0"/>
          <w:sz w:val="20"/>
          <w:lang w:eastAsia="en-US"/>
        </w:rPr>
        <w:t>specific turnaround efficiency. The "Other" category (66.9%) bundles NAS (National Airspace System), security, and late</w:t>
      </w:r>
      <w:r>
        <w:rPr>
          <w:rFonts w:hint="default" w:ascii="Calibri" w:hAnsi="Calibri"/>
          <w:b w:val="0"/>
          <w:i w:val="0"/>
          <w:sz w:val="20"/>
          <w:lang w:eastAsia="en-US"/>
        </w:rPr>
        <w:noBreakHyphen/>
      </w:r>
      <w:r>
        <w:rPr>
          <w:rFonts w:hint="default" w:ascii="Calibri" w:hAnsi="Calibri"/>
          <w:b w:val="0"/>
          <w:i w:val="0"/>
          <w:sz w:val="20"/>
          <w:lang w:eastAsia="en-US"/>
        </w:rPr>
        <w:t>arriving aircraft without further breakdown, limiting our ability to pinpoint systemic causes. Small airports and carriers exhibit high rate volatility, which we mitigated by applying minimum sample thresholds (≥500 flights for airports, ≥10,000 total flights for carriers) in the visualizations.</w:t>
      </w:r>
      <w:bookmarkStart w:id="0" w:name="_GoBack"/>
      <w:bookmarkEnd w:id="0"/>
    </w:p>
    <w:p w14:paraId="33590EC4">
      <w:pPr>
        <w:spacing w:after="60" w:line="288" w:lineRule="auto"/>
        <w:jc w:val="both"/>
        <w:rPr>
          <w:rFonts w:hint="default" w:ascii="Calibri" w:hAnsi="Calibri"/>
          <w:b w:val="0"/>
          <w:i w:val="0"/>
          <w:sz w:val="20"/>
          <w:lang w:eastAsia="en-US"/>
        </w:rPr>
      </w:pPr>
      <w:r>
        <w:rPr>
          <w:rFonts w:hint="default" w:ascii="Calibri" w:hAnsi="Calibri"/>
          <w:b w:val="0"/>
          <w:i w:val="0"/>
          <w:sz w:val="20"/>
          <w:lang w:eastAsia="en-US"/>
        </w:rPr>
        <w:t>Future work: Leverage the full 22</w:t>
      </w:r>
      <w:r>
        <w:rPr>
          <w:rFonts w:hint="default" w:ascii="Calibri" w:hAnsi="Calibri"/>
          <w:b w:val="0"/>
          <w:i w:val="0"/>
          <w:sz w:val="20"/>
          <w:lang w:eastAsia="en-US"/>
        </w:rPr>
        <w:noBreakHyphen/>
      </w:r>
      <w:r>
        <w:rPr>
          <w:rFonts w:hint="default" w:ascii="Calibri" w:hAnsi="Calibri"/>
          <w:b w:val="0"/>
          <w:i w:val="0"/>
          <w:sz w:val="20"/>
          <w:lang w:eastAsia="en-US"/>
        </w:rPr>
        <w:t>year longitudinal span for forecasting models (e.g., ARIMA, LSTM) to predict delay probabilities; attempt to disaggregate the "Other" category using machine learning on more granular data (if available); conduct spatial analysis of delay propagation across airport networks; and quantify the economic impact of delays on passengers and airlines.</w:t>
      </w:r>
    </w:p>
    <w:p w14:paraId="0F1F58CB">
      <w:pPr>
        <w:spacing w:before="120" w:after="60"/>
      </w:pPr>
      <w:r>
        <w:rPr>
          <w:rFonts w:ascii="Calibri" w:hAnsi="Calibri"/>
          <w:b/>
          <w:color w:val="1F3A5F"/>
          <w:sz w:val="23"/>
        </w:rPr>
        <w:t>7.4 References</w:t>
      </w:r>
    </w:p>
    <w:p w14:paraId="474832E9">
      <w:pPr>
        <w:spacing w:after="80"/>
        <w:ind w:left="454" w:hanging="454"/>
        <w:rPr>
          <w:sz w:val="17"/>
          <w:szCs w:val="17"/>
        </w:rPr>
      </w:pPr>
      <w:r>
        <w:rPr>
          <w:rFonts w:ascii="Calibri" w:hAnsi="Calibri"/>
          <w:sz w:val="17"/>
          <w:szCs w:val="17"/>
        </w:rPr>
        <w:t>[1] U.S. Bureau of Transportation Statistics. (2025). Airline On-Time Statistics and Delay Causes. Washington, DC: U.S. Department of Transportation. Available via Kaggle: https://www.kaggle.com/datasets/daryaheyko/airline-on-time-statistics-and-delay-causes-bts</w:t>
      </w:r>
    </w:p>
    <w:p w14:paraId="6A473CB7">
      <w:pPr>
        <w:spacing w:after="60" w:line="288" w:lineRule="auto"/>
        <w:jc w:val="both"/>
        <w:rPr>
          <w:rFonts w:ascii="Calibri" w:hAnsi="Calibri"/>
          <w:b w:val="0"/>
          <w:i w:val="0"/>
          <w:sz w:val="17"/>
        </w:rPr>
      </w:pPr>
      <w:r>
        <w:rPr>
          <w:rFonts w:ascii="Calibri" w:hAnsi="Calibri"/>
          <w:b w:val="0"/>
          <w:i w:val="0"/>
          <w:sz w:val="17"/>
        </w:rPr>
        <w:t xml:space="preserve">[2] BTS Airline Service Quality Performance database. https://www.transtats.bts.gov </w:t>
      </w:r>
    </w:p>
    <w:p w14:paraId="4180AA72">
      <w:pPr>
        <w:spacing w:after="60" w:line="288" w:lineRule="auto"/>
        <w:ind w:left="340" w:hanging="340" w:hangingChars="200"/>
        <w:jc w:val="both"/>
      </w:pPr>
      <w:r>
        <w:rPr>
          <w:rFonts w:ascii="Calibri" w:hAnsi="Calibri"/>
          <w:b w:val="0"/>
          <w:i w:val="0"/>
          <w:sz w:val="17"/>
        </w:rPr>
        <w:t xml:space="preserve"> [3] FAA (2024). NextGen Implementation Plan.  [4] Ball et al. (2010). Total Delay Impact Study, NEXTOR.  [5] U.S. GAO (2023). Airline Delay Causes and Mitigation Strategies. GAO-23-104782.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0B04C5"/>
    <w:rsid w:val="59E15BC9"/>
    <w:rsid w:val="66A0406D"/>
    <w:rsid w:val="6F3D640B"/>
    <w:rsid w:val="F65BBA72"/>
    <w:rsid w:val="F7E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964</Words>
  <Characters>6284</Characters>
  <Lines>0</Lines>
  <Paragraphs>0</Paragraphs>
  <TotalTime>1</TotalTime>
  <ScaleCrop>false</ScaleCrop>
  <LinksUpToDate>false</LinksUpToDate>
  <CharactersWithSpaces>7129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www</cp:lastModifiedBy>
  <dcterms:modified xsi:type="dcterms:W3CDTF">2026-09-09T20:39:36Z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eyJoZGlkIjoiYjk5ODM0YmMxOWJiYWQyNDU4MGIzYWRmYTA0ZmI5NDciLCJ1c2VySWQiOiI3MDEyNTAzNTAifQ==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73A0D296AD8DAAC10A46A16AA77C5CC5_43</vt:lpwstr>
  </property>
</Properties>
</file>