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pPr>
        <w:jc w:val="center"/>
      </w:pPr>
      <w:r>
        <w:t xml:space="preserve">Dated as of </w:t>
      </w:r>
      <w:r>
        <w:rPr>
          <w:b/>
        </w:rPr>
        <w:t>12 August 2026</w:t>
      </w:r>
    </w:p>
    <w:p>
      <w:r>
        <w:t>This Master Services Agreement (this "Agreement") is entered into by and between Bombadillo AI, Inc., a Delaware corporation ("Provider"), and Withywindle Holdings LLC ("Customer"), and is effective as of the date first written above.</w:t>
      </w:r>
    </w:p>
    <w:p>
      <w:pPr>
        <w:pStyle w:val="Heading1"/>
      </w:pPr>
      <w:r>
        <w:t>1. Services</w:t>
      </w:r>
    </w:p>
    <w:p>
      <w:r>
        <w:t>Provider shall perform the services described in each Statement of Work executed by the parties.</w:t>
      </w:r>
    </w:p>
    <w:p>
      <w:r>
        <w:t>Provider shall use commercially reasonable efforts to perform the Services in a professional and workmanlike manner consistent with industry standards.</w:t>
      </w:r>
    </w:p>
    <w:p>
      <w:pPr>
        <w:pStyle w:val="Heading1"/>
      </w:pPr>
      <w:r>
        <w:t>2. Fees and Payment</w:t>
      </w:r>
    </w:p>
    <w:p>
      <w:r>
        <w:t>Customer shall pay Provider the fees set out in the applicable Statement of Work within thirty (30) days of receipt of an undisputed invoice.</w:t>
      </w:r>
    </w:p>
    <w:p>
      <w:pPr>
        <w:pStyle w:val="Heading1"/>
      </w:pPr>
      <w:r>
        <w:t>3. Term and Termination</w:t>
      </w:r>
    </w:p>
    <w:p>
      <w:pPr>
        <w:pStyle w:val="ListNumber"/>
      </w:pPr>
      <w:r>
        <w:t>The initial term of this Agreement shall be twelve (12) months.</w:t>
      </w:r>
    </w:p>
    <w:p>
      <w:pPr>
        <w:pStyle w:val="ListNumber"/>
      </w:pPr>
      <w:r>
        <w:t>Either party may terminate this Agreement for material breach upon thirty (30) days written notice.</w:t>
      </w:r>
    </w:p>
    <w:p>
      <w:pPr>
        <w:pStyle w:val="ListNumber"/>
      </w:pPr>
      <w:r>
        <w:t>Sections 4, 5 and 7 shall survive any termination of this Agreement.</w:t>
      </w:r>
    </w:p>
    <w:p>
      <w:pPr>
        <w:pStyle w:val="ListNumber"/>
      </w:pPr>
      <w:r>
        <w:t>Customer may terminate this Agreement for convenience at any time upon ninety (90) days notice.</w:t>
      </w:r>
    </w:p>
    <w:p>
      <w:pPr>
        <w:pStyle w:val="Heading1"/>
      </w:pPr>
      <w:r>
        <w:t>4. Confidentiality</w:t>
      </w:r>
    </w:p>
    <w:p>
      <w:r>
        <w:rPr>
          <w:b w:val="0"/>
        </w:rPr>
        <w:t xml:space="preserve">Each party </w:t>
      </w:r>
      <w:r>
        <w:rPr>
          <w:i/>
        </w:rPr>
        <w:t>shall hold in confidence</w:t>
      </w:r>
      <w:r>
        <w:t xml:space="preserve"> all Confidential Information of the other party and shall not disclose it to any third party without prior written consent.</w:t>
      </w:r>
    </w:p>
    <w:p>
      <w:pPr>
        <w:pStyle w:val="Heading1"/>
      </w:pPr>
      <w:r>
        <w:t>5. Fee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$18,000</w:t>
            </w:r>
          </w:p>
        </w:tc>
        <w:tc>
          <w:tcPr>
            <w:tcW w:type="dxa" w:w="2880"/>
          </w:tcPr>
          <w:p>
            <w:r>
              <w:t>per project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$2,400</w:t>
            </w:r>
          </w:p>
        </w:tc>
        <w:tc>
          <w:tcPr>
            <w:tcW w:type="dxa" w:w="2880"/>
          </w:tcPr>
          <w:p>
            <w:r>
              <w:t>per month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per day</w:t>
            </w:r>
          </w:p>
        </w:tc>
      </w:tr>
    </w:tbl>
    <w:p>
      <w:pPr>
        <w:pStyle w:val="Heading1"/>
      </w:pPr>
      <w:r>
        <w:t>6. Governing Law</w:t>
      </w:r>
    </w:p>
    <w:p>
      <w:r>
        <w:t>This Agreement shall be governed by the laws of the State of New York, without regard to its conflict of laws principles.</w:t>
      </w:r>
    </w:p>
    <w:p/>
    <w:p>
      <w:pPr>
        <w:jc w:val="center"/>
      </w:pPr>
      <w:r>
        <w:t>[Signature page follows]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