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SERVICES AGREEMENT</w:t>
      </w:r>
    </w:p>
    <w:p>
      <w:pPr>
        <w:jc w:val="center"/>
      </w:pPr>
      <w:r>
        <w:t xml:space="preserve">Dated as of </w:t>
      </w:r>
      <w:r>
        <w:rPr>
          <w:b/>
        </w:rPr>
        <w:t>15 September 2026</w:t>
      </w:r>
    </w:p>
    <w:p>
      <w:r>
        <w:t>This Master Services Agreement (this "Agreement") is entered into by and between Bombadillo AI, Inc., a Delaware corporation ("Provider"), and Withywindle Holdings LLC ("Customer"), and is effective as of the date first written above.</w:t>
      </w:r>
    </w:p>
    <w:p>
      <w:pPr>
        <w:pStyle w:val="Heading1"/>
      </w:pPr>
      <w:r>
        <w:t>1. Services</w:t>
      </w:r>
    </w:p>
    <w:p>
      <w:r>
        <w:t>Provider shall perform the services described in each Statement of Work executed by the parties from time to time, in each case on a non-exclusive basis.</w:t>
      </w:r>
    </w:p>
    <w:p>
      <w:r>
        <w:t>Provider shall use commercially reasonable efforts to perform the Services in a professional and workmanlike manner consistent with generally accepted industry standards.</w:t>
      </w:r>
    </w:p>
    <w:p>
      <w:pPr>
        <w:pStyle w:val="Heading1"/>
      </w:pPr>
      <w:r>
        <w:t>2. Fees and Payment</w:t>
      </w:r>
    </w:p>
    <w:p>
      <w:r>
        <w:t>Customer shall pay Provider the fees set out in the applicable Statement of Work within forty-five (45) days of receipt of an undisputed invoice.</w:t>
      </w:r>
    </w:p>
    <w:p>
      <w:r>
        <w:t>Any amount not paid when due shall accrue interest at the lesser of one percent (1%) per month and the maximum rate permitted by applicable law.</w:t>
      </w:r>
    </w:p>
    <w:p>
      <w:pPr>
        <w:pStyle w:val="Heading1"/>
      </w:pPr>
      <w:r>
        <w:t>3. Term and Termination</w:t>
      </w:r>
    </w:p>
    <w:p>
      <w:pPr>
        <w:pStyle w:val="ListNumber"/>
      </w:pPr>
      <w:r>
        <w:t>The initial term of this Agreement shall be twenty-four (24) months.</w:t>
      </w:r>
    </w:p>
    <w:p>
      <w:pPr>
        <w:pStyle w:val="ListNumber"/>
      </w:pPr>
      <w:r>
        <w:t>Either party may terminate this Agreement for material breach upon thirty (30) days written notice, provided that the breaching party has failed to cure such breach within that period.</w:t>
      </w:r>
    </w:p>
    <w:p>
      <w:pPr>
        <w:pStyle w:val="ListNumber"/>
      </w:pPr>
      <w:r>
        <w:t>Sections 4, 5 and 7 shall survive any termination of this Agreement.</w:t>
      </w:r>
    </w:p>
    <w:p>
      <w:pPr>
        <w:pStyle w:val="Heading1"/>
      </w:pPr>
      <w:r>
        <w:t>4. Confidentiality</w:t>
      </w:r>
    </w:p>
    <w:p>
      <w:r>
        <w:rPr>
          <w:b w:val="0"/>
        </w:rPr>
        <w:t xml:space="preserve">Each party </w:t>
      </w:r>
      <w:r>
        <w:rPr>
          <w:i/>
        </w:rPr>
        <w:t>shall hold in confidence</w:t>
      </w:r>
      <w:r>
        <w:t xml:space="preserve"> all Confidential Information of the other party and shall not disclose it to any third party without the prior written consent of the disclosing party.</w:t>
      </w:r>
    </w:p>
    <w:p>
      <w:pPr>
        <w:pStyle w:val="Heading1"/>
      </w:pPr>
      <w:r>
        <w:t>5. Fee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Rate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Implementation</w:t>
            </w:r>
          </w:p>
        </w:tc>
        <w:tc>
          <w:tcPr>
            <w:tcW w:type="dxa" w:w="2880"/>
          </w:tcPr>
          <w:p>
            <w:r>
              <w:t>$22,000</w:t>
            </w:r>
          </w:p>
        </w:tc>
        <w:tc>
          <w:tcPr>
            <w:tcW w:type="dxa" w:w="2880"/>
          </w:tcPr>
          <w:p>
            <w:r>
              <w:t>per project</w:t>
            </w:r>
          </w:p>
        </w:tc>
      </w:tr>
      <w:tr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$2,400</w:t>
            </w:r>
          </w:p>
        </w:tc>
        <w:tc>
          <w:tcPr>
            <w:tcW w:type="dxa" w:w="2880"/>
          </w:tcPr>
          <w:p>
            <w:r>
              <w:t>per month</w:t>
            </w:r>
          </w:p>
        </w:tc>
      </w:tr>
      <w:tr>
        <w:tc>
          <w:tcPr>
            <w:tcW w:type="dxa" w:w="2880"/>
          </w:tcPr>
          <w:p>
            <w:r>
              <w:t>Advisory</w:t>
            </w:r>
          </w:p>
        </w:tc>
        <w:tc>
          <w:tcPr>
            <w:tcW w:type="dxa" w:w="2880"/>
          </w:tcPr>
          <w:p>
            <w:r>
              <w:t>$3,000</w:t>
            </w:r>
          </w:p>
        </w:tc>
        <w:tc>
          <w:tcPr>
            <w:tcW w:type="dxa" w:w="2880"/>
          </w:tcPr>
          <w:p>
            <w:r>
              <w:t>per month</w:t>
            </w:r>
          </w:p>
        </w:tc>
      </w:tr>
    </w:tbl>
    <w:p>
      <w:pPr>
        <w:pStyle w:val="Heading1"/>
      </w:pPr>
      <w:r>
        <w:t>6. Governing Law</w:t>
      </w:r>
    </w:p>
    <w:p>
      <w:r>
        <w:t>This Agreement shall be governed by the laws of the State of Delaware, without regard to its conflict of laws principles.</w:t>
      </w:r>
    </w:p>
    <w:p>
      <w:pPr>
        <w:pStyle w:val="Heading1"/>
      </w:pPr>
      <w:r>
        <w:t>7. Notices</w:t>
      </w:r>
    </w:p>
    <w:p>
      <w:r>
        <w:t>All notices under this Agreement shall be in writing and delivered by email with confirmation of receipt, or by nationally recognised overnight courier.</w:t>
      </w:r>
    </w:p>
    <w:p/>
    <w:p>
      <w:pPr>
        <w:jc w:val="center"/>
      </w:pPr>
      <w:r>
        <w:t>[Signature page follows]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