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3 de febrero del 2026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232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