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F1A82">
      <w:pPr>
        <w:spacing w:before="1440" w:after="240"/>
        <w:jc w:val="center"/>
      </w:pPr>
      <w:r>
        <w:rPr>
          <w:b/>
          <w:bCs/>
          <w:color w:val="1A3A5C"/>
          <w:sz w:val="72"/>
          <w:szCs w:val="72"/>
        </w:rPr>
        <w:t>402Pilot</w:t>
      </w:r>
    </w:p>
    <w:p w14:paraId="27B6CF92">
      <w:pPr>
        <w:spacing w:after="160"/>
        <w:jc w:val="center"/>
      </w:pPr>
      <w:r>
        <w:rPr>
          <w:b/>
          <w:bCs/>
          <w:color w:val="2E7D6B"/>
          <w:sz w:val="44"/>
          <w:szCs w:val="44"/>
        </w:rPr>
        <w:t>项目技术概览</w:t>
      </w:r>
    </w:p>
    <w:p w14:paraId="3509F616">
      <w:pPr>
        <w:spacing w:after="80"/>
        <w:jc w:val="center"/>
      </w:pPr>
      <w:r>
        <w:rPr>
          <w:i/>
          <w:iCs/>
          <w:color w:val="546E7A"/>
          <w:sz w:val="24"/>
          <w:szCs w:val="24"/>
        </w:rPr>
        <w:t>Payment-Aware Finance Layer for Autonomous AI Agents</w:t>
      </w:r>
    </w:p>
    <w:p w14:paraId="57C8F300">
      <w:pPr>
        <w:pBdr>
          <w:top w:val="single" w:color="2E7D6B" w:sz="6" w:space="4"/>
          <w:bottom w:val="single" w:color="2E7D6B" w:sz="6" w:space="4"/>
        </w:pBdr>
        <w:spacing w:before="320" w:after="80"/>
        <w:jc w:val="center"/>
      </w:pPr>
      <w:r>
        <w:rPr>
          <w:color w:val="546E7A"/>
          <w:sz w:val="20"/>
          <w:szCs w:val="20"/>
        </w:rPr>
        <w:t>仅供团队内部参考  ·  For Internal Reference Only</w:t>
      </w:r>
    </w:p>
    <w:p w14:paraId="42C0DEAD"/>
    <w:p w14:paraId="7E083005"/>
    <w:p w14:paraId="6427838D">
      <w:r>
        <w:br w:type="page"/>
      </w:r>
    </w:p>
    <w:sdt>
      <w:sdtPr>
        <w:alias w:val="目录"/>
        <w:id w:val="821685519"/>
      </w:sdtPr>
      <w:sdtContent>
        <w:p w14:paraId="13D767D7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586AC11E">
          <w:r>
            <w:fldChar w:fldCharType="end"/>
          </w:r>
        </w:p>
      </w:sdtContent>
    </w:sdt>
    <w:p w14:paraId="4266C670">
      <w:r>
        <w:br w:type="page"/>
      </w:r>
    </w:p>
    <w:p w14:paraId="67260AE8">
      <w:pPr>
        <w:pStyle w:val="2"/>
      </w:pPr>
      <w:r>
        <w:t>1  项目简介</w:t>
      </w:r>
    </w:p>
    <w:p w14:paraId="138EA6FF">
      <w:pPr>
        <w:spacing w:before="80" w:after="80" w:line="320" w:lineRule="auto"/>
      </w:pPr>
      <w:r>
        <w:rPr>
          <w:color w:val="1C2B36"/>
        </w:rPr>
        <w:t>402Pilot 是部署在 x402 支付协议之上的支付决策层（Finance Layer）。它回答一个核心问题：当 Agent 已经拥有钱包和自主支付能力时，如何在预算有限、服务商质量、价格和可靠性都会变化的市场中，理性决定“选哪家、付多少、是否值得付”。</w:t>
      </w:r>
    </w:p>
    <w:p w14:paraId="05C5A83D"/>
    <w:p w14:paraId="76628355">
      <w:pPr>
        <w:spacing w:before="80" w:after="80" w:line="320" w:lineRule="auto"/>
      </w:pPr>
      <w:r>
        <w:rPr>
          <w:color w:val="1C2B36"/>
        </w:rPr>
        <w:t>x402 负责支付执行，即“如何付款”；402Pilot 负责支付前的决策，即“该不该付款、选哪家服务”。两者相互补充，职责不重叠。</w:t>
      </w:r>
    </w:p>
    <w:p w14:paraId="0ADAB02B"/>
    <w:p w14:paraId="1F4216C0">
      <w:pPr>
        <w:pStyle w:val="3"/>
      </w:pPr>
      <w:r>
        <w:t>1.1  核心问题定义</w:t>
      </w:r>
    </w:p>
    <w:p w14:paraId="27A63873">
      <w:pPr>
        <w:spacing w:before="80" w:after="80" w:line="320" w:lineRule="auto"/>
      </w:pPr>
      <w:r>
        <w:rPr>
          <w:color w:val="1C2B36"/>
        </w:rPr>
        <w:t>我们将付费服务选择问题建模为一个“带预算约束、环境会变化”的上下文 Bandit 问题：</w:t>
      </w:r>
    </w:p>
    <w:p w14:paraId="3CC1C5A5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Agent 每一轮收到一个任务，并从 K 个付费 Provider 中选择一个调用</w:t>
      </w:r>
    </w:p>
    <w:p w14:paraId="47B5ED4C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付款后无法撤销；系统只能看到已选 Provider 的结果，无法知道其他选择会怎样</w:t>
      </w:r>
    </w:p>
    <w:p w14:paraId="4EE9DD3C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Provider 的质量、价格和可靠性可能随时间变化，因此历史表现不能被永久信任</w:t>
      </w:r>
    </w:p>
    <w:p w14:paraId="5BDEAA74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总预算 B 有上限；一旦超支，后续任务会被迫中断</w:t>
      </w:r>
    </w:p>
    <w:p w14:paraId="49A4C0A2"/>
    <w:p w14:paraId="36C39A27">
      <w:pPr>
        <w:pStyle w:val="3"/>
      </w:pPr>
      <w:r>
        <w:t>1.2  核心贡献</w:t>
      </w:r>
    </w:p>
    <w:p w14:paraId="5598AFE3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提出 402Pilot 系统框架，并明确 Finance Layer 与 x402 之间的接口契约</w:t>
      </w:r>
    </w:p>
    <w:p w14:paraId="039243CD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提出 PA-DCTS 算法（Payment-Aware Discounted Contextual Thompson Sampling，支付感知折扣上下文 Thompson 采样）</w:t>
      </w:r>
    </w:p>
    <w:p w14:paraId="7154759B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构建 402Pilot-Bench：一个基于真实 LLM 输出、可复现实验结果的评测基准</w:t>
      </w:r>
    </w:p>
    <w:p w14:paraId="6F2B6A4B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通过消融实验验证每个关键设计组件是否真正必要</w:t>
      </w:r>
    </w:p>
    <w:p w14:paraId="195BEB9D">
      <w:pPr>
        <w:pBdr>
          <w:bottom w:val="single" w:color="CFD8DC" w:sz="4" w:space="1"/>
        </w:pBdr>
        <w:spacing w:before="160" w:after="160"/>
      </w:pPr>
    </w:p>
    <w:p w14:paraId="6C4DFCC8">
      <w:pPr>
        <w:pStyle w:val="2"/>
      </w:pPr>
      <w:r>
        <w:t>2  系统架构</w:t>
      </w:r>
    </w:p>
    <w:p w14:paraId="2B649DF9">
      <w:pPr>
        <w:spacing w:before="80" w:after="80" w:line="320" w:lineRule="auto"/>
      </w:pPr>
      <w:r>
        <w:rPr>
          <w:color w:val="1C2B36"/>
        </w:rPr>
        <w:t>402Pilot 由七个组件构成，可分为三个层次：决策层负责选择 Provider，执行层负责通过 x402 完成付款和调用，学习层负责根据反馈更新后续选择。</w:t>
      </w:r>
    </w:p>
    <w:p w14:paraId="546963C6"/>
    <w:p w14:paraId="597A77EC">
      <w:pPr>
        <w:spacing w:before="160" w:after="160"/>
        <w:jc w:val="center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849630</wp:posOffset>
            </wp:positionH>
            <wp:positionV relativeFrom="paragraph">
              <wp:posOffset>255270</wp:posOffset>
            </wp:positionV>
            <wp:extent cx="4608195" cy="2590800"/>
            <wp:effectExtent l="0" t="0" r="1905" b="0"/>
            <wp:wrapTopAndBottom/>
            <wp:docPr id="28070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06323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9FF42">
      <w:pPr>
        <w:spacing w:before="40" w:after="120"/>
        <w:jc w:val="center"/>
      </w:pPr>
      <w:r>
        <w:rPr>
          <w:i/>
          <w:iCs/>
          <w:color w:val="546E7A"/>
          <w:sz w:val="18"/>
          <w:szCs w:val="18"/>
        </w:rPr>
        <w:t>图 1  402Pilot 系统流程总览</w:t>
      </w:r>
    </w:p>
    <w:p w14:paraId="571A9FC3">
      <w:pPr>
        <w:pStyle w:val="3"/>
      </w:pPr>
      <w:r>
        <w:t>2.1  组件说明</w:t>
      </w:r>
    </w:p>
    <w:p w14:paraId="50B500D1">
      <w:pPr>
        <w:pStyle w:val="4"/>
      </w:pPr>
      <w:r>
        <w:t>Context Encoder</w:t>
      </w:r>
    </w:p>
    <w:p w14:paraId="6159A47A">
      <w:pPr>
        <w:spacing w:before="80" w:after="80" w:line="320" w:lineRule="auto"/>
      </w:pPr>
      <w:r>
        <w:rPr>
          <w:color w:val="1C2B36"/>
        </w:rPr>
        <w:t>将任务信息编码成固定维度的特征向量 xₜ ∈ ℝᵈ，供 Selector 决策使用。特征包括：任务类型（3 类 one-hot）、难度估计、剩余预算比例、剩余轮次比例，以及各 Provider 的 EWMA 统计值（质量、成本、延迟、失败率）。</w:t>
      </w:r>
    </w:p>
    <w:p w14:paraId="11699D47">
      <w:pPr>
        <w:spacing w:before="80" w:after="80" w:line="320" w:lineRule="auto"/>
      </w:pPr>
      <w:r>
        <w:rPr>
          <w:i/>
          <w:iCs/>
          <w:color w:val="546E7A"/>
        </w:rPr>
        <w:t>该模块设计为纯函数：相同输入总会得到相同输出，不修改系统状态。</w:t>
      </w:r>
    </w:p>
    <w:p w14:paraId="1E42B76B">
      <w:pPr>
        <w:pStyle w:val="4"/>
      </w:pPr>
      <w:r>
        <w:t>Budget Manager</w:t>
      </w:r>
    </w:p>
    <w:p w14:paraId="52EAA137">
      <w:pPr>
        <w:spacing w:before="80" w:after="80" w:line="320" w:lineRule="auto"/>
      </w:pPr>
      <w:r>
        <w:rPr>
          <w:color w:val="1C2B36"/>
        </w:rPr>
        <w:t>维护总预算 B、剩余预算 B_remaining 和轮次统计，并向 Selector 输出动态成本惩罚系数 λₜ。当实际花费速度高于目标速度时，λₜ 会单调增大，促使 Selector 在预算紧张时优先选择低成本 Provider。同时，Budget Manager 会过滤掉当前轮次费用超过剩余预算的候选项。</w:t>
      </w:r>
    </w:p>
    <w:p w14:paraId="7DF43531">
      <w:pPr>
        <w:pStyle w:val="4"/>
      </w:pPr>
      <w:r>
        <w:t>Service Selector（PA-DCTS）</w:t>
      </w:r>
    </w:p>
    <w:p w14:paraId="054E89FF">
      <w:pPr>
        <w:spacing w:before="80" w:after="80" w:line="320" w:lineRule="auto"/>
      </w:pPr>
      <w:r>
        <w:rPr>
          <w:color w:val="1C2B36"/>
        </w:rPr>
        <w:t>这是系统的核心决策引擎。它接收 Context 向量和预算状态，输出本轮应选择的 Provider arm aₜ。PA-DCTS 的全称是 Payment-Aware Discounted Contextual Thompson Sampling，即“支付感知折扣上下文 Thompson 采样”：Payment-Aware 表示选择时显式考虑成本和剩余预算；Discounted 表示旧样本会随时间衰减，以适应 Provider 表现变化；Contextual 表示根据任务上下文选择 Provider；Thompson Sampling 表示用贝叶斯采样在探索和利用之间平衡。Selector 采用插件化设计：所有 Comparator 和 Ablation 都实现同一个 Policy 接口（select / update），因此可以在同一实验框架中公平比较。</w:t>
      </w:r>
    </w:p>
    <w:p w14:paraId="080CF3FA">
      <w:pPr>
        <w:pStyle w:val="4"/>
      </w:pPr>
      <w:r>
        <w:t>x402 Payment Executor</w:t>
      </w:r>
    </w:p>
    <w:p w14:paraId="2B2713BE">
      <w:pPr>
        <w:spacing w:before="80" w:after="80" w:line="320" w:lineRule="auto"/>
      </w:pPr>
      <w:r>
        <w:rPr>
          <w:color w:val="1C2B36"/>
        </w:rPr>
        <w:t>封装 mock 的 x402 客户端。它接收 Provider ID 和请求内容，返回 {response, cost, latency, failure_flag}。超时、支付失败、schema 异常等错误会被统一转换为标准化失败码，便于后续评估和学习。</w:t>
      </w:r>
    </w:p>
    <w:p w14:paraId="41ADA82A">
      <w:pPr>
        <w:pStyle w:val="4"/>
      </w:pPr>
      <w:r>
        <w:t>Evaluator</w:t>
      </w:r>
    </w:p>
    <w:p w14:paraId="533F8555">
      <w:pPr>
        <w:spacing w:before="80" w:after="80" w:line="320" w:lineRule="auto"/>
      </w:pPr>
      <w:r>
        <w:rPr>
          <w:color w:val="1C2B36"/>
        </w:rPr>
        <w:t>根据任务类型为响应打质量分 qₜ ∈ [0,1]：</w:t>
      </w:r>
    </w:p>
    <w:p w14:paraId="5BE55EC5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T1 代码生成：pass@1（执行单元测试，确定性）</w:t>
      </w:r>
    </w:p>
    <w:p w14:paraId="62527CF3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T2 多跳 QA：标准化 EM + token-level F1（确定性）</w:t>
      </w:r>
    </w:p>
    <w:p w14:paraId="316B2937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T3a Web 搜索（封闭式）：同 T2 协议</w:t>
      </w:r>
    </w:p>
    <w:p w14:paraId="414AB395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T3b Web 搜索（开放式）：使用 LLM-as-Judge 和结构化评分标准。该评分本身有一定非确定性，因此实验中复用预生成评分以保证可复现。</w:t>
      </w:r>
    </w:p>
    <w:p w14:paraId="16BF208B">
      <w:pPr>
        <w:pStyle w:val="4"/>
      </w:pPr>
      <w:r>
        <w:t>Reward Calculator</w:t>
      </w:r>
    </w:p>
    <w:p w14:paraId="6BE60149">
      <w:pPr>
        <w:spacing w:before="80" w:after="80" w:line="320" w:lineRule="auto"/>
      </w:pPr>
      <w:r>
        <w:rPr>
          <w:color w:val="1C2B36"/>
        </w:rPr>
        <w:t>将本轮观测结果拆成两个相关量：服务效用 uₜ 和支付感知奖励 rₜ。</w:t>
      </w:r>
    </w:p>
    <w:p w14:paraId="357D8036">
      <w:pPr>
        <w:spacing w:before="120" w:after="120"/>
        <w:jc w:val="center"/>
      </w:pPr>
      <w:r>
        <w:rPr>
          <w:b/>
          <w:bCs/>
          <w:color w:val="1A3A5C"/>
          <w:sz w:val="24"/>
          <w:szCs w:val="24"/>
        </w:rPr>
        <w:t>uₜ = qₜ − μ l̃ₜ − ν fₜ；rₜ = uₜ − λₜ c̃ₜ = qₜ − λₜ c̃ₜ − μ l̃ₜ − ν fₜ</w:t>
      </w:r>
    </w:p>
    <w:p w14:paraId="31D480BE">
      <w:pPr>
        <w:spacing w:before="80" w:after="80" w:line="320" w:lineRule="auto"/>
      </w:pPr>
      <w:r>
        <w:rPr>
          <w:color w:val="1C2B36"/>
        </w:rPr>
        <w:t>其中 uₜ 衡量一次调用本身的服务价值，包含质量、延迟和失败风险，但不包含动态预算压力；rₜ 是完整的支付感知奖励，与 System Design 中的 Reward Calculator 定义一致。c̃ₜ 是标准化成本，l̃ₜ 是标准化延迟，fₜ 是失败标志。μ 和 ν 在全文中保持固定，避免出现“为某个方法单独调参”的质疑。</w:t>
      </w:r>
    </w:p>
    <w:p>
      <w:pPr/>
      <w:r>
        <w:t>采用 uₜ 更新后验的原因是：λₜ 是随预算压力变化的决策时变量，不是 Provider 本身的稳定质量属性。如果把动态成本惩罚直接学进后验，后验会把“预算当时很紧”误认为“Provider 本身变差”。</w:t>
      </w:r>
    </w:p>
    <w:p w14:paraId="344EEFEC">
      <w:pPr>
        <w:pStyle w:val="4"/>
      </w:pPr>
      <w:r>
        <w:t>Policy Updater</w:t>
      </w:r>
    </w:p>
    <w:p w14:paraId="2AB78ED6">
      <w:pPr>
        <w:spacing w:before="80" w:after="80" w:line="320" w:lineRule="auto"/>
      </w:pPr>
      <w:r>
        <w:rPr>
          <w:color w:val="1C2B36"/>
        </w:rPr>
        <w:t>更新各 Provider 的 EWMA 历史统计，并写回 Context，供下一轮决策使用。同时调用 policy.update(xₜ, aₜ, uₜ) 更新后验。也就是说，Policy 学习的是 Provider 在不同上下文下能提供多少服务效用；当前预算压力 λₜ 和候选成本 c̃ₖ 在选择阶段单独进入打分。这样既保留 System Design 中完整的支付感知奖励 rₜ，又避免把同一个成本惩罚在学习和选择中重复扣除。</w:t>
      </w:r>
    </w:p>
    <w:p w14:paraId="1A8D4762">
      <w:pPr>
        <w:pBdr>
          <w:bottom w:val="single" w:color="CFD8DC" w:sz="4" w:space="1"/>
        </w:pBdr>
        <w:spacing w:before="160" w:after="160"/>
      </w:pPr>
    </w:p>
    <w:p w14:paraId="2AB06AF7">
      <w:pPr>
        <w:pStyle w:val="2"/>
      </w:pPr>
      <w:r>
        <w:t>3  核心算法：PA-DCTS</w:t>
      </w:r>
    </w:p>
    <w:p w14:paraId="56E8C93A">
      <w:pPr>
        <w:spacing w:before="80" w:after="80" w:line="320" w:lineRule="auto"/>
      </w:pPr>
      <w:r>
        <w:rPr>
          <w:color w:val="1C2B36"/>
        </w:rPr>
        <w:t>PA-DCTS（Payment-Aware Discounted Contextual Thompson Sampling）基于标准 Contextual Thompson Sampling，并加入两项面向付费服务场景的扩展：指数折扣用于适应 Provider 表现变化，预算感知投影用于避免在预算压力下做出过高成本的选择。</w:t>
      </w:r>
    </w:p>
    <w:p>
      <w:pPr/>
      <w:r>
        <w:t>缩写含义如下：Payment-Aware 强调算法不是只追求最高质量，而是在选择前把价格、剩余预算和预算消耗速度纳入目标；Discounted 表示旧观测会按折扣因子 γ 衰减，避免过度相信已经过时的 Provider 表现；Contextual 表示每轮决策依赖任务类型、难度、剩余预算比例和 Provider 历史统计等上下文；Thompson Sampling 表示每轮从后验中采样，既利用已知高收益 Provider，也保留探索不确定 Provider 的机会。</w:t>
      </w:r>
    </w:p>
    <w:p w14:paraId="7FBEE5AC"/>
    <w:p w14:paraId="774A9DC2">
      <w:pPr>
        <w:pStyle w:val="3"/>
      </w:pPr>
      <w:r>
        <w:t>3.1  选择阶段</w:t>
      </w:r>
    </w:p>
    <w:p>
      <w:pPr>
        <w:pStyle w:val="3"/>
      </w:pPr>
      <w:r>
        <w:t>选择阶段发生在付款之前，此时还不知道本轮真实质量 qₜ、延迟 l̃ₜ 或失败标志 fₜ，只知道任务上下文、剩余预算和各 Provider 的候选价格。因此 PA-DCTS 用后验采样预测服务效用，再用当前预算压力计算是否值得付费。</w:t>
      </w:r>
    </w:p>
    <w:p w14:paraId="644F9A44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对每个候选 Provider arm k，维护一个上下文线性后验 N(μₖ, Σₖ)。这个后验刻画的是“在给定任务上下文 xₜ 下，arm k 可能产生多少服务效用 uₜ”。每轮选择时，从该后验中采样得到 θ̃ₖ。</w:t>
      </w:r>
    </w:p>
    <w:p w14:paraId="11E109C1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先计算采样得到的服务效用估计：ûₖ = θ̃ₖᵀ xₜ。然后加入预算项，得到候选 k 的支付感知前瞻奖励：r̂ₖ = ûₖ − λₜ · c̃ₖ。</w:t>
      </w:r>
    </w:p>
    <w:p>
      <w:pPr>
        <w:pStyle w:val="16"/>
      </w:pPr>
      <w:r>
        <w:t>这里 θ̃ₖᵀ xₜ 估计的是 E[uₜ | xₜ, k]，也就是“如果选 k，预期能得到多少服务价值”。λₜ 来自 Budget Manager，表示当前预算压力；c̃ₖ 是候选 k 的标准化成本，通常在调用前已知或可估计。因此 r̂ₖ 是 Reward Calculator 中 rₜ = uₜ − λₜ c̃ₜ 的前瞻版本：把未知的实际 uₜ 换成预测值 ûₖ，把实际成本 c̃ₜ 换成候选成本 c̃ₖ。成本惩罚只在这里进入一次，不会重复扣除。</w:t>
      </w:r>
    </w:p>
    <w:p w14:paraId="65689A28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在打分之后，还要执行硬预算过滤：如果某个 arm 的实际 cost 大于 B_remaining，即使它的 r̂ₖ 很高，也不能被选择。这样可以保证算法不会做出当前钱包无法支付的决策。</w:t>
      </w:r>
    </w:p>
    <w:p w14:paraId="050FB688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在所有可支付的候选中，选择 r̂ₖ 最大的 arm 作为本轮 Provider aₜ。直观上，它不是简单选择“质量最高”或“价格最低”，而是选择当前上下文和预算压力下最值得付费的 Provider。</w:t>
      </w:r>
    </w:p>
    <w:p w14:paraId="6B46A27B">
      <w:pPr>
        <w:pStyle w:val="3"/>
      </w:pPr>
      <w:r>
        <w:t>3.2  更新阶段</w:t>
      </w:r>
    </w:p>
    <w:p w14:paraId="1823F409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拿到调用结果后，Evaluator 先给出质量分 qₜ，x402 Executor 返回实际 cost、latency 和 failure_flag。Reward Calculator 随后计算 uₜ 和 rₜ。</w:t>
      </w:r>
    </w:p>
    <w:p w14:paraId="7537C20E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只更新本轮被选中的 arm，因为 Bandit 反馈只能观测已选 Provider 的结果。对该 arm 的充分统计量先施加折扣，例如 Σₖ⁻¹ ← γΣₖ⁻¹，使更早的观测权重按指数衰减。γ 越小，系统越快忘记旧表现；γ 越接近 1，系统越相信长期历史。</w:t>
      </w:r>
    </w:p>
    <w:p w14:paraId="3C3CC6B1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再用新样本 (xₜ, uₜ) 做贝叶斯更新，得到新的后验均值 μₖ 和协方差 Σₖ。后验均值代表当前对 Provider 服务效用的最好估计，协方差代表不确定性；下一轮 Thompson Sampling 会继续利用这两个量进行探索和利用。</w:t>
      </w:r>
    </w:p>
    <w:p w14:paraId="114FD19D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最后，更新 Provider 的 EWMA 统计，包括质量、成本、延迟和失败率，并写回给下一轮 Context Encoder 使用。这些统计进入下一轮 xₜ，使后续选择能够反映 Provider 的最新表现。</w:t>
      </w:r>
    </w:p>
    <w:p w14:paraId="6FCB434D">
      <w:pPr>
        <w:pStyle w:val="3"/>
      </w:pPr>
      <w:r>
        <w:t>3.3  关键超参数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4860"/>
      </w:tblGrid>
      <w:tr w14:paraId="16B5A32D"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18FDB">
            <w:r>
              <w:rPr>
                <w:b/>
                <w:bCs/>
                <w:color w:val="FFFFFF"/>
                <w:sz w:val="19"/>
                <w:szCs w:val="19"/>
              </w:rPr>
              <w:t>参数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4A35E">
            <w:r>
              <w:rPr>
                <w:b/>
                <w:bCs/>
                <w:color w:val="FFFFFF"/>
                <w:sz w:val="19"/>
                <w:szCs w:val="19"/>
              </w:rPr>
              <w:t>作用</w:t>
            </w:r>
          </w:p>
        </w:tc>
        <w:tc>
          <w:tcPr>
            <w:tcW w:w="4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0C5F6"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0BEEE421"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F42E2">
            <w:pPr>
              <w:jc w:val="left"/>
            </w:pPr>
            <w:r>
              <w:rPr>
                <w:color w:val="1C2B36"/>
                <w:sz w:val="19"/>
                <w:szCs w:val="19"/>
              </w:rPr>
              <w:t>γ（折扣因子）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660B6">
            <w:pPr>
              <w:jc w:val="left"/>
            </w:pPr>
            <w:r>
              <w:rPr>
                <w:color w:val="1C2B36"/>
                <w:sz w:val="19"/>
                <w:szCs w:val="19"/>
              </w:rPr>
              <w:t>适应变化的速度</w:t>
            </w:r>
          </w:p>
        </w:tc>
        <w:tc>
          <w:tcPr>
            <w:tcW w:w="4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0D276">
            <w:pPr>
              <w:jc w:val="left"/>
            </w:pPr>
            <w:r>
              <w:rPr>
                <w:color w:val="1C2B36"/>
                <w:sz w:val="19"/>
                <w:szCs w:val="19"/>
              </w:rPr>
              <w:t>γ 越接近 1，越依赖完整历史；γ 小于 1 时，会更快降低旧数据权重。主文固定该值，附录做敏感性分析。</w:t>
            </w:r>
          </w:p>
        </w:tc>
      </w:tr>
      <w:tr w14:paraId="059E13E3"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32C84">
            <w:pPr>
              <w:jc w:val="left"/>
            </w:pPr>
            <w:r>
              <w:rPr>
                <w:color w:val="1C2B36"/>
                <w:sz w:val="19"/>
                <w:szCs w:val="19"/>
              </w:rPr>
              <w:t>λ₀（基础成本权重）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599D">
            <w:pPr>
              <w:jc w:val="left"/>
            </w:pPr>
            <w:r>
              <w:rPr>
                <w:color w:val="1C2B36"/>
                <w:sz w:val="19"/>
                <w:szCs w:val="19"/>
              </w:rPr>
              <w:t>质量与成本的平衡基线</w:t>
            </w:r>
          </w:p>
        </w:tc>
        <w:tc>
          <w:tcPr>
            <w:tcW w:w="4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E168A">
            <w:pPr>
              <w:jc w:val="left"/>
            </w:pPr>
            <w:r>
              <w:rPr>
                <w:color w:val="1C2B36"/>
                <w:sz w:val="19"/>
                <w:szCs w:val="19"/>
              </w:rPr>
              <w:t>Budget Manager 以它为基础动态放大成本惩罚；预算压力越大，λₜ 越高。</w:t>
            </w:r>
          </w:p>
        </w:tc>
      </w:tr>
      <w:tr w14:paraId="7C95C4FD"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1EABD">
            <w:pPr>
              <w:jc w:val="left"/>
            </w:pPr>
            <w:r>
              <w:rPr>
                <w:color w:val="1C2B36"/>
                <w:sz w:val="19"/>
                <w:szCs w:val="19"/>
              </w:rPr>
              <w:t>μ、ν（延迟/失败权重）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6FAC2">
            <w:pPr>
              <w:jc w:val="left"/>
            </w:pPr>
            <w:r>
              <w:rPr>
                <w:color w:val="1C2B36"/>
                <w:sz w:val="19"/>
                <w:szCs w:val="19"/>
              </w:rPr>
              <w:t>惩罚高延迟或失败调用</w:t>
            </w:r>
          </w:p>
        </w:tc>
        <w:tc>
          <w:tcPr>
            <w:tcW w:w="4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C9091">
            <w:pPr>
              <w:jc w:val="left"/>
            </w:pPr>
            <w:r>
              <w:rPr>
                <w:color w:val="1C2B36"/>
                <w:sz w:val="19"/>
                <w:szCs w:val="19"/>
              </w:rPr>
              <w:t>全文保持固定，不为不同方法单独调优，以保证比较公平。</w:t>
            </w:r>
          </w:p>
        </w:tc>
      </w:tr>
    </w:tbl>
    <w:p w14:paraId="4CC352FC">
      <w:pPr>
        <w:pBdr>
          <w:bottom w:val="single" w:color="CFD8DC" w:sz="4" w:space="1"/>
        </w:pBdr>
        <w:spacing w:before="160" w:after="160"/>
      </w:pPr>
    </w:p>
    <w:p w14:paraId="07EA15D9">
      <w:pPr>
        <w:pStyle w:val="2"/>
      </w:pPr>
      <w:r>
        <w:t>4  实验设计（402Pilot-Bench）</w:t>
      </w:r>
    </w:p>
    <w:p w14:paraId="3D122A2A">
      <w:pPr>
        <w:spacing w:before="80" w:after="80" w:line="320" w:lineRule="auto"/>
      </w:pPr>
      <w:r>
        <w:rPr>
          <w:color w:val="1C2B36"/>
        </w:rPr>
        <w:t>所有结论都来自同一个实验框架。实验使用预生成的真实 LLM 响应数据集：真实 API 调用只在构建 Bench 时发生一次，后续所有策略、场景和 seed 都从固定响应池中回放，因此不同 seed 下的比较可以完全复现。</w:t>
      </w:r>
    </w:p>
    <w:p>
      <w:pPr/>
      <w:r>
        <w:t>Bench 的预生成流程分为四步。第一步，固定任务池：从 HumanEval、HotpotQA、TriviaQA-web 和自定义开放式 Web 搜索任务中确定 825 个任务，并为每个任务保存 task_id、任务类型、标准答案或评分 rubric。第二步，固定 Provider 配置：为 P-cheap、P-mid、P-premium、P-adv 和 P-flaky 固定模型、工具、prompt、成本等级、延迟分布和特殊行为。第三步，对每个（task, Provider）组合生成 5 个响应版本；这些版本使用不同生成 seed 和温度采样，以保留真实 LLM 输出的随机性。第四步，在预生成阶段完成评分和元数据记录：确定性任务直接存储 pass@1、EM/F1；开放式任务存储 LLM-as-Judge 分数，并记录 judge 模型 ID 与 judge seed。</w:t>
      </w:r>
    </w:p>
    <w:p>
      <w:pPr/>
      <w:r>
        <w:t>20,625 次 API 调用来自这个乘法结构：825 个任务 × 5 个 Provider × 每组 5 个响应版本 = 20,625。后续 bandit 实验不再调用外部模型，而是根据 run seed 从这些预生成版本中抽取并回放。这样既让质量信号来自真实模型输出，又避免不同策略因为实时 API 抖动而面对不同环境。</w:t>
      </w:r>
    </w:p>
    <w:p w14:paraId="1B489F59"/>
    <w:p w14:paraId="3BE9BC5D">
      <w:pPr>
        <w:pStyle w:val="3"/>
      </w:pPr>
      <w:r>
        <w:t>4.1  Provider 配置（K = 5）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300"/>
        <w:gridCol w:w="1900"/>
        <w:gridCol w:w="4760"/>
      </w:tblGrid>
      <w:tr w14:paraId="08648505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141CF">
            <w:r>
              <w:rPr>
                <w:b/>
                <w:bCs/>
                <w:color w:val="FFFFFF"/>
                <w:sz w:val="19"/>
                <w:szCs w:val="19"/>
              </w:rPr>
              <w:t>Provider</w:t>
            </w:r>
          </w:p>
        </w:tc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4F4B6">
            <w:r>
              <w:rPr>
                <w:b/>
                <w:bCs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2D16D">
            <w:r>
              <w:rPr>
                <w:b/>
                <w:bCs/>
                <w:color w:val="FFFFFF"/>
                <w:sz w:val="19"/>
                <w:szCs w:val="19"/>
              </w:rPr>
              <w:t>模型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08AF1">
            <w:r>
              <w:rPr>
                <w:b/>
                <w:bCs/>
                <w:color w:val="FFFFFF"/>
                <w:sz w:val="19"/>
                <w:szCs w:val="19"/>
              </w:rPr>
              <w:t>特殊行为</w:t>
            </w:r>
          </w:p>
        </w:tc>
      </w:tr>
      <w:tr w14:paraId="3F4A8F85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AE156">
            <w:pPr>
              <w:jc w:val="left"/>
            </w:pPr>
            <w:r>
              <w:rPr>
                <w:color w:val="1C2B36"/>
                <w:sz w:val="19"/>
                <w:szCs w:val="19"/>
              </w:rPr>
              <w:t>P-cheap</w:t>
            </w:r>
          </w:p>
        </w:tc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415B4">
            <w:pPr>
              <w:jc w:val="left"/>
            </w:pPr>
            <w:r>
              <w:rPr>
                <w:color w:val="1C2B36"/>
                <w:sz w:val="19"/>
                <w:szCs w:val="19"/>
              </w:rPr>
              <w:t>低成本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474D7">
            <w:pPr>
              <w:jc w:val="left"/>
            </w:pPr>
            <w:r>
              <w:rPr>
                <w:color w:val="1C2B36"/>
                <w:sz w:val="19"/>
                <w:szCs w:val="19"/>
              </w:rPr>
              <w:t>Qwen3-8B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D311B">
            <w:pPr>
              <w:jc w:val="left"/>
            </w:pPr>
            <w:r>
              <w:rPr>
                <w:color w:val="1C2B36"/>
                <w:sz w:val="19"/>
                <w:szCs w:val="19"/>
              </w:rPr>
              <w:t>不使用外部工具，主要依赖模型参数记忆</w:t>
            </w:r>
          </w:p>
        </w:tc>
      </w:tr>
      <w:tr w14:paraId="738B698F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6C9EE">
            <w:pPr>
              <w:jc w:val="left"/>
            </w:pPr>
            <w:r>
              <w:rPr>
                <w:color w:val="1C2B36"/>
                <w:sz w:val="19"/>
                <w:szCs w:val="19"/>
              </w:rPr>
              <w:t>P-mid</w:t>
            </w:r>
          </w:p>
        </w:tc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5EC53">
            <w:pPr>
              <w:jc w:val="left"/>
            </w:pPr>
            <w:r>
              <w:rPr>
                <w:color w:val="1C2B36"/>
                <w:sz w:val="19"/>
                <w:szCs w:val="19"/>
              </w:rPr>
              <w:t>中等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C29FE">
            <w:pPr>
              <w:jc w:val="left"/>
            </w:pPr>
            <w:r>
              <w:rPr>
                <w:color w:val="1C2B36"/>
                <w:sz w:val="19"/>
                <w:szCs w:val="19"/>
              </w:rPr>
              <w:t>GPT-5.4-mini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44C23">
            <w:pPr>
              <w:jc w:val="left"/>
            </w:pPr>
            <w:r>
              <w:rPr>
                <w:color w:val="1C2B36"/>
                <w:sz w:val="19"/>
                <w:szCs w:val="19"/>
              </w:rPr>
              <w:t>使用 BM25 检索，并输入 top-2 段落</w:t>
            </w:r>
          </w:p>
        </w:tc>
      </w:tr>
      <w:tr w14:paraId="65C740A4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861C4E">
            <w:pPr>
              <w:jc w:val="left"/>
            </w:pPr>
            <w:r>
              <w:rPr>
                <w:color w:val="1C2B36"/>
                <w:sz w:val="19"/>
                <w:szCs w:val="19"/>
              </w:rPr>
              <w:t>P-premium</w:t>
            </w:r>
          </w:p>
        </w:tc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1697C">
            <w:pPr>
              <w:jc w:val="left"/>
            </w:pPr>
            <w:r>
              <w:rPr>
                <w:color w:val="1C2B36"/>
                <w:sz w:val="19"/>
                <w:szCs w:val="19"/>
              </w:rPr>
              <w:t>高质量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F6F0C">
            <w:pPr>
              <w:jc w:val="left"/>
            </w:pPr>
            <w:r>
              <w:rPr>
                <w:color w:val="1C2B36"/>
                <w:sz w:val="19"/>
                <w:szCs w:val="19"/>
              </w:rPr>
              <w:t>GPT-5.4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47A4E">
            <w:pPr>
              <w:jc w:val="left"/>
            </w:pPr>
            <w:r>
              <w:rPr>
                <w:color w:val="1C2B36"/>
                <w:sz w:val="19"/>
                <w:szCs w:val="19"/>
              </w:rPr>
              <w:t>使用 CoT 推理；在 T1 中支持代码执行沙箱</w:t>
            </w:r>
          </w:p>
        </w:tc>
      </w:tr>
      <w:tr w14:paraId="39564AB4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72F76">
            <w:pPr>
              <w:jc w:val="left"/>
            </w:pPr>
            <w:r>
              <w:rPr>
                <w:color w:val="1C2B36"/>
                <w:sz w:val="19"/>
                <w:szCs w:val="19"/>
              </w:rPr>
              <w:t>P-adv</w:t>
            </w:r>
          </w:p>
        </w:tc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F7F97">
            <w:pPr>
              <w:jc w:val="left"/>
            </w:pPr>
            <w:r>
              <w:rPr>
                <w:color w:val="1C2B36"/>
                <w:sz w:val="19"/>
                <w:szCs w:val="19"/>
              </w:rPr>
              <w:t>对抗型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E7329">
            <w:pPr>
              <w:jc w:val="left"/>
            </w:pPr>
            <w:r>
              <w:rPr>
                <w:color w:val="1C2B36"/>
                <w:sz w:val="19"/>
                <w:szCs w:val="19"/>
              </w:rPr>
              <w:t>GPT-5.4-mini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805CDC">
            <w:pPr>
              <w:jc w:val="left"/>
            </w:pPr>
            <w:r>
              <w:rPr>
                <w:color w:val="1C2B36"/>
                <w:sz w:val="19"/>
                <w:szCs w:val="19"/>
              </w:rPr>
              <w:t>使用对抗性 system prompt，高置信输出错误答案，并尽量隐藏不确定性信号</w:t>
            </w:r>
          </w:p>
        </w:tc>
      </w:tr>
      <w:tr w14:paraId="18D66258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B4D998">
            <w:pPr>
              <w:jc w:val="left"/>
            </w:pPr>
            <w:r>
              <w:rPr>
                <w:color w:val="1C2B36"/>
                <w:sz w:val="19"/>
                <w:szCs w:val="19"/>
              </w:rPr>
              <w:t>P-flaky</w:t>
            </w:r>
          </w:p>
        </w:tc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6BE47F">
            <w:pPr>
              <w:jc w:val="left"/>
            </w:pPr>
            <w:r>
              <w:rPr>
                <w:color w:val="1C2B36"/>
                <w:sz w:val="19"/>
                <w:szCs w:val="19"/>
              </w:rPr>
              <w:t>不稳定型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C80626">
            <w:pPr>
              <w:jc w:val="left"/>
            </w:pPr>
            <w:r>
              <w:rPr>
                <w:color w:val="1C2B36"/>
                <w:sz w:val="19"/>
                <w:szCs w:val="19"/>
              </w:rPr>
              <w:t>GPT-5.4-mini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224883">
            <w:pPr>
              <w:jc w:val="left"/>
            </w:pPr>
            <w:r>
              <w:rPr>
                <w:color w:val="1C2B36"/>
                <w:sz w:val="19"/>
                <w:szCs w:val="19"/>
              </w:rPr>
              <w:t>注入 20% 超时（预生成时固定 seed）；成功调用的质量与 P-mid 相同</w:t>
            </w:r>
          </w:p>
        </w:tc>
      </w:tr>
    </w:tbl>
    <w:p w14:paraId="7F525196">
      <w:pPr>
        <w:spacing w:before="80" w:after="80" w:line="320" w:lineRule="auto"/>
      </w:pPr>
      <w:r>
        <w:rPr>
          <w:i/>
          <w:iCs/>
          <w:color w:val="546E7A"/>
        </w:rPr>
        <w:t>设计要点：P-mid、P-adv 和 P-flaky 使用相同成本等级和基础模型。只按价格或延迟过滤的规则策略无法区分三者，系统必须依赖奖励反馈学习，才能识别对抗型或不稳定型 Provider。</w:t>
      </w:r>
    </w:p>
    <w:p w14:paraId="5E3041A9">
      <w:pPr>
        <w:pStyle w:val="3"/>
      </w:pPr>
      <w:r>
        <w:t>4.2  任务类型（M = 3）</w:t>
      </w:r>
    </w:p>
    <w:p w14:paraId="70B0239D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T1  代码生成（HumanEval，150 题）：使用 pass@1 执行评分，结果完全确定。P-adv 在这类任务中最容易被发现，因为错误代码会直接暴露。</w:t>
      </w:r>
    </w:p>
    <w:p w14:paraId="7C637CE4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T2  多跳 QA（HotpotQA，300 题）：使用 EM/F1 评分，确定性较高。</w:t>
      </w:r>
    </w:p>
    <w:p w14:paraId="08F79CC2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T3a Web 搜索·封闭式（TriviaQA-web，150 题）：使用 EM/F1 评分，确定性较高。</w:t>
      </w:r>
    </w:p>
    <w:p w14:paraId="182912FF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T3b Web 搜索·开放式（自定义，225 题）：使用 LLM-as-Judge，确定性相对较低。P-adv 在此最难被发现，从而形成一条由易到难的对抗检测梯度。</w:t>
      </w:r>
    </w:p>
    <w:p w14:paraId="3A67FB11">
      <w:pPr>
        <w:spacing w:before="80" w:after="80" w:line="320" w:lineRule="auto"/>
      </w:pPr>
      <w:r>
        <w:rPr>
          <w:i/>
          <w:iCs/>
          <w:color w:val="546E7A"/>
        </w:rPr>
        <w:t>这种梯度设计用于说明：任何依赖奖励反馈的学习系统，其识别对抗型 Provider 的能力都会受到 Evaluator 质量的限制。</w:t>
      </w:r>
    </w:p>
    <w:p w14:paraId="4E9F26F5">
      <w:pPr>
        <w:pStyle w:val="3"/>
      </w:pPr>
      <w:r>
        <w:t>4.3  实验场景（3 个）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600"/>
        <w:gridCol w:w="4160"/>
      </w:tblGrid>
      <w:tr w14:paraId="62639F9B"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BBC3E">
            <w:r>
              <w:rPr>
                <w:b/>
                <w:bCs/>
                <w:color w:val="FFFFFF"/>
                <w:sz w:val="19"/>
                <w:szCs w:val="19"/>
              </w:rPr>
              <w:t>场景</w:t>
            </w:r>
          </w:p>
        </w:tc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02FA1">
            <w:r>
              <w:rPr>
                <w:b/>
                <w:bCs/>
                <w:color w:val="FFFFFF"/>
                <w:sz w:val="19"/>
                <w:szCs w:val="19"/>
              </w:rPr>
              <w:t>事件</w:t>
            </w:r>
          </w:p>
        </w:tc>
        <w:tc>
          <w:tcPr>
            <w:tcW w:w="4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238AF">
            <w:r>
              <w:rPr>
                <w:b/>
                <w:bCs/>
                <w:color w:val="FFFFFF"/>
                <w:sz w:val="19"/>
                <w:szCs w:val="19"/>
              </w:rPr>
              <w:t>考察目标</w:t>
            </w:r>
          </w:p>
        </w:tc>
      </w:tr>
      <w:tr w14:paraId="129805B2"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14EDB">
            <w:pPr>
              <w:jc w:val="left"/>
            </w:pPr>
            <w:r>
              <w:rPr>
                <w:color w:val="1C2B36"/>
                <w:sz w:val="19"/>
                <w:szCs w:val="19"/>
              </w:rPr>
              <w:t>S1  静态</w:t>
            </w:r>
          </w:p>
        </w:tc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DEF76">
            <w:pPr>
              <w:jc w:val="left"/>
            </w:pPr>
            <w:r>
              <w:rPr>
                <w:color w:val="1C2B36"/>
                <w:sz w:val="19"/>
                <w:szCs w:val="19"/>
              </w:rPr>
              <w:t>全程无变化</w:t>
            </w:r>
          </w:p>
        </w:tc>
        <w:tc>
          <w:tcPr>
            <w:tcW w:w="4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D9EE0">
            <w:pPr>
              <w:jc w:val="left"/>
            </w:pPr>
            <w:r>
              <w:rPr>
                <w:color w:val="1C2B36"/>
                <w:sz w:val="19"/>
                <w:szCs w:val="19"/>
              </w:rPr>
              <w:t>验证基础学习能力，以及系统能否识别 P-adv 和 P-flaky</w:t>
            </w:r>
          </w:p>
        </w:tc>
      </w:tr>
      <w:tr w14:paraId="20F1D5E6"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E3B244">
            <w:pPr>
              <w:jc w:val="left"/>
            </w:pPr>
            <w:r>
              <w:rPr>
                <w:color w:val="1C2B36"/>
                <w:sz w:val="19"/>
                <w:szCs w:val="19"/>
              </w:rPr>
              <w:t>S2  突变降级</w:t>
            </w:r>
          </w:p>
        </w:tc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69C7C">
            <w:pPr>
              <w:jc w:val="left"/>
            </w:pPr>
            <w:r>
              <w:rPr>
                <w:color w:val="1C2B36"/>
                <w:sz w:val="19"/>
                <w:szCs w:val="19"/>
              </w:rPr>
              <w:t>R3000: P-premium 质量骤降 R5000: P-flaky 超时率 20%→60%</w:t>
            </w:r>
          </w:p>
        </w:tc>
        <w:tc>
          <w:tcPr>
            <w:tcW w:w="4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1140F">
            <w:pPr>
              <w:jc w:val="left"/>
            </w:pPr>
            <w:r>
              <w:rPr>
                <w:color w:val="1C2B36"/>
                <w:sz w:val="19"/>
                <w:szCs w:val="19"/>
              </w:rPr>
              <w:t>验证折扣机制是否能比“无折扣”版本更快适应突变</w:t>
            </w:r>
          </w:p>
        </w:tc>
      </w:tr>
      <w:tr w14:paraId="6D1AB143"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ED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FDA0B">
            <w:pPr>
              <w:jc w:val="left"/>
            </w:pPr>
            <w:r>
              <w:rPr>
                <w:color w:val="1C2B36"/>
                <w:sz w:val="19"/>
                <w:szCs w:val="19"/>
              </w:rPr>
              <w:t>S3  价格冲击</w:t>
            </w:r>
          </w:p>
        </w:tc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ED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90C2D">
            <w:pPr>
              <w:jc w:val="left"/>
            </w:pPr>
            <w:r>
              <w:rPr>
                <w:color w:val="1C2B36"/>
                <w:sz w:val="19"/>
                <w:szCs w:val="19"/>
              </w:rPr>
              <w:t>R5000: P-premium 价格×2 P-mid 价格×0.5</w:t>
            </w:r>
          </w:p>
        </w:tc>
        <w:tc>
          <w:tcPr>
            <w:tcW w:w="4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ED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F4B6D">
            <w:pPr>
              <w:jc w:val="left"/>
            </w:pPr>
            <w:r>
              <w:rPr>
                <w:color w:val="1C2B36"/>
                <w:sz w:val="19"/>
                <w:szCs w:val="19"/>
              </w:rPr>
              <w:t>验证动态 λₜ 能否响应成本结构变化，并减少对 P-adv 或 P-flaky 的误选</w:t>
            </w:r>
          </w:p>
        </w:tc>
      </w:tr>
    </w:tbl>
    <w:p w14:paraId="672770B6">
      <w:pPr>
        <w:spacing w:before="80" w:after="80" w:line="320" w:lineRule="auto"/>
      </w:pPr>
      <w:r>
        <w:rPr>
          <w:i/>
          <w:iCs/>
          <w:color w:val="546E7A"/>
        </w:rPr>
        <w:t>实验规模为：每个场景 T = 10,000 rounds，每个 cell 使用 N = 30 个 seeds。真实 API 响应已预生成，约 20,625 次调用，因此后续复现实验不再产生额外 API 成本。这里的 cell 指一个固定的“策略 × 场景”组合，例如 PA-DCTS 在 S2 场景下就是一个 cell。</w:t>
      </w:r>
      <w:bookmarkStart w:id="0" w:name="_GoBack"/>
      <w:bookmarkEnd w:id="0"/>
    </w:p>
    <w:p>
      <w:pPr/>
      <w:r>
        <w:t>Seed 的关键作用有三点。第一，它决定每次 run 的任务到达顺序：同一个 seed 会产生同一串 10,000 轮任务，因此不同策略可以在完全相同的任务序列上比较。第二，它决定从 5 个预生成响应版本中抽取哪一个：同一个 seed 下，环境回放的是同一套响应样本，避免策略差异被模型随机性掩盖。第三，它控制实验中的随机事件和算法采样，例如 P-flaky 的 timeout 标记、Contextual Thompson Sampling 的后验采样，以及统计报告中的多次重复。</w:t>
      </w:r>
    </w:p>
    <w:p>
      <w:pPr/>
      <w:r>
        <w:t>因此，30 个 seeds 的目的不是生成 30 份不同 Bench，而是在同一个固定 Bench 上运行 30 条可复现轨迹。最终报告均值、标准差和置信区间，用来说明结论不是某一个任务顺序或某一次随机采样的偶然结果。</w:t>
      </w:r>
    </w:p>
    <w:p w14:paraId="04BFF27F">
      <w:pPr>
        <w:pStyle w:val="3"/>
      </w:pPr>
      <w:r>
        <w:t>4.4  消融实验（4 项）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800"/>
        <w:gridCol w:w="4760"/>
      </w:tblGrid>
      <w:tr w14:paraId="3AEE04BF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07244">
            <w:r>
              <w:rPr>
                <w:b/>
                <w:bCs/>
                <w:color w:val="FFFFFF"/>
                <w:sz w:val="19"/>
                <w:szCs w:val="19"/>
              </w:rPr>
              <w:t>消融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8A59F">
            <w:r>
              <w:rPr>
                <w:b/>
                <w:bCs/>
                <w:color w:val="FFFFFF"/>
                <w:sz w:val="19"/>
                <w:szCs w:val="19"/>
              </w:rPr>
              <w:t>去除组件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E0059">
            <w:r>
              <w:rPr>
                <w:b/>
                <w:bCs/>
                <w:color w:val="FFFFFF"/>
                <w:sz w:val="19"/>
                <w:szCs w:val="19"/>
              </w:rPr>
              <w:t>验证目标</w:t>
            </w:r>
          </w:p>
        </w:tc>
      </w:tr>
      <w:tr w14:paraId="3F981204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BF169">
            <w:pPr>
              <w:jc w:val="left"/>
            </w:pPr>
            <w:r>
              <w:rPr>
                <w:color w:val="1C2B36"/>
                <w:sz w:val="19"/>
                <w:szCs w:val="19"/>
              </w:rPr>
              <w:t>A1  无 Context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5902E">
            <w:pPr>
              <w:jc w:val="left"/>
            </w:pPr>
            <w:r>
              <w:rPr>
                <w:color w:val="1C2B36"/>
                <w:sz w:val="19"/>
                <w:szCs w:val="19"/>
              </w:rPr>
              <w:t>退化为非上下文 TS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95CCFD">
            <w:pPr>
              <w:jc w:val="left"/>
            </w:pPr>
            <w:r>
              <w:rPr>
                <w:color w:val="1C2B36"/>
                <w:sz w:val="19"/>
                <w:szCs w:val="19"/>
              </w:rPr>
              <w:t>验证任务类型信息是否有助于区分 Provider</w:t>
            </w:r>
          </w:p>
        </w:tc>
      </w:tr>
      <w:tr w14:paraId="5D6E49E6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7BD30">
            <w:pPr>
              <w:jc w:val="left"/>
            </w:pPr>
            <w:r>
              <w:rPr>
                <w:color w:val="1C2B36"/>
                <w:sz w:val="19"/>
                <w:szCs w:val="19"/>
              </w:rPr>
              <w:t>A2  无折扣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B4662">
            <w:pPr>
              <w:jc w:val="left"/>
            </w:pPr>
            <w:r>
              <w:rPr>
                <w:color w:val="1C2B36"/>
                <w:sz w:val="19"/>
                <w:szCs w:val="19"/>
              </w:rPr>
              <w:t>γ = 1（均匀历史权重）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BFF8F">
            <w:pPr>
              <w:jc w:val="left"/>
            </w:pPr>
            <w:r>
              <w:rPr>
                <w:color w:val="1C2B36"/>
                <w:sz w:val="19"/>
                <w:szCs w:val="19"/>
              </w:rPr>
              <w:t>验证折扣机制是否有助于适应非平稳变化</w:t>
            </w:r>
          </w:p>
        </w:tc>
      </w:tr>
      <w:tr w14:paraId="4C0E05A6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9B281">
            <w:pPr>
              <w:jc w:val="left"/>
            </w:pPr>
            <w:r>
              <w:rPr>
                <w:color w:val="1C2B36"/>
                <w:sz w:val="19"/>
                <w:szCs w:val="19"/>
              </w:rPr>
              <w:t>A3  无动态 λₜ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68E8E">
            <w:pPr>
              <w:jc w:val="left"/>
            </w:pPr>
            <w:r>
              <w:rPr>
                <w:color w:val="1C2B36"/>
                <w:sz w:val="19"/>
                <w:szCs w:val="19"/>
              </w:rPr>
              <w:t>λₜ 固定为 λ₀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E5109">
            <w:pPr>
              <w:jc w:val="left"/>
            </w:pPr>
            <w:r>
              <w:rPr>
                <w:color w:val="1C2B36"/>
                <w:sz w:val="19"/>
                <w:szCs w:val="19"/>
              </w:rPr>
              <w:t>验证动态预算压力是否能延长钱包可用轮次</w:t>
            </w:r>
          </w:p>
        </w:tc>
      </w:tr>
      <w:tr w14:paraId="42595E6A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B4661">
            <w:pPr>
              <w:jc w:val="left"/>
            </w:pPr>
            <w:r>
              <w:rPr>
                <w:color w:val="1C2B36"/>
                <w:sz w:val="19"/>
                <w:szCs w:val="19"/>
              </w:rPr>
              <w:t>A4  无失败惩罚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4B838F">
            <w:pPr>
              <w:jc w:val="left"/>
            </w:pPr>
            <w:r>
              <w:rPr>
                <w:color w:val="1C2B36"/>
                <w:sz w:val="19"/>
                <w:szCs w:val="19"/>
              </w:rPr>
              <w:t>μ = ν = 0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7EADE">
            <w:pPr>
              <w:jc w:val="left"/>
            </w:pPr>
            <w:r>
              <w:rPr>
                <w:color w:val="1C2B36"/>
                <w:sz w:val="19"/>
                <w:szCs w:val="19"/>
              </w:rPr>
              <w:t>验证失败惩罚是否能有效抑制 P-flaky</w:t>
            </w:r>
          </w:p>
        </w:tc>
      </w:tr>
    </w:tbl>
    <w:p w14:paraId="46C065B9">
      <w:pPr>
        <w:pBdr>
          <w:bottom w:val="single" w:color="CFD8DC" w:sz="4" w:space="1"/>
        </w:pBdr>
        <w:spacing w:before="160" w:after="160"/>
      </w:pPr>
    </w:p>
    <w:p w14:paraId="6817DB21">
      <w:pPr>
        <w:pStyle w:val="2"/>
      </w:pPr>
      <w:r>
        <w:t>5  设计决策与逻辑自洽性</w:t>
      </w:r>
    </w:p>
    <w:p w14:paraId="1DAAABBE">
      <w:pPr>
        <w:pStyle w:val="3"/>
      </w:pPr>
      <w:r>
        <w:t>5.1  为什么用 Bandit 而不是 RL</w:t>
      </w:r>
    </w:p>
    <w:p w14:paraId="55139E2A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每次调用只能观察到已选 Provider 的结果，无法知道其他 Provider 在同一任务上的表现（即没有反事实反馈）</w:t>
      </w:r>
    </w:p>
    <w:p w14:paraId="5D8FAF6A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奖励在本轮调用后立即得到，不涉及长程信用分配</w:t>
      </w:r>
    </w:p>
    <w:p w14:paraId="448D4219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付款不可撤销，因此不适合建模为需要多步试探的交互过程</w:t>
      </w:r>
    </w:p>
    <w:p w14:paraId="0D3D13FB">
      <w:pPr>
        <w:pStyle w:val="3"/>
      </w:pPr>
      <w:r>
        <w:t>5.2  Provider EWMA 使用全局统计而非按任务类型分层</w:t>
      </w:r>
    </w:p>
    <w:p w14:paraId="461839EC">
      <w:pPr>
        <w:spacing w:before="80" w:after="80" w:line="320" w:lineRule="auto"/>
      </w:pPr>
      <w:r>
        <w:rPr>
          <w:color w:val="1C2B36"/>
        </w:rPr>
        <w:t>这是有意采用的简化。实验中的 5 个 Provider 按模型规模和能力等级分层，在不同任务类型上的相对表现基本保持单调：更强的模型通常在各类任务上都更强。因此，全局 EWMA 已足以帮助 Selector 学到“在当前预算压力下，哪个 Provider 更值得选择”。任务类型差异则通过 Context 向量中的 one-hot 特征交给 Contextual Bandit 处理。</w:t>
      </w:r>
    </w:p>
    <w:p w14:paraId="132502C4">
      <w:pPr>
        <w:spacing w:before="80" w:after="80" w:line="320" w:lineRule="auto"/>
      </w:pPr>
      <w:r>
        <w:rPr>
          <w:i/>
          <w:iCs/>
          <w:color w:val="BF5F00"/>
        </w:rPr>
        <w:t>局限性（论文中已标注）：如果 Provider 的排名会因任务类型而反转，例如某个专家模型只擅长特定任务，那么这一假设不再成立。这类场景属于未来工作。</w:t>
      </w:r>
    </w:p>
    <w:p w14:paraId="578DC339">
      <w:pPr>
        <w:pStyle w:val="3"/>
      </w:pPr>
      <w:r>
        <w:t>5.3  奖励函数为全局标量</w:t>
      </w:r>
    </w:p>
    <w:p w14:paraId="6E22425A">
      <w:pPr>
        <w:spacing w:before="80" w:after="80" w:line="320" w:lineRule="auto"/>
      </w:pPr>
      <w:r>
        <w:rPr>
          <w:color w:val="1C2B36"/>
        </w:rPr>
        <w:t>rₜ 不为不同任务类型设置不同的 μ/ν 权重。这是有意设计：本文不研究不同任务对成本、延迟和失败率的敏感度差异。固定系数可以避免“针对不同方法调参”的质疑，并保证跨方法比较更公平。</w:t>
      </w:r>
    </w:p>
    <w:p w14:paraId="74C83372">
      <w:pPr>
        <w:pStyle w:val="3"/>
      </w:pPr>
      <w:r>
        <w:t>5.4  系统层次清晰，接口无重叠</w:t>
      </w:r>
    </w:p>
    <w:p w14:paraId="536B6CBE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402Pilot 只在 x402 支付执行之前做决策，不修改 x402 协议本身</w:t>
      </w:r>
    </w:p>
    <w:p w14:paraId="5DF674BC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Evaluator、Reward Calculator 和 Policy Updater 三者职责分离，可以独立替换</w:t>
      </w:r>
    </w:p>
    <w:p w14:paraId="198C0A1B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统一的 Policy 接口（select / update）让所有算法变体都能互换比较</w:t>
      </w:r>
    </w:p>
    <w:p w14:paraId="55FAF75C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Budget Manager 的写操作只通过 record_spend(c) 这一入口完成，用于降低并发超支风险</w:t>
      </w:r>
    </w:p>
    <w:p w14:paraId="6882A5AD">
      <w:pPr>
        <w:pBdr>
          <w:bottom w:val="single" w:color="CFD8DC" w:sz="4" w:space="1"/>
        </w:pBdr>
        <w:spacing w:before="160" w:after="160"/>
      </w:pPr>
    </w:p>
    <w:p w14:paraId="1806D182">
      <w:pPr>
        <w:pStyle w:val="2"/>
      </w:pPr>
      <w:r>
        <w:t>6  系统边界（Out of Scope）</w:t>
      </w:r>
    </w:p>
    <w:p w14:paraId="66302FC4">
      <w:pPr>
        <w:spacing w:before="80" w:after="80" w:line="320" w:lineRule="auto"/>
      </w:pPr>
      <w:r>
        <w:rPr>
          <w:color w:val="1C2B36"/>
        </w:rPr>
        <w:t>以下内容明确不属于本项目范围，用于避免讨论发散：</w:t>
      </w:r>
    </w:p>
    <w:p w14:paraId="3FACCD00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密钥管理、托管、链上结算保证</w:t>
      </w:r>
    </w:p>
    <w:p w14:paraId="677605CD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Escrow、争议仲裁、Slashing、链上声誉系统</w:t>
      </w:r>
    </w:p>
    <w:p w14:paraId="6E495490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多 Agent 协同、竞价机制、跨 Agent 协调</w:t>
      </w:r>
    </w:p>
    <w:p w14:paraId="507B82C8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长期多步规划（由 402Pilot 上层的 Agent Planner 负责）</w:t>
      </w:r>
    </w:p>
    <w:p w14:paraId="238C3F61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真实金融交易（实验使用 mock testnet 钱包）</w:t>
      </w:r>
    </w:p>
    <w:p w14:paraId="370845FD">
      <w:pPr>
        <w:pBdr>
          <w:bottom w:val="single" w:color="CFD8DC" w:sz="4" w:space="1"/>
        </w:pBdr>
        <w:spacing w:before="160" w:after="160"/>
      </w:pPr>
    </w:p>
    <w:p w14:paraId="607E89C6">
      <w:pPr>
        <w:pStyle w:val="2"/>
      </w:pPr>
      <w:r>
        <w:t>7  核心文件索引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6BFF523A"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725EA">
            <w:r>
              <w:rPr>
                <w:b/>
                <w:bCs/>
                <w:color w:val="FFFFFF"/>
                <w:sz w:val="19"/>
                <w:szCs w:val="19"/>
              </w:rPr>
              <w:t>文件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E63AB">
            <w:r>
              <w:rPr>
                <w:b/>
                <w:bCs/>
                <w:color w:val="FFFFFF"/>
                <w:sz w:val="19"/>
                <w:szCs w:val="19"/>
              </w:rPr>
              <w:t>内容</w:t>
            </w:r>
          </w:p>
        </w:tc>
      </w:tr>
      <w:tr w14:paraId="7F6F62BD"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72C2B">
            <w:pPr>
              <w:jc w:val="left"/>
            </w:pPr>
            <w:r>
              <w:rPr>
                <w:color w:val="1C2B36"/>
                <w:sz w:val="19"/>
                <w:szCs w:val="19"/>
              </w:rPr>
              <w:t>docs/system_design.md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FDACF">
            <w:pPr>
              <w:jc w:val="left"/>
            </w:pPr>
            <w:r>
              <w:rPr>
                <w:color w:val="1C2B36"/>
                <w:sz w:val="19"/>
                <w:szCs w:val="19"/>
              </w:rPr>
              <w:t>系统组件规格与接口契约</w:t>
            </w:r>
          </w:p>
        </w:tc>
      </w:tr>
      <w:tr w14:paraId="55088854"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591D5">
            <w:pPr>
              <w:jc w:val="left"/>
            </w:pPr>
            <w:r>
              <w:rPr>
                <w:color w:val="1C2B36"/>
                <w:sz w:val="19"/>
                <w:szCs w:val="19"/>
              </w:rPr>
              <w:t>docs/paper_outline.md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66698">
            <w:pPr>
              <w:jc w:val="left"/>
            </w:pPr>
            <w:r>
              <w:rPr>
                <w:color w:val="1C2B36"/>
                <w:sz w:val="19"/>
                <w:szCs w:val="19"/>
              </w:rPr>
              <w:t>论文结构与各章节要点</w:t>
            </w:r>
          </w:p>
        </w:tc>
      </w:tr>
      <w:tr w14:paraId="5ADAA3A9"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3FCB7">
            <w:pPr>
              <w:jc w:val="left"/>
            </w:pPr>
            <w:r>
              <w:rPr>
                <w:color w:val="1C2B36"/>
                <w:sz w:val="19"/>
                <w:szCs w:val="19"/>
              </w:rPr>
              <w:t>docs/experiment_design.md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E2C63">
            <w:pPr>
              <w:jc w:val="left"/>
            </w:pPr>
            <w:r>
              <w:rPr>
                <w:color w:val="1C2B36"/>
                <w:sz w:val="19"/>
                <w:szCs w:val="19"/>
              </w:rPr>
              <w:t>完整实验设计，包括 Provider、场景、指标和超参数协议</w:t>
            </w:r>
          </w:p>
        </w:tc>
      </w:tr>
      <w:tr w14:paraId="5A60C807"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1E369">
            <w:pPr>
              <w:jc w:val="left"/>
            </w:pPr>
            <w:r>
              <w:rPr>
                <w:color w:val="1C2B36"/>
                <w:sz w:val="19"/>
                <w:szCs w:val="19"/>
              </w:rPr>
              <w:t>PLAN.md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39A8B">
            <w:pPr>
              <w:jc w:val="left"/>
            </w:pPr>
            <w:r>
              <w:rPr>
                <w:color w:val="1C2B36"/>
                <w:sz w:val="19"/>
                <w:szCs w:val="19"/>
              </w:rPr>
              <w:t>项目计划与里程碑</w:t>
            </w:r>
          </w:p>
        </w:tc>
      </w:tr>
      <w:tr w14:paraId="1E97F445"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92D00">
            <w:pPr>
              <w:jc w:val="left"/>
            </w:pPr>
            <w:r>
              <w:rPr>
                <w:color w:val="1C2B36"/>
                <w:sz w:val="19"/>
                <w:szCs w:val="19"/>
              </w:rPr>
              <w:t>IDEATION.md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49F80">
            <w:pPr>
              <w:jc w:val="left"/>
            </w:pPr>
            <w:r>
              <w:rPr>
                <w:color w:val="1C2B36"/>
                <w:sz w:val="19"/>
                <w:szCs w:val="19"/>
              </w:rPr>
              <w:t>设计演进历史，以及已否定方案的原因</w:t>
            </w:r>
          </w:p>
        </w:tc>
      </w:tr>
    </w:tbl>
    <w:p w14:paraId="48037249"/>
    <w:p w14:paraId="0B8CB773"/>
    <w:p/>
    <w:p/>
    <w:p/>
    <w:p/>
    <w:p/>
    <w:p/>
    <w:p/>
    <w:p/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Inter">
    <w:panose1 w:val="020B0602030000000004"/>
    <w:charset w:val="00"/>
    <w:family w:val="auto"/>
    <w:pitch w:val="default"/>
    <w:sig w:usb0="E00002FF" w:usb1="1200A1FF" w:usb2="00000001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35DB0">
    <w:pPr>
      <w:pBdr>
        <w:top w:val="single" w:color="CFD8DC" w:sz="4" w:space="2"/>
      </w:pBdr>
      <w:jc w:val="center"/>
    </w:pPr>
    <w:r>
      <w:rPr>
        <w:color w:val="546E7A"/>
        <w:sz w:val="18"/>
        <w:szCs w:val="18"/>
      </w:rPr>
      <w:fldChar w:fldCharType="begin"/>
    </w:r>
    <w:r>
      <w:rPr>
        <w:color w:val="546E7A"/>
        <w:sz w:val="18"/>
        <w:szCs w:val="18"/>
      </w:rPr>
      <w:instrText xml:space="preserve">PAGE</w:instrText>
    </w:r>
    <w:r>
      <w:rPr>
        <w:color w:val="546E7A"/>
        <w:sz w:val="18"/>
        <w:szCs w:val="18"/>
      </w:rPr>
      <w:fldChar w:fldCharType="separate"/>
    </w:r>
    <w:r>
      <w:rPr>
        <w:color w:val="546E7A"/>
        <w:sz w:val="18"/>
        <w:szCs w:val="18"/>
      </w:rPr>
      <w:t>1</w:t>
    </w:r>
    <w:r>
      <w:rPr>
        <w:color w:val="546E7A"/>
        <w:sz w:val="18"/>
        <w:szCs w:val="18"/>
      </w:rPr>
      <w:fldChar w:fldCharType="end"/>
    </w:r>
    <w:r>
      <w:rPr>
        <w:color w:val="546E7A"/>
        <w:sz w:val="18"/>
        <w:szCs w:val="18"/>
      </w:rPr>
      <w:t xml:space="preserve">  /  </w:t>
    </w:r>
    <w:r>
      <w:rPr>
        <w:color w:val="546E7A"/>
        <w:sz w:val="18"/>
        <w:szCs w:val="18"/>
      </w:rPr>
      <w:fldChar w:fldCharType="begin"/>
    </w:r>
    <w:r>
      <w:rPr>
        <w:color w:val="546E7A"/>
        <w:sz w:val="18"/>
        <w:szCs w:val="18"/>
      </w:rPr>
      <w:instrText xml:space="preserve">NUMPAGES</w:instrText>
    </w:r>
    <w:r>
      <w:rPr>
        <w:color w:val="546E7A"/>
        <w:sz w:val="18"/>
        <w:szCs w:val="18"/>
      </w:rPr>
      <w:fldChar w:fldCharType="separate"/>
    </w:r>
    <w:r>
      <w:rPr>
        <w:color w:val="546E7A"/>
        <w:sz w:val="18"/>
        <w:szCs w:val="18"/>
      </w:rPr>
      <w:t>2</w:t>
    </w:r>
    <w:r>
      <w:rPr>
        <w:color w:val="546E7A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56717">
    <w:pPr>
      <w:pBdr>
        <w:bottom w:val="single" w:color="CFD8DC" w:sz="4" w:space="2"/>
      </w:pBdr>
      <w:tabs>
        <w:tab w:val="right" w:pos="8640"/>
      </w:tabs>
    </w:pPr>
    <w:r>
      <w:rPr>
        <w:color w:val="546E7A"/>
        <w:sz w:val="18"/>
        <w:szCs w:val="18"/>
      </w:rPr>
      <w:t>402Pilot  项目技术概览</w:t>
    </w:r>
    <w:r>
      <w:rPr>
        <w:sz w:val="18"/>
        <w:szCs w:val="18"/>
      </w:rPr>
      <w:tab/>
    </w:r>
    <w:r>
      <w:rPr>
        <w:i/>
        <w:iCs/>
        <w:color w:val="546E7A"/>
        <w:sz w:val="18"/>
        <w:szCs w:val="18"/>
      </w:rPr>
      <w:t>内部参考文档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FFCD75"/>
    <w:multiLevelType w:val="multilevel"/>
    <w:tmpl w:val="CFFFCD75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defaultTabStop w:val="420"/>
  <w:noPunctuationKerning w:val="1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4B4"/>
    <w:rsid w:val="00681F84"/>
    <w:rsid w:val="006E39A4"/>
    <w:rsid w:val="00893D62"/>
    <w:rsid w:val="00CF24B4"/>
    <w:rsid w:val="5FB239C6"/>
    <w:rsid w:val="5FFEEE16"/>
    <w:rsid w:val="6EFDC022"/>
    <w:rsid w:val="77CED404"/>
    <w:rsid w:val="7F7E121D"/>
    <w:rsid w:val="B7DD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A3A5C"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D6B"/>
      <w:sz w:val="26"/>
      <w:szCs w:val="26"/>
      <w:lang w:val="en-US" w:eastAsia="zh-CN" w:bidi="ar-SA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5C3D8F"/>
      <w:sz w:val="22"/>
      <w:szCs w:val="22"/>
      <w:lang w:val="en-US" w:eastAsia="zh-CN" w:bidi="ar-SA"/>
    </w:rPr>
  </w:style>
  <w:style w:type="paragraph" w:styleId="5">
    <w:name w:val="heading 4"/>
    <w:next w:val="1"/>
    <w:qFormat/>
    <w:uiPriority w:val="0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en-US" w:eastAsia="zh-CN" w:bidi="ar-SA"/>
    </w:rPr>
  </w:style>
  <w:style w:type="paragraph" w:styleId="6">
    <w:name w:val="heading 5"/>
    <w:next w:val="1"/>
    <w:qFormat/>
    <w:uiPriority w:val="0"/>
    <w:pPr>
      <w:outlineLvl w:val="4"/>
    </w:pPr>
    <w:rPr>
      <w:rFonts w:ascii="Arial" w:hAnsi="Arial" w:eastAsia="Arial" w:cs="Arial"/>
      <w:color w:val="2E74B5"/>
      <w:sz w:val="22"/>
      <w:szCs w:val="22"/>
      <w:lang w:val="en-US" w:eastAsia="zh-CN" w:bidi="ar-SA"/>
    </w:rPr>
  </w:style>
  <w:style w:type="paragraph" w:styleId="7">
    <w:name w:val="heading 6"/>
    <w:next w:val="1"/>
    <w:qFormat/>
    <w:uiPriority w:val="0"/>
    <w:pPr>
      <w:outlineLvl w:val="5"/>
    </w:pPr>
    <w:rPr>
      <w:rFonts w:ascii="Arial" w:hAnsi="Arial" w:eastAsia="Arial" w:cs="Arial"/>
      <w:color w:val="1F4D78"/>
      <w:sz w:val="22"/>
      <w:szCs w:val="22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rPr>
      <w:rFonts w:ascii="Arial" w:hAnsi="Arial" w:eastAsia="Arial" w:cs="Arial"/>
      <w:lang w:val="en-US" w:eastAsia="zh-CN" w:bidi="ar-SA"/>
    </w:rPr>
  </w:style>
  <w:style w:type="paragraph" w:styleId="9">
    <w:name w:val="footnote text"/>
    <w:link w:val="17"/>
    <w:semiHidden/>
    <w:unhideWhenUsed/>
    <w:uiPriority w:val="99"/>
    <w:rPr>
      <w:rFonts w:ascii="Arial" w:hAnsi="Arial" w:eastAsia="Arial" w:cs="Arial"/>
      <w:lang w:val="en-US" w:eastAsia="zh-CN" w:bidi="ar-SA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  <w:lang w:val="en-US" w:eastAsia="zh-CN" w:bidi="ar-SA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  <w:lang w:val="en-US" w:eastAsia="zh-CN" w:bidi="ar-SA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719</Words>
  <Characters>4101</Characters>
  <Lines>34</Lines>
  <Paragraphs>9</Paragraphs>
  <TotalTime>12</TotalTime>
  <ScaleCrop>false</ScaleCrop>
  <LinksUpToDate>false</LinksUpToDate>
  <CharactersWithSpaces>4811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2026-04-29T22:20:00Z</dcterms:created>
  <dc:creator>Un-named</dc:creator>
  <cp:lastModifiedBy>Liyin</cp:lastModifiedBy>
  <dcterms:modified xsi:type="dcterms:W3CDTF">2026-04-29T22:32:51Z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B8FCF6CB867B4F591612F26967C4E3E8_42</vt:lpwstr>
  </property>
</Properties>
</file>