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REPORTE DE PROYECTO DE ETL EN AZURE DATA FACTORY</w:t>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b w:val="1"/>
          <w:bCs w:val="1"/>
          <w:rtl w:val="0"/>
        </w:rPr>
        <w:t xml:space="preserve">1. Objetivo del proyecto</w:t>
      </w: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El presente proyecto tiene como objetivo diseñar e implementar un flujo completo de integración de datos (ETL) utilizando Azure Data Factory (ADF). Se trabajó con distintas fuentes heterogéneas una base de datos relacional en PostgreSQL (Neon), una base documental en MongoDB Atlas y archivos CSV almacenados en Azure Blob Storage con el fin de generar un conjunto de datos final unificado y limpio, apto para su análisis en el contexto del Ames Housing Dataset. El propósito central fue consolidar información técnica, estructural y contextual de las propiedades para habilitar futuras tareas de minería y modelado de datos.</w:t>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b w:val="1"/>
          <w:bCs w:val="1"/>
        </w:rPr>
      </w:pPr>
      <w:r w:rsidDel="00000000" w:rsidR="00000000" w:rsidRPr="00000000">
        <w:rPr>
          <w:rFonts w:ascii="Arial" w:cs="Arial" w:eastAsia="Arial" w:hAnsi="Arial"/>
          <w:b w:val="1"/>
          <w:bCs w:val="1"/>
          <w:rtl w:val="0"/>
        </w:rPr>
        <w:t xml:space="preserve">2. Proceso de extracción por fuente</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El proceso de extracción llevado a cabo es el siguiente:</w:t>
      </w:r>
    </w:p>
    <w:p w:rsidR="00000000" w:rsidDel="00000000" w:rsidP="00000000" w:rsidRDefault="00000000" w:rsidRPr="00000000" w14:paraId="00000008">
      <w:pPr>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Extracción con azure blob storage:</w:t>
      </w:r>
    </w:p>
    <w:p w:rsidR="00000000" w:rsidDel="00000000" w:rsidP="00000000" w:rsidRDefault="00000000" w:rsidRPr="00000000" w14:paraId="00000009">
      <w:pPr>
        <w:ind w:left="0" w:firstLine="0"/>
        <w:jc w:val="both"/>
        <w:rPr>
          <w:rFonts w:ascii="Arial" w:cs="Arial" w:eastAsia="Arial" w:hAnsi="Arial"/>
        </w:rPr>
      </w:pPr>
      <w:r w:rsidDel="00000000" w:rsidR="00000000" w:rsidRPr="00000000">
        <w:rPr>
          <w:rFonts w:ascii="Arial" w:cs="Arial" w:eastAsia="Arial" w:hAnsi="Arial"/>
          <w:rtl w:val="0"/>
        </w:rPr>
        <w:t xml:space="preserve">Se creó un linked service tipo Azure Blob Storage para poder guardar en éste, tanto el archivo source (AmesProperty.csv) como el archivo final de salida.</w:t>
      </w:r>
    </w:p>
    <w:p w:rsidR="00000000" w:rsidDel="00000000" w:rsidP="00000000" w:rsidRDefault="00000000" w:rsidRPr="00000000" w14:paraId="0000000A">
      <w:pPr>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Extracción desde Neon PostgreSQL:</w:t>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Se creó un linked service tipo Azure Database for PostgreSQL para hacer la conexión con la base de Neon PostgreSQL. Gracias a esto se pudo crear un dataset para cada una de las tablas amesdbtemp, SalesProperty, FloorDetail, MsZoning, MsSubClass.</w:t>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Fonts w:ascii="Arial" w:cs="Arial" w:eastAsia="Arial" w:hAnsi="Arial"/>
          <w:b w:val="1"/>
          <w:bCs w:val="1"/>
          <w:rtl w:val="0"/>
        </w:rPr>
        <w:t xml:space="preserve">Extracción desde MongoDB Atlas y carga a CSV:</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Se creó un linked service tipo Azure Cosmos DB for MongoDB donde junto con los datos de conexión se pudieron obtener las colecciones bsmt, garage, misc y pool; sin embargo para poder incluir la información que se encontraba en estas colecciones, tuvieron que pasar por un pipeline que permitió convertir el formato .json a archivos tabulares (.csv) que sí podían ser incluidos en el dataflow, por esta misma razón, también se tuvieron que crear 4 archivos de salida para cada una de las colecciones con un Azure Blob Storage.</w:t>
      </w:r>
    </w:p>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bCs w:val="1"/>
        </w:rPr>
      </w:pPr>
      <w:r w:rsidDel="00000000" w:rsidR="00000000" w:rsidRPr="00000000">
        <w:rPr>
          <w:rFonts w:ascii="Arial" w:cs="Arial" w:eastAsia="Arial" w:hAnsi="Arial"/>
          <w:b w:val="1"/>
          <w:bCs w:val="1"/>
          <w:rtl w:val="0"/>
        </w:rPr>
        <w:t xml:space="preserve">3. Diseño del Data Flow en Azure Data Factory</w:t>
      </w:r>
    </w:p>
    <w:p w:rsidR="00000000" w:rsidDel="00000000" w:rsidP="00000000" w:rsidRDefault="00000000" w:rsidRPr="00000000" w14:paraId="00000010">
      <w:pPr>
        <w:pStyle w:val="Heading4"/>
        <w:keepNext w:val="0"/>
        <w:keepLines w:val="0"/>
        <w:spacing w:after="40" w:before="240" w:lineRule="auto"/>
        <w:jc w:val="both"/>
        <w:rPr>
          <w:rFonts w:ascii="Arial" w:cs="Arial" w:eastAsia="Arial" w:hAnsi="Arial"/>
          <w:i w:val="0"/>
          <w:iCs w:val="0"/>
          <w:color w:val="000000"/>
        </w:rPr>
      </w:pPr>
      <w:bookmarkStart w:colFirst="0" w:colLast="0" w:name="_4wlth88oq6qi" w:id="0"/>
      <w:bookmarkEnd w:id="0"/>
      <w:r w:rsidDel="00000000" w:rsidR="00000000" w:rsidRPr="00000000">
        <w:rPr>
          <w:rFonts w:ascii="Arial" w:cs="Arial" w:eastAsia="Arial" w:hAnsi="Arial"/>
          <w:i w:val="0"/>
          <w:iCs w:val="0"/>
          <w:color w:val="000000"/>
          <w:rtl w:val="0"/>
        </w:rPr>
        <w:t xml:space="preserve">Carga y preparación de los orígenes:</w:t>
      </w:r>
    </w:p>
    <w:p w:rsidR="00000000" w:rsidDel="00000000" w:rsidP="00000000" w:rsidRDefault="00000000" w:rsidRPr="00000000" w14:paraId="0000001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iniciar el Data Flow se cargaron todas las fuentes necesarias:</w:t>
      </w:r>
    </w:p>
    <w:p w:rsidR="00000000" w:rsidDel="00000000" w:rsidP="00000000" w:rsidRDefault="00000000" w:rsidRPr="00000000" w14:paraId="00000012">
      <w:pPr>
        <w:numPr>
          <w:ilvl w:val="0"/>
          <w:numId w:val="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La tabla principal de propiedades (AmesProperty).</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Las tablas dimensionales provenientes de SQL (FloorDetail, MsZoning, MsSubClass, entre otras).</w:t>
        <w:br w:type="textWrapping"/>
      </w:r>
    </w:p>
    <w:p w:rsidR="00000000" w:rsidDel="00000000" w:rsidP="00000000" w:rsidRDefault="00000000" w:rsidRPr="00000000" w14:paraId="00000014">
      <w:pPr>
        <w:numPr>
          <w:ilvl w:val="0"/>
          <w:numId w:val="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Los archivos CSV generados previamente a partir de las colecciones de MongoDB (bsmt, garage, misc y pool).</w:t>
        <w:br w:type="textWrapping"/>
      </w:r>
    </w:p>
    <w:p w:rsidR="00000000" w:rsidDel="00000000" w:rsidP="00000000" w:rsidRDefault="00000000" w:rsidRPr="00000000" w14:paraId="0000001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cada una de estas fuentes se le aplicó una transformación Select, con el fin de estandarizar los nombres de las columnas y asegurar la compatibilidad de tipos de datos antes de realizar los joins. Esto permitió mantener consistencia en la estructura general del dataset procesado.</w:t>
      </w:r>
    </w:p>
    <w:p w:rsidR="00000000" w:rsidDel="00000000" w:rsidP="00000000" w:rsidRDefault="00000000" w:rsidRPr="00000000" w14:paraId="00000016">
      <w:pPr>
        <w:pStyle w:val="Heading4"/>
        <w:keepNext w:val="0"/>
        <w:keepLines w:val="0"/>
        <w:spacing w:after="40" w:before="240" w:lineRule="auto"/>
        <w:jc w:val="both"/>
        <w:rPr>
          <w:rFonts w:ascii="Arial" w:cs="Arial" w:eastAsia="Arial" w:hAnsi="Arial"/>
          <w:i w:val="0"/>
          <w:iCs w:val="0"/>
          <w:color w:val="000000"/>
        </w:rPr>
      </w:pPr>
      <w:bookmarkStart w:colFirst="0" w:colLast="0" w:name="_ox2atj60345j" w:id="1"/>
      <w:bookmarkEnd w:id="1"/>
      <w:r w:rsidDel="00000000" w:rsidR="00000000" w:rsidRPr="00000000">
        <w:rPr>
          <w:rFonts w:ascii="Arial" w:cs="Arial" w:eastAsia="Arial" w:hAnsi="Arial"/>
          <w:i w:val="0"/>
          <w:iCs w:val="0"/>
          <w:color w:val="000000"/>
          <w:rtl w:val="0"/>
        </w:rPr>
        <w:t xml:space="preserve">Cadena de joins:</w:t>
      </w:r>
    </w:p>
    <w:p w:rsidR="00000000" w:rsidDel="00000000" w:rsidP="00000000" w:rsidRDefault="00000000" w:rsidRPr="00000000" w14:paraId="0000001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Una vez preparados los orígenes, se procedió a unirlos. El primer join fue un inner join entre el CSV principal (AmesProperty.csv) y la tabla SQL amesdbtemp, utilizando la columna PID, que funciona como la llave primaria del proyecto.</w:t>
      </w:r>
    </w:p>
    <w:p w:rsidR="00000000" w:rsidDel="00000000" w:rsidP="00000000" w:rsidRDefault="00000000" w:rsidRPr="00000000" w14:paraId="0000001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demás joins se realizaron como left joins, también usando PID, para asegurar que todas las propiedades presentes en el dataset principal conservarán su registro incluso si faltaban datos en las tablas complementarias.</w:t>
      </w:r>
    </w:p>
    <w:p w:rsidR="00000000" w:rsidDel="00000000" w:rsidP="00000000" w:rsidRDefault="00000000" w:rsidRPr="00000000" w14:paraId="0000001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únicas excepciones fueron las uniones con MsZoning y MsSubClass, en las cuales las claves utilizadas fueron sus columnas code, que luego se relacionaron con la tabla amesdbtemp mediante sus columnas correspondientes dentro de la estructura general de dimensiones.</w:t>
      </w:r>
    </w:p>
    <w:p w:rsidR="00000000" w:rsidDel="00000000" w:rsidP="00000000" w:rsidRDefault="00000000" w:rsidRPr="00000000" w14:paraId="0000001A">
      <w:pPr>
        <w:pStyle w:val="Heading4"/>
        <w:keepNext w:val="0"/>
        <w:keepLines w:val="0"/>
        <w:spacing w:after="40" w:before="240" w:lineRule="auto"/>
        <w:jc w:val="both"/>
        <w:rPr>
          <w:rFonts w:ascii="Arial" w:cs="Arial" w:eastAsia="Arial" w:hAnsi="Arial"/>
          <w:i w:val="0"/>
          <w:iCs w:val="0"/>
          <w:color w:val="000000"/>
        </w:rPr>
      </w:pPr>
      <w:bookmarkStart w:colFirst="0" w:colLast="0" w:name="_2gtgd5rua4a8" w:id="2"/>
      <w:bookmarkEnd w:id="2"/>
      <w:r w:rsidDel="00000000" w:rsidR="00000000" w:rsidRPr="00000000">
        <w:rPr>
          <w:rFonts w:ascii="Arial" w:cs="Arial" w:eastAsia="Arial" w:hAnsi="Arial"/>
          <w:i w:val="0"/>
          <w:iCs w:val="0"/>
          <w:color w:val="000000"/>
          <w:rtl w:val="0"/>
        </w:rPr>
        <w:t xml:space="preserve">Limpieza de valores nulos:</w:t>
      </w:r>
    </w:p>
    <w:p w:rsidR="00000000" w:rsidDel="00000000" w:rsidP="00000000" w:rsidRDefault="00000000" w:rsidRPr="00000000" w14:paraId="0000001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Dentro del Data Flow se implementó una transformación de </w:t>
      </w:r>
      <w:r w:rsidDel="00000000" w:rsidR="00000000" w:rsidRPr="00000000">
        <w:rPr>
          <w:rFonts w:ascii="Arial" w:cs="Arial" w:eastAsia="Arial" w:hAnsi="Arial"/>
          <w:b w:val="1"/>
          <w:bCs w:val="1"/>
          <w:rtl w:val="0"/>
        </w:rPr>
        <w:t xml:space="preserve">columna derivada</w:t>
      </w:r>
      <w:r w:rsidDel="00000000" w:rsidR="00000000" w:rsidRPr="00000000">
        <w:rPr>
          <w:rFonts w:ascii="Arial" w:cs="Arial" w:eastAsia="Arial" w:hAnsi="Arial"/>
          <w:rtl w:val="0"/>
        </w:rPr>
        <w:t xml:space="preserve"> para realizar la limpieza automática de valores nulos.</w:t>
      </w:r>
    </w:p>
    <w:p w:rsidR="00000000" w:rsidDel="00000000" w:rsidP="00000000" w:rsidRDefault="00000000" w:rsidRPr="00000000" w14:paraId="0000001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 Se aplicó un patrón por columna de la siguiente manera:</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rFonts w:ascii="Arial" w:cs="Arial" w:eastAsia="Arial" w:hAnsi="Arial"/>
          <w:rtl w:val="0"/>
        </w:rPr>
        <w:t xml:space="preserve">Si la columna era de tipo </w:t>
      </w:r>
      <w:r w:rsidDel="00000000" w:rsidR="00000000" w:rsidRPr="00000000">
        <w:rPr>
          <w:rFonts w:ascii="Arial" w:cs="Arial" w:eastAsia="Arial" w:hAnsi="Arial"/>
          <w:i w:val="1"/>
          <w:iCs w:val="1"/>
          <w:rtl w:val="0"/>
        </w:rPr>
        <w:t xml:space="preserve">string</w:t>
      </w:r>
      <w:r w:rsidDel="00000000" w:rsidR="00000000" w:rsidRPr="00000000">
        <w:rPr>
          <w:rFonts w:ascii="Arial" w:cs="Arial" w:eastAsia="Arial" w:hAnsi="Arial"/>
          <w:rtl w:val="0"/>
        </w:rPr>
        <w:t xml:space="preserve"> y tenía valores nulos, estos fueron reemplazados por </w:t>
      </w:r>
      <w:r w:rsidDel="00000000" w:rsidR="00000000" w:rsidRPr="00000000">
        <w:rPr>
          <w:rFonts w:ascii="Arial" w:cs="Arial" w:eastAsia="Arial" w:hAnsi="Arial"/>
          <w:rtl w:val="0"/>
        </w:rPr>
        <w:t xml:space="preserve">"NA"</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1E">
      <w:pPr>
        <w:numPr>
          <w:ilvl w:val="0"/>
          <w:numId w:val="1"/>
        </w:numPr>
        <w:spacing w:after="240" w:before="0" w:beforeAutospacing="0" w:lineRule="auto"/>
        <w:ind w:left="720" w:hanging="360"/>
        <w:jc w:val="both"/>
      </w:pPr>
      <w:r w:rsidDel="00000000" w:rsidR="00000000" w:rsidRPr="00000000">
        <w:rPr>
          <w:rFonts w:ascii="Arial" w:cs="Arial" w:eastAsia="Arial" w:hAnsi="Arial"/>
          <w:rtl w:val="0"/>
        </w:rPr>
        <w:t xml:space="preserve">Si la columna era numérica (</w:t>
      </w:r>
      <w:r w:rsidDel="00000000" w:rsidR="00000000" w:rsidRPr="00000000">
        <w:rPr>
          <w:rFonts w:ascii="Arial" w:cs="Arial" w:eastAsia="Arial" w:hAnsi="Arial"/>
          <w:i w:val="1"/>
          <w:iCs w:val="1"/>
          <w:rtl w:val="0"/>
        </w:rPr>
        <w:t xml:space="preserve">integer</w:t>
      </w:r>
      <w:r w:rsidDel="00000000" w:rsidR="00000000" w:rsidRPr="00000000">
        <w:rPr>
          <w:rFonts w:ascii="Arial" w:cs="Arial" w:eastAsia="Arial" w:hAnsi="Arial"/>
          <w:rtl w:val="0"/>
        </w:rPr>
        <w:t xml:space="preserve"> o </w:t>
      </w:r>
      <w:r w:rsidDel="00000000" w:rsidR="00000000" w:rsidRPr="00000000">
        <w:rPr>
          <w:rFonts w:ascii="Arial" w:cs="Arial" w:eastAsia="Arial" w:hAnsi="Arial"/>
          <w:i w:val="1"/>
          <w:iCs w:val="1"/>
          <w:rtl w:val="0"/>
        </w:rPr>
        <w:t xml:space="preserve">long</w:t>
      </w:r>
      <w:r w:rsidDel="00000000" w:rsidR="00000000" w:rsidRPr="00000000">
        <w:rPr>
          <w:rFonts w:ascii="Arial" w:cs="Arial" w:eastAsia="Arial" w:hAnsi="Arial"/>
          <w:rtl w:val="0"/>
        </w:rPr>
        <w:t xml:space="preserve">) y presentaba nulos, el valor se reemplazó por </w:t>
      </w:r>
      <w:r w:rsidDel="00000000" w:rsidR="00000000" w:rsidRPr="00000000">
        <w:rPr>
          <w:rFonts w:ascii="Arial" w:cs="Arial" w:eastAsia="Arial" w:hAnsi="Arial"/>
          <w:rtl w:val="0"/>
        </w:rPr>
        <w:t xml:space="preserve">0</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 esta forma se garantizó un dataset uniforme y sin valores faltantes.</w:t>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jc w:val="both"/>
        <w:rPr>
          <w:rFonts w:ascii="Arial" w:cs="Arial" w:eastAsia="Arial" w:hAnsi="Arial"/>
          <w:i w:val="0"/>
          <w:iCs w:val="0"/>
          <w:color w:val="000000"/>
        </w:rPr>
      </w:pPr>
      <w:bookmarkStart w:colFirst="0" w:colLast="0" w:name="_mus4yzvmbko2" w:id="3"/>
      <w:bookmarkEnd w:id="3"/>
      <w:r w:rsidDel="00000000" w:rsidR="00000000" w:rsidRPr="00000000">
        <w:rPr>
          <w:rFonts w:ascii="Arial" w:cs="Arial" w:eastAsia="Arial" w:hAnsi="Arial"/>
          <w:i w:val="0"/>
          <w:iCs w:val="0"/>
          <w:color w:val="000000"/>
          <w:rtl w:val="0"/>
        </w:rPr>
        <w:t xml:space="preserve">Creación y transformación de columnas</w:t>
      </w:r>
    </w:p>
    <w:p w:rsidR="00000000" w:rsidDel="00000000" w:rsidP="00000000" w:rsidRDefault="00000000" w:rsidRPr="00000000" w14:paraId="000000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Después de limpiar los datos, se generaron las columnas adicionales que requería el proyecto:</w:t>
      </w:r>
    </w:p>
    <w:p w:rsidR="00000000" w:rsidDel="00000000" w:rsidP="00000000" w:rsidRDefault="00000000" w:rsidRPr="00000000" w14:paraId="00000023">
      <w:pPr>
        <w:numPr>
          <w:ilvl w:val="0"/>
          <w:numId w:val="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GrLivArea: calculada a partir de la suma de superficies habitables en las tablas correspondientes.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MoSold y YrSold: extraídas desde la columna de fecha de venta.</w:t>
        <w:br w:type="textWrapping"/>
      </w:r>
    </w:p>
    <w:p w:rsidR="00000000" w:rsidDel="00000000" w:rsidP="00000000" w:rsidRDefault="00000000" w:rsidRPr="00000000" w14:paraId="00000025">
      <w:pPr>
        <w:numPr>
          <w:ilvl w:val="0"/>
          <w:numId w:val="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YearRemod/Add: reemplazando valores nulos por el año original de construcción.</w:t>
        <w:br w:type="textWrapping"/>
      </w:r>
    </w:p>
    <w:p w:rsidR="00000000" w:rsidDel="00000000" w:rsidP="00000000" w:rsidRDefault="00000000" w:rsidRPr="00000000" w14:paraId="0000002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También, se aplicaron funciones de agregación para calcular métricas como TotalFullBath, TotalHalfBath y Bedroom, a partir de la tabla FloorDetail, que incluía un registro por piso. Para estas transformaciones se consideró que cada propiedad podía tener múltiples registros y se ajustó el resultado a una estructura por propiedad.</w:t>
      </w:r>
    </w:p>
    <w:p w:rsidR="00000000" w:rsidDel="00000000" w:rsidP="00000000" w:rsidRDefault="00000000" w:rsidRPr="00000000" w14:paraId="00000027">
      <w:pPr>
        <w:pStyle w:val="Heading4"/>
        <w:keepNext w:val="0"/>
        <w:keepLines w:val="0"/>
        <w:spacing w:after="40" w:before="240" w:lineRule="auto"/>
        <w:jc w:val="both"/>
        <w:rPr>
          <w:rFonts w:ascii="Arial" w:cs="Arial" w:eastAsia="Arial" w:hAnsi="Arial"/>
          <w:i w:val="0"/>
          <w:iCs w:val="0"/>
          <w:color w:val="000000"/>
        </w:rPr>
      </w:pPr>
      <w:bookmarkStart w:colFirst="0" w:colLast="0" w:name="_ke2ufmg23ura" w:id="4"/>
      <w:bookmarkEnd w:id="4"/>
      <w:r w:rsidDel="00000000" w:rsidR="00000000" w:rsidRPr="00000000">
        <w:rPr>
          <w:rFonts w:ascii="Arial" w:cs="Arial" w:eastAsia="Arial" w:hAnsi="Arial"/>
          <w:i w:val="0"/>
          <w:iCs w:val="0"/>
          <w:color w:val="000000"/>
          <w:rtl w:val="0"/>
        </w:rPr>
        <w:t xml:space="preserve">Proceso final:</w:t>
      </w:r>
    </w:p>
    <w:p w:rsidR="00000000" w:rsidDel="00000000" w:rsidP="00000000" w:rsidRDefault="00000000" w:rsidRPr="00000000" w14:paraId="0000002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Finalmente, mediante un sink, se exportó el resultado consolidado del Data Flow hacia un CSV final, previamente configurado como destino. Este archivo representa la versión depurada y transformada del dataset, lista para ser utilizada en análisis.</w:t>
      </w:r>
    </w:p>
    <w:p w:rsidR="00000000" w:rsidDel="00000000" w:rsidP="00000000" w:rsidRDefault="00000000" w:rsidRPr="00000000" w14:paraId="00000029">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 PipeLine de ejecución</w:t>
      </w:r>
    </w:p>
    <w:p w:rsidR="00000000" w:rsidDel="00000000" w:rsidP="00000000" w:rsidRDefault="00000000" w:rsidRPr="00000000" w14:paraId="000000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el pipeline del proyecto se utilizó una única actividad principal de tipo Data Flow.</w:t>
      </w:r>
    </w:p>
    <w:p w:rsidR="00000000" w:rsidDel="00000000" w:rsidP="00000000" w:rsidRDefault="00000000" w:rsidRPr="00000000" w14:paraId="000000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Básicamente, el pipeline actúa como el componente encargado de disparar el flujo completo de ETL, asegurando que todas las transformaciones definidas se apliquen en el orden correcto y generen finalmente el archivo consolidado listo para análisis.</w:t>
      </w:r>
    </w:p>
    <w:p w:rsidR="00000000" w:rsidDel="00000000" w:rsidP="00000000" w:rsidRDefault="00000000" w:rsidRPr="00000000" w14:paraId="0000002D">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 Conclusiones y lecciones aprendidas</w:t>
      </w:r>
    </w:p>
    <w:p w:rsidR="00000000" w:rsidDel="00000000" w:rsidP="00000000" w:rsidRDefault="00000000" w:rsidRPr="00000000" w14:paraId="000000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del proyecto permitió comprender la importancia de estructurar adecuadamente un flujo de datos y un pipeline dentro de Azure Data Factory. A lo largo del trabajo se evidenció que un proceso ETL requiere atención al detalle, como nombres inconsistentes en las columnas, columnas innecesarias, las cuales pueden generar errores significativos en los joins y afectar la calidad del resultado final.</w:t>
      </w:r>
    </w:p>
    <w:p w:rsidR="00000000" w:rsidDel="00000000" w:rsidP="00000000" w:rsidRDefault="00000000" w:rsidRPr="00000000" w14:paraId="0000003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También se aprendió que la limpieza de valores nulos y la creación de columnas derivadas no son tareas insignificantes; requieren entender el contexto del dato para tomar decisiones correctas. Estas transformaciones, aunque nos costaron por desconocimiento de cómo resolverlas dentro de Azure Data Factory, aportan valor real para las etapas posteriores donde personas entran en el análisis y generación de insights.</w:t>
      </w:r>
    </w:p>
    <w:p w:rsidR="00000000" w:rsidDel="00000000" w:rsidP="00000000" w:rsidRDefault="00000000" w:rsidRPr="00000000" w14:paraId="000000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igualmente dejó claro que trabajar con control de versiones es esencial en un entorno colaborativo. El manejo de GitHub incluyendo ramas, merges y resolución de conflictos tuvo una curva de aprendizaje que impactó el avance del equipo. Esto evidenció la necesidad de dominar estas herramientas para evitar errores y retrasos en futuros proyectos.</w:t>
      </w:r>
    </w:p>
    <w:p w:rsidR="00000000" w:rsidDel="00000000" w:rsidP="00000000" w:rsidRDefault="00000000" w:rsidRPr="00000000" w14:paraId="000000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conjunto, el proyecto ofreció una visión clara de las buenas prácticas necesarias para preparar datos de forma confiable y mantener procesos reproducibles y ordenados dentro de una arquitectura de integración.</w:t>
      </w:r>
    </w:p>
    <w:p w:rsidR="00000000" w:rsidDel="00000000" w:rsidP="00000000" w:rsidRDefault="00000000" w:rsidRPr="00000000" w14:paraId="00000033">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footerReference r:id="rId6" w:type="default"/>
      <w:footerReference r:id="rId7"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