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61758A3E" w14:textId="4A6FB7D3" w:rsidR="00510593" w:rsidRPr="00A67A8F" w:rsidRDefault="00510593" w:rsidP="00706B70">
      <w:pPr>
        <w:jc w:val="both"/>
        <w:rPr>
          <w:u w:val="single"/>
        </w:rPr>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31EC8076"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such as </w:t>
      </w:r>
      <w:r>
        <w:t xml:space="preserve">by preventing them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by      </w:t>
      </w:r>
      <w:r w:rsidRPr="0050034E">
        <w:rPr>
          <w:b/>
          <w:bCs/>
        </w:rPr>
        <w:t>POOR VISION</w:t>
      </w:r>
      <w:r>
        <w:t xml:space="preserve">, such as because of </w:t>
      </w:r>
      <w:r w:rsidRPr="0050034E">
        <w:rPr>
          <w:b/>
          <w:bCs/>
        </w:rPr>
        <w:t xml:space="preserve">MIND CONTROL </w:t>
      </w:r>
      <w:r w:rsidRPr="0050034E">
        <w:rPr>
          <w:b/>
          <w:bCs/>
        </w:rPr>
        <w:lastRenderedPageBreak/>
        <w:t>TECHNOLOGY</w:t>
      </w:r>
      <w:r>
        <w:t xml:space="preserve"> or </w:t>
      </w:r>
      <w:r w:rsidRPr="0050034E">
        <w:rPr>
          <w:b/>
          <w:bCs/>
        </w:rPr>
        <w:t>LIGHT WAVE ABUSE</w:t>
      </w:r>
      <w:r>
        <w:t xml:space="preserve"> 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318587D6"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9E49AB">
        <w:rPr>
          <w:b/>
          <w:bCs/>
        </w:rPr>
        <w:t>CRYPTONYM[:PEACEBRIDE:]</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D380" w14:textId="77777777" w:rsidR="008000AB" w:rsidRDefault="008000AB" w:rsidP="005B7682">
      <w:pPr>
        <w:spacing w:after="0" w:line="240" w:lineRule="auto"/>
      </w:pPr>
      <w:r>
        <w:separator/>
      </w:r>
    </w:p>
  </w:endnote>
  <w:endnote w:type="continuationSeparator" w:id="0">
    <w:p w14:paraId="34EBD091" w14:textId="77777777" w:rsidR="008000AB" w:rsidRDefault="008000A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00895" w14:textId="77777777" w:rsidR="00E71AFF" w:rsidRDefault="00E71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243EB1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71AFF">
              <w:rPr>
                <w:b/>
                <w:bCs/>
                <w:u w:val="single"/>
              </w:rPr>
              <w:t>GLOBAL SECURITY SYSTEMS</w:t>
            </w:r>
            <w:r w:rsidR="00E71AFF" w:rsidRPr="00430C2B">
              <w:rPr>
                <w:b/>
                <w:bCs/>
              </w:rPr>
              <w:t>®, INC.</w:t>
            </w:r>
            <w:r w:rsidR="00E71AFF" w:rsidRPr="00430C2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7C28" w14:textId="77777777" w:rsidR="00E71AFF" w:rsidRDefault="00E71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0FBA" w14:textId="77777777" w:rsidR="008000AB" w:rsidRDefault="008000AB" w:rsidP="005B7682">
      <w:pPr>
        <w:spacing w:after="0" w:line="240" w:lineRule="auto"/>
      </w:pPr>
      <w:r>
        <w:separator/>
      </w:r>
    </w:p>
  </w:footnote>
  <w:footnote w:type="continuationSeparator" w:id="0">
    <w:p w14:paraId="262E9133" w14:textId="77777777" w:rsidR="008000AB" w:rsidRDefault="008000A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D727" w14:textId="77777777" w:rsidR="00E71AFF" w:rsidRDefault="00E71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FC65B4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71AFF">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5C3B2E5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E71AFF">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E71AFF">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5237" w14:textId="77777777" w:rsidR="00E71AFF" w:rsidRDefault="00E71A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0C2B"/>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00AB"/>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1AFF"/>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38</Pages>
  <Words>12287</Words>
  <Characters>70039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2022-08-24T21:46:00Z</dcterms:created>
  <dcterms:modified xsi:type="dcterms:W3CDTF">2023-02-08T00:15:00Z</dcterms:modified>
</cp:coreProperties>
</file>