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proofErr w:type="gramStart"/>
      <w:r w:rsidR="00CA265F" w:rsidRPr="00F71FBD">
        <w:rPr>
          <w:b/>
          <w:bCs/>
          <w:color w:val="7030A0"/>
          <w:highlight w:val="yellow"/>
        </w:rPr>
        <w:t>OPERATED</w:t>
      </w:r>
      <w:r w:rsidR="00CA265F">
        <w:rPr>
          <w:highlight w:val="yellow"/>
        </w:rPr>
        <w:t>,</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w:t>
      </w:r>
      <w:r>
        <w:rPr>
          <w:highlight w:val="yellow"/>
          <w:u w:val="single"/>
        </w:rPr>
        <w:t>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w:t>
      </w:r>
      <w:r>
        <w:rPr>
          <w:b/>
          <w:bCs/>
          <w:color w:val="FF0000"/>
          <w:highlight w:val="yellow"/>
        </w:rPr>
        <w:t>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CC0D" w14:textId="77777777" w:rsidR="002A1BE5" w:rsidRDefault="002A1BE5" w:rsidP="005B7682">
      <w:pPr>
        <w:spacing w:after="0" w:line="240" w:lineRule="auto"/>
      </w:pPr>
      <w:r>
        <w:separator/>
      </w:r>
    </w:p>
  </w:endnote>
  <w:endnote w:type="continuationSeparator" w:id="0">
    <w:p w14:paraId="72AA1ABA" w14:textId="77777777" w:rsidR="002A1BE5" w:rsidRDefault="002A1BE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ED32" w14:textId="77777777" w:rsidR="002A1BE5" w:rsidRDefault="002A1BE5" w:rsidP="005B7682">
      <w:pPr>
        <w:spacing w:after="0" w:line="240" w:lineRule="auto"/>
      </w:pPr>
      <w:r>
        <w:separator/>
      </w:r>
    </w:p>
  </w:footnote>
  <w:footnote w:type="continuationSeparator" w:id="0">
    <w:p w14:paraId="2518CD0E" w14:textId="77777777" w:rsidR="002A1BE5" w:rsidRDefault="002A1BE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136</Pages>
  <Words>32096</Words>
  <Characters>182949</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2022-10-10T17:37:00Z</dcterms:created>
  <dcterms:modified xsi:type="dcterms:W3CDTF">2022-10-10T17:40:00Z</dcterms:modified>
</cp:coreProperties>
</file>