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A831159" w:rsidR="009B00FA" w:rsidRDefault="009B2909" w:rsidP="00B111EA">
      <w:pPr>
        <w:jc w:val="center"/>
        <w:rPr>
          <w:bCs/>
          <w:sz w:val="28"/>
          <w:szCs w:val="28"/>
        </w:rPr>
      </w:pPr>
      <w:r>
        <w:rPr>
          <w:bCs/>
          <w:sz w:val="28"/>
          <w:szCs w:val="28"/>
        </w:rPr>
        <w:t>9/15/2024 4:35:46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RADDISH</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w:t>
      </w:r>
      <w:r>
        <w:t>PERSONAL</w:t>
      </w:r>
      <w:r>
        <w:t>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NON-PERSONAL </w:t>
      </w:r>
      <w:r>
        <w:rPr>
          <w:b/>
          <w:bCs/>
          <w:color w:val="FF0000"/>
        </w:rPr>
        <w:t>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988A2" w14:textId="77777777" w:rsidR="00771B53" w:rsidRDefault="00771B53" w:rsidP="005B7682">
      <w:pPr>
        <w:spacing w:after="0" w:line="240" w:lineRule="auto"/>
      </w:pPr>
      <w:r>
        <w:separator/>
      </w:r>
    </w:p>
  </w:endnote>
  <w:endnote w:type="continuationSeparator" w:id="0">
    <w:p w14:paraId="6DE210C8" w14:textId="77777777" w:rsidR="00771B53" w:rsidRDefault="00771B5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92D70" w14:textId="77777777" w:rsidR="00771B53" w:rsidRDefault="00771B53" w:rsidP="005B7682">
      <w:pPr>
        <w:spacing w:after="0" w:line="240" w:lineRule="auto"/>
      </w:pPr>
      <w:r>
        <w:separator/>
      </w:r>
    </w:p>
  </w:footnote>
  <w:footnote w:type="continuationSeparator" w:id="0">
    <w:p w14:paraId="333B19C8" w14:textId="77777777" w:rsidR="00771B53" w:rsidRDefault="00771B5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76</Pages>
  <Words>7564</Words>
  <Characters>43120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2024-09-15T20:36:00Z</dcterms:created>
  <dcterms:modified xsi:type="dcterms:W3CDTF">2024-09-15T20:36:00Z</dcterms:modified>
</cp:coreProperties>
</file>