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47067375" w:rsidR="00943B61" w:rsidRPr="00835B17" w:rsidRDefault="00CD57BF"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5D881AA8" w:rsidR="00943B61" w:rsidRPr="00E839FE" w:rsidRDefault="00CD57BF"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CD57BF" w:rsidRDefault="00943B61" w:rsidP="00943B61">
      <w:pPr>
        <w:pStyle w:val="Heading1"/>
        <w:jc w:val="center"/>
        <w:rPr>
          <w:rFonts w:ascii="Arial Black" w:hAnsi="Arial Black"/>
          <w:color w:val="0070C0"/>
        </w:rPr>
      </w:pPr>
      <w:r w:rsidRPr="00CD57BF">
        <w:rPr>
          <w:rFonts w:ascii="Arial Black" w:hAnsi="Arial Black"/>
          <w:color w:val="0070C0"/>
        </w:rPr>
        <w:t>WORLD TRADE SYSTEMS</w:t>
      </w:r>
    </w:p>
    <w:p w14:paraId="1A13F184" w14:textId="4E5E1144" w:rsidR="00CD57BF" w:rsidRPr="00CD57BF" w:rsidRDefault="00CD57BF" w:rsidP="00CD57BF">
      <w:pPr>
        <w:pStyle w:val="Heading1"/>
        <w:jc w:val="center"/>
        <w:rPr>
          <w:rFonts w:ascii="Arial Black" w:hAnsi="Arial Black"/>
          <w:color w:val="00B050"/>
          <w:sz w:val="28"/>
          <w:szCs w:val="28"/>
        </w:rPr>
      </w:pPr>
      <w:r w:rsidRPr="00CD57BF">
        <w:rPr>
          <w:rFonts w:ascii="Arial Black" w:hAnsi="Arial Black"/>
          <w:color w:val="00B050"/>
          <w:sz w:val="28"/>
          <w:szCs w:val="28"/>
        </w:rPr>
        <w:t>INTELLECTUAL PROPERTY REPORTING SYSTEMS (IP/RS)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541EB4DA" w:rsidR="00074C5F" w:rsidRDefault="000B5770" w:rsidP="00B111EA">
      <w:pPr>
        <w:jc w:val="center"/>
        <w:rPr>
          <w:bCs/>
          <w:sz w:val="28"/>
          <w:szCs w:val="28"/>
        </w:rPr>
      </w:pPr>
      <w:r>
        <w:rPr>
          <w:bCs/>
          <w:sz w:val="28"/>
          <w:szCs w:val="28"/>
        </w:rPr>
        <w:t>11/3/2023 5:30:32 PM</w:t>
      </w:r>
    </w:p>
    <w:p w14:paraId="4E02245D" w14:textId="4E4B04FF" w:rsidR="00286988" w:rsidRPr="00286988" w:rsidRDefault="008A4662" w:rsidP="00CD57BF">
      <w:pPr>
        <w:rPr>
          <w:b/>
          <w:bCs/>
        </w:rPr>
      </w:pPr>
      <w:bookmarkStart w:id="0" w:name="_Hlk149923959"/>
      <w:r>
        <w:rPr>
          <w:b/>
          <w:sz w:val="24"/>
        </w:rPr>
        <w:lastRenderedPageBreak/>
        <w:t>INTELLECTUAL PROPERTY REPORTING SYSTEMS (IP</w:t>
      </w:r>
      <w:r w:rsidR="00870CA9">
        <w:rPr>
          <w:b/>
          <w:sz w:val="24"/>
        </w:rPr>
        <w:t>/RS)</w:t>
      </w:r>
      <w:bookmarkEnd w:id="0"/>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5CD774B1"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w:t>
      </w:r>
      <w:r w:rsidR="006B529F" w:rsidRPr="004907AA">
        <w:t>the</w:t>
      </w:r>
      <w:r w:rsidR="006B529F">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24B639C6"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6E4D1724" w14:textId="77777777" w:rsidR="000C788C" w:rsidRPr="006C5F95" w:rsidRDefault="000C788C" w:rsidP="00CD57BF"/>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BDAC" w14:textId="77777777" w:rsidR="0087452D" w:rsidRDefault="0087452D" w:rsidP="005B7682">
      <w:pPr>
        <w:spacing w:after="0" w:line="240" w:lineRule="auto"/>
      </w:pPr>
      <w:r>
        <w:separator/>
      </w:r>
    </w:p>
  </w:endnote>
  <w:endnote w:type="continuationSeparator" w:id="0">
    <w:p w14:paraId="04D9DC9D" w14:textId="77777777" w:rsidR="0087452D" w:rsidRDefault="0087452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42401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5770">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BC87" w14:textId="77777777" w:rsidR="0087452D" w:rsidRDefault="0087452D" w:rsidP="005B7682">
      <w:pPr>
        <w:spacing w:after="0" w:line="240" w:lineRule="auto"/>
      </w:pPr>
      <w:r>
        <w:separator/>
      </w:r>
    </w:p>
  </w:footnote>
  <w:footnote w:type="continuationSeparator" w:id="0">
    <w:p w14:paraId="670E6E7F" w14:textId="77777777" w:rsidR="0087452D" w:rsidRDefault="0087452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770"/>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52D"/>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21DF"/>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7B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2023-11-03T21:14:00Z</dcterms:created>
  <dcterms:modified xsi:type="dcterms:W3CDTF">2023-11-03T21:30:00Z</dcterms:modified>
</cp:coreProperties>
</file>