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D01F71" w14:textId="77777777" w:rsidR="003E6BC6" w:rsidRPr="002B5A39" w:rsidRDefault="003E6BC6" w:rsidP="003E6BC6">
      <w:pPr>
        <w:jc w:val="center"/>
        <w:rPr>
          <w:rFonts w:ascii="Times New Roman" w:hAnsi="Times New Roman" w:cs="Times New Roman"/>
          <w:lang w:val="en-CA"/>
        </w:rPr>
      </w:pPr>
    </w:p>
    <w:p w14:paraId="0CAC1F67" w14:textId="77777777" w:rsidR="00CE1CD9" w:rsidRPr="002B5A39" w:rsidRDefault="00CE1CD9" w:rsidP="003E6BC6">
      <w:pPr>
        <w:jc w:val="center"/>
        <w:rPr>
          <w:rFonts w:ascii="Times New Roman" w:hAnsi="Times New Roman" w:cs="Times New Roman"/>
          <w:lang w:val="en-CA"/>
        </w:rPr>
      </w:pPr>
    </w:p>
    <w:p w14:paraId="423D63F2" w14:textId="77777777" w:rsidR="00CE1CD9" w:rsidRPr="002B5A39" w:rsidRDefault="00CE1CD9" w:rsidP="003E6BC6">
      <w:pPr>
        <w:jc w:val="center"/>
        <w:rPr>
          <w:rFonts w:ascii="Times New Roman" w:hAnsi="Times New Roman" w:cs="Times New Roman"/>
          <w:lang w:val="en-CA"/>
        </w:rPr>
      </w:pPr>
    </w:p>
    <w:p w14:paraId="4830173A" w14:textId="77777777" w:rsidR="00CE1CD9" w:rsidRPr="002B5A39" w:rsidRDefault="00CE1CD9" w:rsidP="003E6BC6">
      <w:pPr>
        <w:jc w:val="center"/>
        <w:rPr>
          <w:rFonts w:ascii="Times New Roman" w:hAnsi="Times New Roman" w:cs="Times New Roman"/>
          <w:b/>
          <w:lang w:val="en-CA"/>
        </w:rPr>
      </w:pPr>
    </w:p>
    <w:p w14:paraId="2C530958" w14:textId="72F0EC0B" w:rsidR="00E47F0A" w:rsidRPr="002B5A39" w:rsidRDefault="00BB5505" w:rsidP="003E6BC6">
      <w:pPr>
        <w:jc w:val="center"/>
        <w:rPr>
          <w:rFonts w:ascii="Times New Roman" w:hAnsi="Times New Roman" w:cs="Times New Roman"/>
          <w:b/>
          <w:i/>
          <w:iCs/>
          <w:lang w:val="en-CA"/>
        </w:rPr>
      </w:pPr>
      <w:r w:rsidRPr="002B5A39">
        <w:rPr>
          <w:rFonts w:ascii="Times New Roman" w:hAnsi="Times New Roman" w:cs="Times New Roman"/>
          <w:b/>
          <w:lang w:val="en-CA"/>
        </w:rPr>
        <w:t>Examining the Relationship Between Conflict and State-Led Mass Killings</w:t>
      </w:r>
    </w:p>
    <w:p w14:paraId="270D254B" w14:textId="77777777" w:rsidR="00E47F0A" w:rsidRPr="002B5A39" w:rsidRDefault="00E47F0A" w:rsidP="003E6BC6">
      <w:pPr>
        <w:jc w:val="center"/>
        <w:rPr>
          <w:rFonts w:ascii="Times New Roman" w:hAnsi="Times New Roman" w:cs="Times New Roman"/>
          <w:b/>
          <w:lang w:val="en-CA"/>
        </w:rPr>
      </w:pPr>
    </w:p>
    <w:p w14:paraId="77F7DD84" w14:textId="77777777" w:rsidR="00CE1CD9" w:rsidRPr="002B5A39" w:rsidRDefault="00CE1CD9" w:rsidP="003E6BC6">
      <w:pPr>
        <w:jc w:val="center"/>
        <w:rPr>
          <w:rFonts w:ascii="Times New Roman" w:hAnsi="Times New Roman" w:cs="Times New Roman"/>
          <w:b/>
          <w:lang w:val="en-CA"/>
        </w:rPr>
      </w:pPr>
    </w:p>
    <w:p w14:paraId="3E5C8444" w14:textId="77777777" w:rsidR="003E6BC6" w:rsidRPr="002B5A39" w:rsidRDefault="003E6BC6" w:rsidP="003E6BC6">
      <w:pPr>
        <w:jc w:val="center"/>
        <w:rPr>
          <w:rFonts w:ascii="Times New Roman" w:hAnsi="Times New Roman" w:cs="Times New Roman"/>
          <w:lang w:val="en-CA"/>
        </w:rPr>
      </w:pPr>
    </w:p>
    <w:p w14:paraId="1B568BBA" w14:textId="4837FFCF" w:rsidR="003E6BC6" w:rsidRPr="002B5A39" w:rsidRDefault="00FF1150" w:rsidP="003E6BC6">
      <w:pPr>
        <w:spacing w:line="480" w:lineRule="auto"/>
        <w:jc w:val="center"/>
        <w:rPr>
          <w:rFonts w:ascii="Times New Roman" w:hAnsi="Times New Roman" w:cs="Times New Roman"/>
          <w:lang w:val="en-CA"/>
        </w:rPr>
      </w:pPr>
      <w:r w:rsidRPr="002B5A39">
        <w:rPr>
          <w:rFonts w:ascii="Times New Roman" w:hAnsi="Times New Roman" w:cs="Times New Roman"/>
          <w:lang w:val="en-CA"/>
        </w:rPr>
        <w:t>Liam Palcu-Johnston</w:t>
      </w:r>
    </w:p>
    <w:p w14:paraId="235CB9A5" w14:textId="69C7F6DC" w:rsidR="00CE1CD9" w:rsidRPr="002B5A39" w:rsidRDefault="00CE1CD9" w:rsidP="003E6BC6">
      <w:pPr>
        <w:spacing w:line="480" w:lineRule="auto"/>
        <w:jc w:val="center"/>
        <w:rPr>
          <w:rFonts w:ascii="Times New Roman" w:hAnsi="Times New Roman" w:cs="Times New Roman"/>
          <w:lang w:val="en-CA"/>
        </w:rPr>
      </w:pPr>
      <w:r w:rsidRPr="002B5A39">
        <w:rPr>
          <w:rFonts w:ascii="Times New Roman" w:hAnsi="Times New Roman" w:cs="Times New Roman"/>
          <w:lang w:val="en-CA"/>
        </w:rPr>
        <w:t>Department of</w:t>
      </w:r>
      <w:r w:rsidR="00374B9C" w:rsidRPr="002B5A39">
        <w:rPr>
          <w:rFonts w:ascii="Times New Roman" w:hAnsi="Times New Roman" w:cs="Times New Roman"/>
          <w:lang w:val="en-CA"/>
        </w:rPr>
        <w:t xml:space="preserve"> </w:t>
      </w:r>
      <w:r w:rsidR="00FF1150" w:rsidRPr="002B5A39">
        <w:rPr>
          <w:rFonts w:ascii="Times New Roman" w:hAnsi="Times New Roman" w:cs="Times New Roman"/>
          <w:lang w:val="en-CA"/>
        </w:rPr>
        <w:t>Political Science</w:t>
      </w:r>
      <w:r w:rsidRPr="002B5A39">
        <w:rPr>
          <w:rFonts w:ascii="Times New Roman" w:hAnsi="Times New Roman" w:cs="Times New Roman"/>
          <w:lang w:val="en-CA"/>
        </w:rPr>
        <w:t xml:space="preserve">, </w:t>
      </w:r>
      <w:r w:rsidR="00FF1150" w:rsidRPr="002B5A39">
        <w:rPr>
          <w:rFonts w:ascii="Times New Roman" w:hAnsi="Times New Roman" w:cs="Times New Roman"/>
          <w:lang w:val="en-CA"/>
        </w:rPr>
        <w:t>McGill University</w:t>
      </w:r>
    </w:p>
    <w:p w14:paraId="757C9AE0" w14:textId="77777777" w:rsidR="00BB5505" w:rsidRPr="002B5A39" w:rsidRDefault="00BB5505" w:rsidP="003E6BC6">
      <w:pPr>
        <w:spacing w:line="480" w:lineRule="auto"/>
        <w:jc w:val="center"/>
        <w:rPr>
          <w:rFonts w:ascii="Times New Roman" w:hAnsi="Times New Roman" w:cs="Times New Roman"/>
        </w:rPr>
      </w:pPr>
      <w:r w:rsidRPr="002B5A39">
        <w:rPr>
          <w:rFonts w:ascii="Times New Roman" w:hAnsi="Times New Roman" w:cs="Times New Roman"/>
        </w:rPr>
        <w:t>POLI 618: Quantitative Analysis</w:t>
      </w:r>
    </w:p>
    <w:p w14:paraId="213A7D33" w14:textId="5EC30718" w:rsidR="00CE1CD9" w:rsidRPr="002B5A39" w:rsidRDefault="00FF1150" w:rsidP="003E6BC6">
      <w:pPr>
        <w:spacing w:line="480" w:lineRule="auto"/>
        <w:jc w:val="center"/>
        <w:rPr>
          <w:rFonts w:ascii="Times New Roman" w:hAnsi="Times New Roman" w:cs="Times New Roman"/>
          <w:lang w:val="en-CA"/>
        </w:rPr>
      </w:pPr>
      <w:r w:rsidRPr="002B5A39">
        <w:rPr>
          <w:rFonts w:ascii="Times New Roman" w:hAnsi="Times New Roman" w:cs="Times New Roman"/>
          <w:lang w:val="en-CA"/>
        </w:rPr>
        <w:t xml:space="preserve">Dr. </w:t>
      </w:r>
      <w:r w:rsidR="00BB5505" w:rsidRPr="002B5A39">
        <w:rPr>
          <w:rFonts w:ascii="Times New Roman" w:hAnsi="Times New Roman" w:cs="Times New Roman"/>
        </w:rPr>
        <w:t>Elissa Berwick</w:t>
      </w:r>
    </w:p>
    <w:p w14:paraId="1C5043FF" w14:textId="17F3956F" w:rsidR="00A2147E" w:rsidRPr="002B5A39" w:rsidRDefault="00A2147E" w:rsidP="003E6BC6">
      <w:pPr>
        <w:spacing w:line="480" w:lineRule="auto"/>
        <w:jc w:val="center"/>
        <w:rPr>
          <w:rFonts w:ascii="Times New Roman" w:hAnsi="Times New Roman" w:cs="Times New Roman"/>
          <w:lang w:val="en-CA"/>
        </w:rPr>
      </w:pPr>
      <w:r w:rsidRPr="002B5A39">
        <w:rPr>
          <w:rFonts w:ascii="Times New Roman" w:hAnsi="Times New Roman" w:cs="Times New Roman"/>
          <w:lang w:val="en-CA"/>
        </w:rPr>
        <w:t>Word Count:</w:t>
      </w:r>
      <w:r w:rsidR="00811B3A" w:rsidRPr="002B5A39">
        <w:rPr>
          <w:rFonts w:ascii="Times New Roman" w:hAnsi="Times New Roman" w:cs="Times New Roman"/>
          <w:lang w:val="en-CA"/>
        </w:rPr>
        <w:t xml:space="preserve"> </w:t>
      </w:r>
      <w:r w:rsidR="001A1344">
        <w:rPr>
          <w:rFonts w:ascii="Times New Roman" w:hAnsi="Times New Roman" w:cs="Times New Roman"/>
          <w:lang w:val="en-CA"/>
        </w:rPr>
        <w:t>4571</w:t>
      </w:r>
    </w:p>
    <w:p w14:paraId="364ED463" w14:textId="2FEDAE2F" w:rsidR="00A2147E" w:rsidRPr="002B5A39" w:rsidRDefault="00A2147E" w:rsidP="003E6BC6">
      <w:pPr>
        <w:spacing w:line="480" w:lineRule="auto"/>
        <w:jc w:val="center"/>
        <w:rPr>
          <w:rFonts w:ascii="Times New Roman" w:hAnsi="Times New Roman" w:cs="Times New Roman"/>
          <w:lang w:val="en-CA"/>
        </w:rPr>
      </w:pPr>
      <w:r w:rsidRPr="002B5A39">
        <w:rPr>
          <w:rFonts w:ascii="Times New Roman" w:hAnsi="Times New Roman" w:cs="Times New Roman"/>
          <w:lang w:val="en-CA"/>
        </w:rPr>
        <w:t xml:space="preserve">Student ID: </w:t>
      </w:r>
      <w:r w:rsidRPr="002B5A39">
        <w:rPr>
          <w:rFonts w:ascii="Times New Roman" w:hAnsi="Times New Roman" w:cs="Times New Roman"/>
          <w:shd w:val="clear" w:color="auto" w:fill="FFFFFF"/>
        </w:rPr>
        <w:t>260957379</w:t>
      </w:r>
    </w:p>
    <w:p w14:paraId="789A8501" w14:textId="0FD82F53" w:rsidR="00374B9C" w:rsidRPr="002B5A39" w:rsidRDefault="00D477B8" w:rsidP="003E6BC6">
      <w:pPr>
        <w:spacing w:line="480" w:lineRule="auto"/>
        <w:jc w:val="center"/>
        <w:rPr>
          <w:rFonts w:ascii="Times New Roman" w:hAnsi="Times New Roman" w:cs="Times New Roman"/>
          <w:lang w:val="en-CA"/>
        </w:rPr>
      </w:pPr>
      <w:r w:rsidRPr="002B5A39">
        <w:rPr>
          <w:rFonts w:ascii="Times New Roman" w:hAnsi="Times New Roman" w:cs="Times New Roman"/>
          <w:lang w:val="en-CA"/>
        </w:rPr>
        <w:t>Dec</w:t>
      </w:r>
      <w:r w:rsidR="00DD650C" w:rsidRPr="002B5A39">
        <w:rPr>
          <w:rFonts w:ascii="Times New Roman" w:hAnsi="Times New Roman" w:cs="Times New Roman"/>
          <w:lang w:val="en-CA"/>
        </w:rPr>
        <w:t>.</w:t>
      </w:r>
      <w:r w:rsidR="00406CF6" w:rsidRPr="002B5A39">
        <w:rPr>
          <w:rFonts w:ascii="Times New Roman" w:hAnsi="Times New Roman" w:cs="Times New Roman"/>
          <w:lang w:val="en-CA"/>
        </w:rPr>
        <w:t xml:space="preserve"> </w:t>
      </w:r>
      <w:r w:rsidRPr="002B5A39">
        <w:rPr>
          <w:rFonts w:ascii="Times New Roman" w:hAnsi="Times New Roman" w:cs="Times New Roman"/>
          <w:lang w:val="en-CA"/>
        </w:rPr>
        <w:t>1</w:t>
      </w:r>
      <w:r w:rsidR="00BB5505" w:rsidRPr="002B5A39">
        <w:rPr>
          <w:rFonts w:ascii="Times New Roman" w:hAnsi="Times New Roman" w:cs="Times New Roman"/>
          <w:lang w:val="en-CA"/>
        </w:rPr>
        <w:t>8</w:t>
      </w:r>
      <w:r w:rsidR="00AC5049" w:rsidRPr="002B5A39">
        <w:rPr>
          <w:rFonts w:ascii="Times New Roman" w:hAnsi="Times New Roman" w:cs="Times New Roman"/>
          <w:lang w:val="en-CA"/>
        </w:rPr>
        <w:t xml:space="preserve">, </w:t>
      </w:r>
      <w:r w:rsidR="00FF1150" w:rsidRPr="002B5A39">
        <w:rPr>
          <w:rFonts w:ascii="Times New Roman" w:hAnsi="Times New Roman" w:cs="Times New Roman"/>
          <w:lang w:val="en-CA"/>
        </w:rPr>
        <w:t>2020</w:t>
      </w:r>
    </w:p>
    <w:p w14:paraId="4A6585E2" w14:textId="18BC3156" w:rsidR="00C049D8" w:rsidRPr="002B5A39" w:rsidRDefault="00C049D8" w:rsidP="003E6BC6">
      <w:pPr>
        <w:spacing w:line="480" w:lineRule="auto"/>
        <w:jc w:val="center"/>
        <w:rPr>
          <w:rFonts w:ascii="Times New Roman" w:hAnsi="Times New Roman" w:cs="Times New Roman"/>
          <w:lang w:val="en-CA"/>
        </w:rPr>
      </w:pPr>
    </w:p>
    <w:p w14:paraId="105B1A96" w14:textId="77777777" w:rsidR="00E47F0A" w:rsidRPr="002B5A39" w:rsidRDefault="00E47F0A" w:rsidP="003E6BC6">
      <w:pPr>
        <w:spacing w:line="480" w:lineRule="auto"/>
        <w:jc w:val="center"/>
        <w:rPr>
          <w:rFonts w:ascii="Times New Roman" w:hAnsi="Times New Roman" w:cs="Times New Roman"/>
          <w:lang w:val="en-CA"/>
        </w:rPr>
      </w:pPr>
    </w:p>
    <w:p w14:paraId="121798EE" w14:textId="77777777" w:rsidR="00E47F0A" w:rsidRPr="002B5A39" w:rsidRDefault="00E47F0A" w:rsidP="003E6BC6">
      <w:pPr>
        <w:spacing w:line="480" w:lineRule="auto"/>
        <w:jc w:val="center"/>
        <w:rPr>
          <w:rFonts w:ascii="Times New Roman" w:hAnsi="Times New Roman" w:cs="Times New Roman"/>
          <w:lang w:val="en-CA"/>
        </w:rPr>
      </w:pPr>
    </w:p>
    <w:p w14:paraId="2E528AEC" w14:textId="77777777" w:rsidR="00E47F0A" w:rsidRPr="002B5A39" w:rsidRDefault="00E47F0A" w:rsidP="003E6BC6">
      <w:pPr>
        <w:spacing w:line="480" w:lineRule="auto"/>
        <w:jc w:val="center"/>
        <w:rPr>
          <w:rFonts w:ascii="Times New Roman" w:hAnsi="Times New Roman" w:cs="Times New Roman"/>
          <w:lang w:val="en-CA"/>
        </w:rPr>
      </w:pPr>
    </w:p>
    <w:p w14:paraId="2FA85CDF" w14:textId="77777777" w:rsidR="00E47F0A" w:rsidRPr="002B5A39" w:rsidRDefault="00E47F0A" w:rsidP="003E6BC6">
      <w:pPr>
        <w:spacing w:line="480" w:lineRule="auto"/>
        <w:jc w:val="center"/>
        <w:rPr>
          <w:rFonts w:ascii="Times New Roman" w:hAnsi="Times New Roman" w:cs="Times New Roman"/>
          <w:lang w:val="en-CA"/>
        </w:rPr>
      </w:pPr>
    </w:p>
    <w:p w14:paraId="68FFA862" w14:textId="77777777" w:rsidR="00E47F0A" w:rsidRPr="002B5A39" w:rsidRDefault="00E47F0A" w:rsidP="003E6BC6">
      <w:pPr>
        <w:spacing w:line="480" w:lineRule="auto"/>
        <w:jc w:val="center"/>
        <w:rPr>
          <w:rFonts w:ascii="Times New Roman" w:hAnsi="Times New Roman" w:cs="Times New Roman"/>
          <w:lang w:val="en-CA"/>
        </w:rPr>
      </w:pPr>
    </w:p>
    <w:p w14:paraId="32EB9B7B" w14:textId="77777777" w:rsidR="00E47F0A" w:rsidRPr="002B5A39" w:rsidRDefault="00E47F0A" w:rsidP="003E6BC6">
      <w:pPr>
        <w:spacing w:line="480" w:lineRule="auto"/>
        <w:jc w:val="center"/>
        <w:rPr>
          <w:rFonts w:ascii="Times New Roman" w:hAnsi="Times New Roman" w:cs="Times New Roman"/>
          <w:lang w:val="en-CA"/>
        </w:rPr>
      </w:pPr>
    </w:p>
    <w:p w14:paraId="13B89C65" w14:textId="77777777" w:rsidR="00E47F0A" w:rsidRPr="002B5A39" w:rsidRDefault="00E47F0A" w:rsidP="003E6BC6">
      <w:pPr>
        <w:spacing w:line="480" w:lineRule="auto"/>
        <w:jc w:val="center"/>
        <w:rPr>
          <w:rFonts w:ascii="Times New Roman" w:hAnsi="Times New Roman" w:cs="Times New Roman"/>
          <w:lang w:val="en-CA"/>
        </w:rPr>
      </w:pPr>
    </w:p>
    <w:p w14:paraId="2C5498F2" w14:textId="77777777" w:rsidR="00E47F0A" w:rsidRPr="002B5A39" w:rsidRDefault="00E47F0A" w:rsidP="003E6BC6">
      <w:pPr>
        <w:spacing w:line="480" w:lineRule="auto"/>
        <w:jc w:val="center"/>
        <w:rPr>
          <w:rFonts w:ascii="Times New Roman" w:hAnsi="Times New Roman" w:cs="Times New Roman"/>
          <w:lang w:val="en-CA"/>
        </w:rPr>
      </w:pPr>
    </w:p>
    <w:p w14:paraId="447C55FA" w14:textId="77777777" w:rsidR="00E47F0A" w:rsidRPr="002B5A39" w:rsidRDefault="00E47F0A" w:rsidP="003E6BC6">
      <w:pPr>
        <w:spacing w:line="480" w:lineRule="auto"/>
        <w:jc w:val="center"/>
        <w:rPr>
          <w:rFonts w:ascii="Times New Roman" w:hAnsi="Times New Roman" w:cs="Times New Roman"/>
          <w:lang w:val="en-CA"/>
        </w:rPr>
      </w:pPr>
    </w:p>
    <w:p w14:paraId="1391A0FB" w14:textId="77777777" w:rsidR="00E47F0A" w:rsidRPr="002B5A39" w:rsidRDefault="00E47F0A" w:rsidP="00716A2D">
      <w:pPr>
        <w:spacing w:line="480" w:lineRule="auto"/>
        <w:rPr>
          <w:rFonts w:ascii="Times New Roman" w:hAnsi="Times New Roman" w:cs="Times New Roman"/>
          <w:lang w:val="en-CA"/>
        </w:rPr>
      </w:pPr>
    </w:p>
    <w:p w14:paraId="42AA7839" w14:textId="77777777" w:rsidR="006F7071" w:rsidRPr="002B5A39" w:rsidRDefault="006F7071" w:rsidP="006F7071">
      <w:pPr>
        <w:rPr>
          <w:rFonts w:ascii="Times New Roman" w:hAnsi="Times New Roman" w:cs="Times New Roman"/>
          <w:lang w:val="en-CA"/>
        </w:rPr>
      </w:pPr>
    </w:p>
    <w:p w14:paraId="28044566" w14:textId="77777777" w:rsidR="00BB5505" w:rsidRPr="002B5A39" w:rsidRDefault="00BB5505" w:rsidP="00BB5505">
      <w:pPr>
        <w:rPr>
          <w:rFonts w:ascii="Times New Roman" w:eastAsia="Times New Roman" w:hAnsi="Times New Roman" w:cs="Times New Roman"/>
          <w:lang w:val="en-CA" w:eastAsia="en-CA"/>
        </w:rPr>
      </w:pPr>
    </w:p>
    <w:p w14:paraId="414A489B" w14:textId="59944412" w:rsidR="00D477B8" w:rsidRPr="002B5A39" w:rsidRDefault="00BB5505" w:rsidP="00BB5505">
      <w:pPr>
        <w:ind w:firstLine="720"/>
        <w:rPr>
          <w:rFonts w:ascii="Times New Roman" w:hAnsi="Times New Roman" w:cs="Times New Roman"/>
          <w:b/>
          <w:i/>
          <w:iCs/>
          <w:lang w:val="en-CA"/>
        </w:rPr>
      </w:pPr>
      <w:r w:rsidRPr="002B5A39">
        <w:rPr>
          <w:rFonts w:ascii="Times New Roman" w:hAnsi="Times New Roman" w:cs="Times New Roman"/>
          <w:b/>
          <w:lang w:val="en-CA"/>
        </w:rPr>
        <w:lastRenderedPageBreak/>
        <w:t>Examining the Relationship Between Conflict and State-Led Mass Killings</w:t>
      </w:r>
    </w:p>
    <w:p w14:paraId="12A5D901" w14:textId="5DCD4351" w:rsidR="00BB5505" w:rsidRPr="0042157B" w:rsidRDefault="00090930" w:rsidP="00BB5505">
      <w:pPr>
        <w:pStyle w:val="FirstParagraph"/>
        <w:spacing w:line="480" w:lineRule="auto"/>
        <w:ind w:firstLine="720"/>
        <w:rPr>
          <w:rFonts w:ascii="Times New Roman" w:hAnsi="Times New Roman" w:cs="Times New Roman"/>
        </w:rPr>
      </w:pPr>
      <w:r w:rsidRPr="0042157B">
        <w:rPr>
          <w:rFonts w:ascii="Times New Roman" w:hAnsi="Times New Roman" w:cs="Times New Roman"/>
        </w:rPr>
        <w:t>In this paper, I explore how civil war e</w:t>
      </w:r>
      <w:r w:rsidR="00BB5505" w:rsidRPr="0042157B">
        <w:rPr>
          <w:rFonts w:ascii="Times New Roman" w:hAnsi="Times New Roman" w:cs="Times New Roman"/>
        </w:rPr>
        <w:t xml:space="preserve">ffects instances of mass killings. I build on Daniel </w:t>
      </w:r>
      <w:proofErr w:type="spellStart"/>
      <w:r w:rsidR="00BB5505" w:rsidRPr="0042157B">
        <w:rPr>
          <w:rFonts w:ascii="Times New Roman" w:hAnsi="Times New Roman" w:cs="Times New Roman"/>
        </w:rPr>
        <w:t>Kcramric’s</w:t>
      </w:r>
      <w:proofErr w:type="spellEnd"/>
      <w:r w:rsidR="00BB5505" w:rsidRPr="0042157B">
        <w:rPr>
          <w:rFonts w:ascii="Times New Roman" w:hAnsi="Times New Roman" w:cs="Times New Roman"/>
        </w:rPr>
        <w:t xml:space="preserve"> research, which challenges the conventional view that mass killings are a rational strategy utilized by states to eliminate civilians who may be helping insurgents (</w:t>
      </w:r>
      <w:bookmarkStart w:id="0" w:name="_Hlk59214787"/>
      <w:r w:rsidR="00BB5505" w:rsidRPr="0042157B">
        <w:rPr>
          <w:rFonts w:ascii="Times New Roman" w:hAnsi="Times New Roman" w:cs="Times New Roman"/>
        </w:rPr>
        <w:t xml:space="preserve">Balch-Lindsay, </w:t>
      </w:r>
      <w:proofErr w:type="spellStart"/>
      <w:r w:rsidR="00BB5505" w:rsidRPr="0042157B">
        <w:rPr>
          <w:rFonts w:ascii="Times New Roman" w:hAnsi="Times New Roman" w:cs="Times New Roman"/>
        </w:rPr>
        <w:t>Huth</w:t>
      </w:r>
      <w:proofErr w:type="spellEnd"/>
      <w:r w:rsidR="00BB5505" w:rsidRPr="0042157B">
        <w:rPr>
          <w:rFonts w:ascii="Times New Roman" w:hAnsi="Times New Roman" w:cs="Times New Roman"/>
        </w:rPr>
        <w:t xml:space="preserve"> &amp; Valentino, 2004</w:t>
      </w:r>
      <w:bookmarkEnd w:id="0"/>
      <w:r w:rsidR="00BB5505" w:rsidRPr="0042157B">
        <w:rPr>
          <w:rFonts w:ascii="Times New Roman" w:hAnsi="Times New Roman" w:cs="Times New Roman"/>
        </w:rPr>
        <w:t xml:space="preserve">; </w:t>
      </w:r>
      <w:proofErr w:type="spellStart"/>
      <w:r w:rsidR="00BB5505" w:rsidRPr="0042157B">
        <w:rPr>
          <w:rFonts w:ascii="Times New Roman" w:hAnsi="Times New Roman" w:cs="Times New Roman"/>
        </w:rPr>
        <w:t>Krain</w:t>
      </w:r>
      <w:proofErr w:type="spellEnd"/>
      <w:r w:rsidR="00BB5505" w:rsidRPr="0042157B">
        <w:rPr>
          <w:rFonts w:ascii="Times New Roman" w:hAnsi="Times New Roman" w:cs="Times New Roman"/>
        </w:rPr>
        <w:t xml:space="preserve">, 1997; </w:t>
      </w:r>
      <w:proofErr w:type="spellStart"/>
      <w:r w:rsidR="00BB5505" w:rsidRPr="0042157B">
        <w:rPr>
          <w:rFonts w:ascii="Times New Roman" w:hAnsi="Times New Roman" w:cs="Times New Roman"/>
        </w:rPr>
        <w:t>Krcmaric</w:t>
      </w:r>
      <w:proofErr w:type="spellEnd"/>
      <w:r w:rsidR="00BB5505" w:rsidRPr="0042157B">
        <w:rPr>
          <w:rFonts w:ascii="Times New Roman" w:hAnsi="Times New Roman" w:cs="Times New Roman"/>
        </w:rPr>
        <w:t>, 2017; Valentino, 2014</w:t>
      </w:r>
      <w:bookmarkStart w:id="1" w:name="_Hlk59214828"/>
      <w:r w:rsidR="00BB5505" w:rsidRPr="0042157B">
        <w:rPr>
          <w:rFonts w:ascii="Times New Roman" w:hAnsi="Times New Roman" w:cs="Times New Roman"/>
        </w:rPr>
        <w:t xml:space="preserve">). He counters this position by asserting that if states are rational actors, it is unlikely that mass killings will occur during guerilla war because it is more effective to win over civilians’ hearts and minds rather than eliminate them. </w:t>
      </w:r>
      <w:bookmarkEnd w:id="1"/>
      <w:r w:rsidR="00BB5505" w:rsidRPr="0042157B">
        <w:rPr>
          <w:rFonts w:ascii="Times New Roman" w:hAnsi="Times New Roman" w:cs="Times New Roman"/>
        </w:rPr>
        <w:t>He hypothesizes that conventional warfare is the most likely type of war to increase instances of mass killings (</w:t>
      </w:r>
      <w:proofErr w:type="spellStart"/>
      <w:r w:rsidR="00BB5505" w:rsidRPr="0042157B">
        <w:rPr>
          <w:rFonts w:ascii="Times New Roman" w:hAnsi="Times New Roman" w:cs="Times New Roman"/>
        </w:rPr>
        <w:t>Krcmaric</w:t>
      </w:r>
      <w:proofErr w:type="spellEnd"/>
      <w:r w:rsidR="00BB5505" w:rsidRPr="0042157B">
        <w:rPr>
          <w:rFonts w:ascii="Times New Roman" w:hAnsi="Times New Roman" w:cs="Times New Roman"/>
        </w:rPr>
        <w:t xml:space="preserve">, 2017). I analyze his three models </w:t>
      </w:r>
      <w:r w:rsidRPr="0042157B">
        <w:rPr>
          <w:rFonts w:ascii="Times New Roman" w:hAnsi="Times New Roman" w:cs="Times New Roman"/>
        </w:rPr>
        <w:t>which</w:t>
      </w:r>
      <w:r w:rsidR="00BB5505" w:rsidRPr="0042157B">
        <w:rPr>
          <w:rFonts w:ascii="Times New Roman" w:hAnsi="Times New Roman" w:cs="Times New Roman"/>
        </w:rPr>
        <w:t xml:space="preserve"> test whether guerrilla, SNC, or conventional warfare is most likely to provoke mass killings </w:t>
      </w:r>
      <w:r w:rsidR="00BB5505" w:rsidRPr="0042157B">
        <w:rPr>
          <w:rStyle w:val="FootnoteReference"/>
          <w:rFonts w:ascii="Times New Roman" w:hAnsi="Times New Roman" w:cs="Times New Roman"/>
        </w:rPr>
        <w:footnoteReference w:id="1"/>
      </w:r>
      <w:r w:rsidR="00BB5505" w:rsidRPr="0042157B">
        <w:rPr>
          <w:rFonts w:ascii="Times New Roman" w:hAnsi="Times New Roman" w:cs="Times New Roman"/>
        </w:rPr>
        <w:t>. Based on my analysis,</w:t>
      </w:r>
      <w:r w:rsidRPr="0042157B">
        <w:rPr>
          <w:rFonts w:ascii="Times New Roman" w:hAnsi="Times New Roman" w:cs="Times New Roman"/>
        </w:rPr>
        <w:t xml:space="preserve"> I notice</w:t>
      </w:r>
      <w:r w:rsidR="00BB5505" w:rsidRPr="0042157B">
        <w:rPr>
          <w:rFonts w:ascii="Times New Roman" w:hAnsi="Times New Roman" w:cs="Times New Roman"/>
        </w:rPr>
        <w:t xml:space="preserve"> that SNC warfare appears to be the only type of war that increases the likelihood of mass killing. This type of war’s defining characteristics are that the state is weak and vulnerable to being overthrown by rebels (</w:t>
      </w:r>
      <w:proofErr w:type="spellStart"/>
      <w:r w:rsidR="00BB5505" w:rsidRPr="0042157B">
        <w:rPr>
          <w:rFonts w:ascii="Times New Roman" w:hAnsi="Times New Roman" w:cs="Times New Roman"/>
        </w:rPr>
        <w:t>Krcmaric</w:t>
      </w:r>
      <w:proofErr w:type="spellEnd"/>
      <w:r w:rsidR="00BB5505" w:rsidRPr="0042157B">
        <w:rPr>
          <w:rFonts w:ascii="Times New Roman" w:hAnsi="Times New Roman" w:cs="Times New Roman"/>
        </w:rPr>
        <w:t>, 2017). The results suggest that state vulnerability may be a central factor in explaining mass killings rather than the type of war (Anderton &amp; Carter, 2014). I add to this finding by conducting another analysis using Anderton &amp; Carter</w:t>
      </w:r>
      <w:r w:rsidRPr="0042157B">
        <w:rPr>
          <w:rFonts w:ascii="Times New Roman" w:hAnsi="Times New Roman" w:cs="Times New Roman"/>
        </w:rPr>
        <w:t>’s</w:t>
      </w:r>
      <w:r w:rsidR="00BB5505" w:rsidRPr="0042157B">
        <w:rPr>
          <w:rFonts w:ascii="Times New Roman" w:hAnsi="Times New Roman" w:cs="Times New Roman"/>
        </w:rPr>
        <w:t xml:space="preserve"> (2014) model. Based on my </w:t>
      </w:r>
      <w:r w:rsidRPr="0042157B">
        <w:rPr>
          <w:rFonts w:ascii="Times New Roman" w:hAnsi="Times New Roman" w:cs="Times New Roman"/>
        </w:rPr>
        <w:t>results</w:t>
      </w:r>
      <w:r w:rsidR="00BB5505" w:rsidRPr="0042157B">
        <w:rPr>
          <w:rFonts w:ascii="Times New Roman" w:hAnsi="Times New Roman" w:cs="Times New Roman"/>
        </w:rPr>
        <w:t>, I conclude that</w:t>
      </w:r>
      <w:r w:rsidRPr="0042157B">
        <w:rPr>
          <w:rFonts w:ascii="Times New Roman" w:hAnsi="Times New Roman" w:cs="Times New Roman"/>
        </w:rPr>
        <w:t>,</w:t>
      </w:r>
      <w:r w:rsidR="00BB5505" w:rsidRPr="0042157B">
        <w:rPr>
          <w:rFonts w:ascii="Times New Roman" w:hAnsi="Times New Roman" w:cs="Times New Roman"/>
        </w:rPr>
        <w:t xml:space="preserve"> although there are elements of state vulnerability that increase the likelihood of conflict, it is challenging to </w:t>
      </w:r>
      <w:r w:rsidR="0014594B" w:rsidRPr="0042157B">
        <w:rPr>
          <w:rFonts w:ascii="Times New Roman" w:hAnsi="Times New Roman" w:cs="Times New Roman"/>
        </w:rPr>
        <w:t>know</w:t>
      </w:r>
      <w:r w:rsidRPr="0042157B">
        <w:rPr>
          <w:rFonts w:ascii="Times New Roman" w:hAnsi="Times New Roman" w:cs="Times New Roman"/>
        </w:rPr>
        <w:t xml:space="preserve"> </w:t>
      </w:r>
      <w:r w:rsidR="00BB5505" w:rsidRPr="0042157B">
        <w:rPr>
          <w:rFonts w:ascii="Times New Roman" w:hAnsi="Times New Roman" w:cs="Times New Roman"/>
        </w:rPr>
        <w:t>the association’s strength</w:t>
      </w:r>
      <w:r w:rsidRPr="0042157B">
        <w:rPr>
          <w:rFonts w:ascii="Times New Roman" w:hAnsi="Times New Roman" w:cs="Times New Roman"/>
        </w:rPr>
        <w:t xml:space="preserve"> with confidence</w:t>
      </w:r>
      <w:r w:rsidR="00BB5505" w:rsidRPr="0042157B">
        <w:rPr>
          <w:rFonts w:ascii="Times New Roman" w:hAnsi="Times New Roman" w:cs="Times New Roman"/>
        </w:rPr>
        <w:t xml:space="preserve"> (Anderton &amp; Carter, 2014). I suggest tha</w:t>
      </w:r>
      <w:r w:rsidRPr="0042157B">
        <w:rPr>
          <w:rFonts w:ascii="Times New Roman" w:hAnsi="Times New Roman" w:cs="Times New Roman"/>
        </w:rPr>
        <w:t xml:space="preserve">t </w:t>
      </w:r>
      <w:proofErr w:type="spellStart"/>
      <w:r w:rsidRPr="0042157B">
        <w:rPr>
          <w:rFonts w:ascii="Times New Roman" w:hAnsi="Times New Roman" w:cs="Times New Roman"/>
        </w:rPr>
        <w:t>Kcramric’s</w:t>
      </w:r>
      <w:proofErr w:type="spellEnd"/>
      <w:r w:rsidRPr="0042157B">
        <w:rPr>
          <w:rFonts w:ascii="Times New Roman" w:hAnsi="Times New Roman" w:cs="Times New Roman"/>
        </w:rPr>
        <w:t xml:space="preserve"> and my analysis has</w:t>
      </w:r>
      <w:r w:rsidR="00BB5505" w:rsidRPr="0042157B">
        <w:rPr>
          <w:rFonts w:ascii="Times New Roman" w:hAnsi="Times New Roman" w:cs="Times New Roman"/>
        </w:rPr>
        <w:t xml:space="preserve"> several weaknesses. The most important </w:t>
      </w:r>
      <w:r w:rsidRPr="0042157B">
        <w:rPr>
          <w:rFonts w:ascii="Times New Roman" w:hAnsi="Times New Roman" w:cs="Times New Roman"/>
        </w:rPr>
        <w:t>is a theoretical weakness wherein neither of our model</w:t>
      </w:r>
      <w:r w:rsidR="00BB5505" w:rsidRPr="0042157B">
        <w:rPr>
          <w:rFonts w:ascii="Times New Roman" w:hAnsi="Times New Roman" w:cs="Times New Roman"/>
        </w:rPr>
        <w:t xml:space="preserve">s included how rebels’ civilian support impacts instances of mass killing (Balch-Lindsay, </w:t>
      </w:r>
      <w:proofErr w:type="spellStart"/>
      <w:r w:rsidR="00BB5505" w:rsidRPr="0042157B">
        <w:rPr>
          <w:rFonts w:ascii="Times New Roman" w:hAnsi="Times New Roman" w:cs="Times New Roman"/>
        </w:rPr>
        <w:t>Huth</w:t>
      </w:r>
      <w:proofErr w:type="spellEnd"/>
      <w:r w:rsidR="00BB5505" w:rsidRPr="0042157B">
        <w:rPr>
          <w:rFonts w:ascii="Times New Roman" w:hAnsi="Times New Roman" w:cs="Times New Roman"/>
        </w:rPr>
        <w:t xml:space="preserve"> &amp; Valentino, 2004; </w:t>
      </w:r>
      <w:proofErr w:type="spellStart"/>
      <w:r w:rsidR="00BB5505" w:rsidRPr="0042157B">
        <w:rPr>
          <w:rFonts w:ascii="Times New Roman" w:hAnsi="Times New Roman" w:cs="Times New Roman"/>
        </w:rPr>
        <w:t>Krcmaric</w:t>
      </w:r>
      <w:proofErr w:type="spellEnd"/>
      <w:r w:rsidR="00BB5505" w:rsidRPr="0042157B">
        <w:rPr>
          <w:rFonts w:ascii="Times New Roman" w:hAnsi="Times New Roman" w:cs="Times New Roman"/>
        </w:rPr>
        <w:t xml:space="preserve">, 2017; Valentino, 2014). Additionally, </w:t>
      </w:r>
      <w:r w:rsidR="00BB5505" w:rsidRPr="0042157B">
        <w:rPr>
          <w:rFonts w:ascii="Times New Roman" w:hAnsi="Times New Roman" w:cs="Times New Roman"/>
        </w:rPr>
        <w:lastRenderedPageBreak/>
        <w:t>conducting this future analysis on a data set with a large number of cases (specifically with instances of mass killings) would be necessar</w:t>
      </w:r>
      <w:r w:rsidR="00BA7D30" w:rsidRPr="0042157B">
        <w:rPr>
          <w:rFonts w:ascii="Times New Roman" w:hAnsi="Times New Roman" w:cs="Times New Roman"/>
        </w:rPr>
        <w:t xml:space="preserve">y to improve preciseness </w:t>
      </w:r>
      <w:r w:rsidR="00BB5505" w:rsidRPr="0042157B">
        <w:rPr>
          <w:rFonts w:ascii="Times New Roman" w:hAnsi="Times New Roman" w:cs="Times New Roman"/>
        </w:rPr>
        <w:t xml:space="preserve">and </w:t>
      </w:r>
      <w:r w:rsidR="00BA7D30" w:rsidRPr="0042157B">
        <w:rPr>
          <w:rFonts w:ascii="Times New Roman" w:hAnsi="Times New Roman" w:cs="Times New Roman"/>
        </w:rPr>
        <w:t>confidence in the estimates. This</w:t>
      </w:r>
      <w:r w:rsidR="00BB5505" w:rsidRPr="0042157B">
        <w:rPr>
          <w:rFonts w:ascii="Times New Roman" w:hAnsi="Times New Roman" w:cs="Times New Roman"/>
        </w:rPr>
        <w:t xml:space="preserve"> paper will be structured in the following way: 1</w:t>
      </w:r>
      <w:r w:rsidR="00BA7D30" w:rsidRPr="0042157B">
        <w:rPr>
          <w:rFonts w:ascii="Times New Roman" w:hAnsi="Times New Roman" w:cs="Times New Roman"/>
        </w:rPr>
        <w:t>)</w:t>
      </w:r>
      <w:r w:rsidR="00BB5505" w:rsidRPr="0042157B">
        <w:rPr>
          <w:rFonts w:ascii="Times New Roman" w:hAnsi="Times New Roman" w:cs="Times New Roman"/>
        </w:rPr>
        <w:t xml:space="preserve"> I will present the academic debate over how different types of war increase the likelihood of mass killing. 2</w:t>
      </w:r>
      <w:r w:rsidR="00BA7D30" w:rsidRPr="0042157B">
        <w:rPr>
          <w:rFonts w:ascii="Times New Roman" w:hAnsi="Times New Roman" w:cs="Times New Roman"/>
        </w:rPr>
        <w:t>)</w:t>
      </w:r>
      <w:r w:rsidR="00BB5505" w:rsidRPr="0042157B">
        <w:rPr>
          <w:rFonts w:ascii="Times New Roman" w:hAnsi="Times New Roman" w:cs="Times New Roman"/>
        </w:rPr>
        <w:t xml:space="preserve"> I will describe the statistical methods and data used in this analysis. 3</w:t>
      </w:r>
      <w:r w:rsidR="00BA7D30" w:rsidRPr="0042157B">
        <w:rPr>
          <w:rFonts w:ascii="Times New Roman" w:hAnsi="Times New Roman" w:cs="Times New Roman"/>
        </w:rPr>
        <w:t>)</w:t>
      </w:r>
      <w:r w:rsidR="00BB5505" w:rsidRPr="0042157B">
        <w:rPr>
          <w:rFonts w:ascii="Times New Roman" w:hAnsi="Times New Roman" w:cs="Times New Roman"/>
        </w:rPr>
        <w:t xml:space="preserve"> I will display the logistic regression results for the models. </w:t>
      </w:r>
      <w:r w:rsidR="00BE5860" w:rsidRPr="0042157B">
        <w:rPr>
          <w:rFonts w:ascii="Times New Roman" w:hAnsi="Times New Roman" w:cs="Times New Roman"/>
        </w:rPr>
        <w:t>4) I</w:t>
      </w:r>
      <w:r w:rsidR="00BB5505" w:rsidRPr="0042157B">
        <w:rPr>
          <w:rFonts w:ascii="Times New Roman" w:hAnsi="Times New Roman" w:cs="Times New Roman"/>
        </w:rPr>
        <w:t xml:space="preserve"> will provide a brief discussion about my overall results and the limitations/weaknesses of the study.</w:t>
      </w:r>
    </w:p>
    <w:p w14:paraId="2CE0F5FA" w14:textId="1F369EEF" w:rsidR="00BB5505" w:rsidRPr="0042157B" w:rsidRDefault="00BB5505" w:rsidP="0014594B">
      <w:pPr>
        <w:pStyle w:val="BodyText"/>
        <w:jc w:val="center"/>
        <w:rPr>
          <w:rFonts w:cs="Times New Roman"/>
          <w:b/>
          <w:bCs/>
          <w:lang w:val="en-US" w:eastAsia="en-US" w:bidi="ar-SA"/>
        </w:rPr>
      </w:pPr>
      <w:r w:rsidRPr="0042157B">
        <w:rPr>
          <w:rFonts w:cs="Times New Roman"/>
          <w:b/>
          <w:bCs/>
          <w:lang w:val="en-US" w:eastAsia="en-US" w:bidi="ar-SA"/>
        </w:rPr>
        <w:t>Context and Theory</w:t>
      </w:r>
    </w:p>
    <w:p w14:paraId="28F87892" w14:textId="75228055" w:rsidR="00BB5505" w:rsidRPr="0042157B" w:rsidRDefault="00BB5505" w:rsidP="00BB5505">
      <w:pPr>
        <w:pStyle w:val="FirstParagraph"/>
        <w:spacing w:line="480" w:lineRule="auto"/>
        <w:ind w:firstLine="720"/>
        <w:rPr>
          <w:rFonts w:ascii="Times New Roman" w:hAnsi="Times New Roman" w:cs="Times New Roman"/>
        </w:rPr>
      </w:pPr>
      <w:r w:rsidRPr="0042157B">
        <w:rPr>
          <w:rFonts w:ascii="Times New Roman" w:hAnsi="Times New Roman" w:cs="Times New Roman"/>
        </w:rPr>
        <w:t xml:space="preserve">In political violence literature, academics generally agree that civil war (or political instability) has a strong association with state-led mass killings (Balch-Lindsay, </w:t>
      </w:r>
      <w:proofErr w:type="spellStart"/>
      <w:r w:rsidRPr="0042157B">
        <w:rPr>
          <w:rFonts w:ascii="Times New Roman" w:hAnsi="Times New Roman" w:cs="Times New Roman"/>
        </w:rPr>
        <w:t>Huth</w:t>
      </w:r>
      <w:proofErr w:type="spellEnd"/>
      <w:r w:rsidRPr="0042157B">
        <w:rPr>
          <w:rFonts w:ascii="Times New Roman" w:hAnsi="Times New Roman" w:cs="Times New Roman"/>
        </w:rPr>
        <w:t xml:space="preserve">, &amp; Valentino, 2004; Finkel &amp; Straus, 2012; </w:t>
      </w:r>
      <w:proofErr w:type="spellStart"/>
      <w:r w:rsidRPr="0042157B">
        <w:rPr>
          <w:rFonts w:ascii="Times New Roman" w:hAnsi="Times New Roman" w:cs="Times New Roman"/>
        </w:rPr>
        <w:t>Krain</w:t>
      </w:r>
      <w:proofErr w:type="spellEnd"/>
      <w:r w:rsidRPr="0042157B">
        <w:rPr>
          <w:rFonts w:ascii="Times New Roman" w:hAnsi="Times New Roman" w:cs="Times New Roman"/>
        </w:rPr>
        <w:t xml:space="preserve">, 1997; </w:t>
      </w:r>
      <w:proofErr w:type="spellStart"/>
      <w:r w:rsidRPr="0042157B">
        <w:rPr>
          <w:rFonts w:ascii="Times New Roman" w:hAnsi="Times New Roman" w:cs="Times New Roman"/>
        </w:rPr>
        <w:t>Krcmaric</w:t>
      </w:r>
      <w:proofErr w:type="spellEnd"/>
      <w:r w:rsidRPr="0042157B">
        <w:rPr>
          <w:rFonts w:ascii="Times New Roman" w:hAnsi="Times New Roman" w:cs="Times New Roman"/>
        </w:rPr>
        <w:t xml:space="preserve">, 2017; Schwartz &amp; Straus, 2018; Straus, 2013; </w:t>
      </w:r>
      <w:proofErr w:type="spellStart"/>
      <w:r w:rsidRPr="0042157B">
        <w:rPr>
          <w:rFonts w:ascii="Times New Roman" w:hAnsi="Times New Roman" w:cs="Times New Roman"/>
        </w:rPr>
        <w:t>Ulfelder</w:t>
      </w:r>
      <w:proofErr w:type="spellEnd"/>
      <w:r w:rsidRPr="0042157B">
        <w:rPr>
          <w:rFonts w:ascii="Times New Roman" w:hAnsi="Times New Roman" w:cs="Times New Roman"/>
        </w:rPr>
        <w:t xml:space="preserve"> &amp; Valentino, 2008; Valentino, 2014). Balch-Lindsay, </w:t>
      </w:r>
      <w:proofErr w:type="spellStart"/>
      <w:r w:rsidRPr="0042157B">
        <w:rPr>
          <w:rFonts w:ascii="Times New Roman" w:hAnsi="Times New Roman" w:cs="Times New Roman"/>
        </w:rPr>
        <w:t>Huth</w:t>
      </w:r>
      <w:proofErr w:type="spellEnd"/>
      <w:r w:rsidRPr="0042157B">
        <w:rPr>
          <w:rFonts w:ascii="Times New Roman" w:hAnsi="Times New Roman" w:cs="Times New Roman"/>
        </w:rPr>
        <w:t>, &amp; Valentino (2004) conducted a logistic regression to understand how and why certain types of civil war increase the likelihood of mass killings. The</w:t>
      </w:r>
      <w:r w:rsidR="0082762E" w:rsidRPr="0042157B">
        <w:rPr>
          <w:rFonts w:ascii="Times New Roman" w:hAnsi="Times New Roman" w:cs="Times New Roman"/>
        </w:rPr>
        <w:t>ir research concludes</w:t>
      </w:r>
      <w:r w:rsidRPr="0042157B">
        <w:rPr>
          <w:rFonts w:ascii="Times New Roman" w:hAnsi="Times New Roman" w:cs="Times New Roman"/>
        </w:rPr>
        <w:t xml:space="preserve"> that mass killing </w:t>
      </w:r>
      <w:r w:rsidR="0082762E" w:rsidRPr="0042157B">
        <w:rPr>
          <w:rFonts w:ascii="Times New Roman" w:hAnsi="Times New Roman" w:cs="Times New Roman"/>
        </w:rPr>
        <w:t>i</w:t>
      </w:r>
      <w:r w:rsidRPr="0042157B">
        <w:rPr>
          <w:rFonts w:ascii="Times New Roman" w:hAnsi="Times New Roman" w:cs="Times New Roman"/>
        </w:rPr>
        <w:t xml:space="preserve">s a tactic used by the government during guerrilla wars to fight off insurgents that heavily rely on civilian support (pp. 377-378; p. 384). States that depend on conventional strategies to defeat guerillas struggle because of the insurgents’ use of hit-and-run fighting style, their untraceable forms of communication, and their ability to gain local support and hide from the government (Balch-Lindsay, </w:t>
      </w:r>
      <w:proofErr w:type="spellStart"/>
      <w:r w:rsidRPr="0042157B">
        <w:rPr>
          <w:rFonts w:ascii="Times New Roman" w:hAnsi="Times New Roman" w:cs="Times New Roman"/>
        </w:rPr>
        <w:t>Huth</w:t>
      </w:r>
      <w:proofErr w:type="spellEnd"/>
      <w:r w:rsidRPr="0042157B">
        <w:rPr>
          <w:rFonts w:ascii="Times New Roman" w:hAnsi="Times New Roman" w:cs="Times New Roman"/>
        </w:rPr>
        <w:t xml:space="preserve">, &amp; Valentin, 2004, pp. 377-378; pp. 383-387). Consequently, the state has trouble gaining intelligence on insurgent operations and </w:t>
      </w:r>
      <w:r w:rsidR="0082762E" w:rsidRPr="0042157B">
        <w:rPr>
          <w:rFonts w:ascii="Times New Roman" w:hAnsi="Times New Roman" w:cs="Times New Roman"/>
        </w:rPr>
        <w:t>locating</w:t>
      </w:r>
      <w:r w:rsidRPr="0042157B">
        <w:rPr>
          <w:rFonts w:ascii="Times New Roman" w:hAnsi="Times New Roman" w:cs="Times New Roman"/>
        </w:rPr>
        <w:t xml:space="preserve"> the guerrillas’ personnel (Balch-Lindsay, </w:t>
      </w:r>
      <w:proofErr w:type="spellStart"/>
      <w:r w:rsidRPr="0042157B">
        <w:rPr>
          <w:rFonts w:ascii="Times New Roman" w:hAnsi="Times New Roman" w:cs="Times New Roman"/>
        </w:rPr>
        <w:t>Huth</w:t>
      </w:r>
      <w:proofErr w:type="spellEnd"/>
      <w:r w:rsidRPr="0042157B">
        <w:rPr>
          <w:rFonts w:ascii="Times New Roman" w:hAnsi="Times New Roman" w:cs="Times New Roman"/>
        </w:rPr>
        <w:t xml:space="preserve">, &amp; Valentin, 2004, pp. 377-378; pp. 383-387). Due to </w:t>
      </w:r>
      <w:r w:rsidR="0082762E" w:rsidRPr="0042157B">
        <w:rPr>
          <w:rFonts w:ascii="Times New Roman" w:hAnsi="Times New Roman" w:cs="Times New Roman"/>
        </w:rPr>
        <w:t>the state’s persistent struggle</w:t>
      </w:r>
      <w:r w:rsidRPr="0042157B">
        <w:rPr>
          <w:rFonts w:ascii="Times New Roman" w:hAnsi="Times New Roman" w:cs="Times New Roman"/>
        </w:rPr>
        <w:t xml:space="preserve"> to defeat the insurgents, the government will resort to extreme tactics. Put differently, when insurgents are militar</w:t>
      </w:r>
      <w:r w:rsidR="0082762E" w:rsidRPr="0042157B">
        <w:rPr>
          <w:rFonts w:ascii="Times New Roman" w:hAnsi="Times New Roman" w:cs="Times New Roman"/>
        </w:rPr>
        <w:t>il</w:t>
      </w:r>
      <w:r w:rsidRPr="0042157B">
        <w:rPr>
          <w:rFonts w:ascii="Times New Roman" w:hAnsi="Times New Roman" w:cs="Times New Roman"/>
        </w:rPr>
        <w:t xml:space="preserve">y powerful (e.g., </w:t>
      </w:r>
      <w:r w:rsidR="0082762E" w:rsidRPr="0042157B">
        <w:rPr>
          <w:rFonts w:ascii="Times New Roman" w:hAnsi="Times New Roman" w:cs="Times New Roman"/>
        </w:rPr>
        <w:t xml:space="preserve">have </w:t>
      </w:r>
      <w:r w:rsidRPr="0042157B">
        <w:rPr>
          <w:rFonts w:ascii="Times New Roman" w:hAnsi="Times New Roman" w:cs="Times New Roman"/>
        </w:rPr>
        <w:t xml:space="preserve">large quantities of military weapons, possess </w:t>
      </w:r>
      <w:r w:rsidRPr="0042157B">
        <w:rPr>
          <w:rFonts w:ascii="Times New Roman" w:hAnsi="Times New Roman" w:cs="Times New Roman"/>
        </w:rPr>
        <w:lastRenderedPageBreak/>
        <w:t xml:space="preserve">valuable intelligence, have access to hideouts, can conduct effective military strategies) and have significant support from communal members, it is difficult for the government to defeat insurgents with conventional military strategies. To ensure victory, states will eliminate any rebel supporters or portions of the public that strategically benefit the insurgents (Balch-Lindsay, </w:t>
      </w:r>
      <w:proofErr w:type="spellStart"/>
      <w:r w:rsidRPr="0042157B">
        <w:rPr>
          <w:rFonts w:ascii="Times New Roman" w:hAnsi="Times New Roman" w:cs="Times New Roman"/>
        </w:rPr>
        <w:t>Huth</w:t>
      </w:r>
      <w:proofErr w:type="spellEnd"/>
      <w:r w:rsidRPr="0042157B">
        <w:rPr>
          <w:rFonts w:ascii="Times New Roman" w:hAnsi="Times New Roman" w:cs="Times New Roman"/>
        </w:rPr>
        <w:t>, &amp; Valentin, 2004, pp. 377-379; pp. 383-387). When the authors tested this theory, they found that mass killings were three times more likely when there was an instance of guerrilla warfa</w:t>
      </w:r>
      <w:r w:rsidR="0082762E" w:rsidRPr="0042157B">
        <w:rPr>
          <w:rFonts w:ascii="Times New Roman" w:hAnsi="Times New Roman" w:cs="Times New Roman"/>
        </w:rPr>
        <w:t>re versus when there was not</w:t>
      </w:r>
      <w:r w:rsidRPr="0042157B">
        <w:rPr>
          <w:rFonts w:ascii="Times New Roman" w:hAnsi="Times New Roman" w:cs="Times New Roman"/>
        </w:rPr>
        <w:t xml:space="preserve">. The probability of mass killing increased by 27.9 times when the authors’ held the guerilla warfare variable constant and introduced a high </w:t>
      </w:r>
      <w:r w:rsidR="0014594B" w:rsidRPr="0042157B">
        <w:rPr>
          <w:rFonts w:ascii="Times New Roman" w:hAnsi="Times New Roman" w:cs="Times New Roman"/>
        </w:rPr>
        <w:t xml:space="preserve">civilian </w:t>
      </w:r>
      <w:r w:rsidRPr="0042157B">
        <w:rPr>
          <w:rFonts w:ascii="Times New Roman" w:hAnsi="Times New Roman" w:cs="Times New Roman"/>
        </w:rPr>
        <w:t xml:space="preserve">support variable in their regression (i.e., 100,000 or more active rebel supporters) (Balch-Lindsay, </w:t>
      </w:r>
      <w:proofErr w:type="spellStart"/>
      <w:r w:rsidRPr="0042157B">
        <w:rPr>
          <w:rFonts w:ascii="Times New Roman" w:hAnsi="Times New Roman" w:cs="Times New Roman"/>
        </w:rPr>
        <w:t>Huth</w:t>
      </w:r>
      <w:proofErr w:type="spellEnd"/>
      <w:r w:rsidRPr="0042157B">
        <w:rPr>
          <w:rFonts w:ascii="Times New Roman" w:hAnsi="Times New Roman" w:cs="Times New Roman"/>
        </w:rPr>
        <w:t xml:space="preserve">, &amp; Valentin, 2004, pp. 393-399). </w:t>
      </w:r>
      <w:proofErr w:type="spellStart"/>
      <w:r w:rsidRPr="0042157B">
        <w:rPr>
          <w:rFonts w:ascii="Times New Roman" w:hAnsi="Times New Roman" w:cs="Times New Roman"/>
        </w:rPr>
        <w:t>Krcmaric</w:t>
      </w:r>
      <w:proofErr w:type="spellEnd"/>
      <w:r w:rsidRPr="0042157B">
        <w:rPr>
          <w:rFonts w:ascii="Times New Roman" w:hAnsi="Times New Roman" w:cs="Times New Roman"/>
        </w:rPr>
        <w:t xml:space="preserve"> (2017) refutes this theory by asserting that guerrilla warfare is the least likely type of civil war to provoke mass killing (pp. 19-24). Guerrilla warfare has the following characteristics:</w:t>
      </w:r>
    </w:p>
    <w:p w14:paraId="5F3630C9" w14:textId="0A6E84FF" w:rsidR="00BB5505" w:rsidRPr="0042157B" w:rsidRDefault="00BB5505" w:rsidP="0082762E">
      <w:pPr>
        <w:numPr>
          <w:ilvl w:val="0"/>
          <w:numId w:val="10"/>
        </w:numPr>
        <w:spacing w:after="200"/>
        <w:ind w:left="482" w:hanging="482"/>
        <w:rPr>
          <w:rFonts w:ascii="Times New Roman" w:hAnsi="Times New Roman" w:cs="Times New Roman"/>
        </w:rPr>
      </w:pPr>
      <w:r w:rsidRPr="0042157B">
        <w:rPr>
          <w:rFonts w:ascii="Times New Roman" w:hAnsi="Times New Roman" w:cs="Times New Roman"/>
        </w:rPr>
        <w:t>The government and insurgents are fighting over gaining the loyalty of civilians in contested locations (pp. 19-24)</w:t>
      </w:r>
      <w:r w:rsidR="008C1CF1" w:rsidRPr="0042157B">
        <w:rPr>
          <w:rFonts w:ascii="Times New Roman" w:hAnsi="Times New Roman" w:cs="Times New Roman"/>
        </w:rPr>
        <w:t>.</w:t>
      </w:r>
    </w:p>
    <w:p w14:paraId="3CFA6E41" w14:textId="4CF0ED79" w:rsidR="00BB5505" w:rsidRPr="0042157B" w:rsidRDefault="00BB5505" w:rsidP="0082762E">
      <w:pPr>
        <w:numPr>
          <w:ilvl w:val="0"/>
          <w:numId w:val="10"/>
        </w:numPr>
        <w:spacing w:after="200"/>
        <w:ind w:left="482" w:hanging="482"/>
        <w:rPr>
          <w:rFonts w:ascii="Times New Roman" w:hAnsi="Times New Roman" w:cs="Times New Roman"/>
        </w:rPr>
      </w:pPr>
      <w:r w:rsidRPr="0042157B">
        <w:rPr>
          <w:rFonts w:ascii="Times New Roman" w:hAnsi="Times New Roman" w:cs="Times New Roman"/>
        </w:rPr>
        <w:t xml:space="preserve">There </w:t>
      </w:r>
      <w:r w:rsidR="0082762E" w:rsidRPr="0042157B">
        <w:rPr>
          <w:rFonts w:ascii="Times New Roman" w:hAnsi="Times New Roman" w:cs="Times New Roman"/>
        </w:rPr>
        <w:t>is</w:t>
      </w:r>
      <w:r w:rsidRPr="0042157B">
        <w:rPr>
          <w:rFonts w:ascii="Times New Roman" w:hAnsi="Times New Roman" w:cs="Times New Roman"/>
        </w:rPr>
        <w:t xml:space="preserve"> only a small </w:t>
      </w:r>
      <w:r w:rsidR="0082762E" w:rsidRPr="0042157B">
        <w:rPr>
          <w:rFonts w:ascii="Times New Roman" w:hAnsi="Times New Roman" w:cs="Times New Roman"/>
        </w:rPr>
        <w:t>number</w:t>
      </w:r>
      <w:r w:rsidRPr="0042157B">
        <w:rPr>
          <w:rFonts w:ascii="Times New Roman" w:hAnsi="Times New Roman" w:cs="Times New Roman"/>
        </w:rPr>
        <w:t xml:space="preserve"> of rebel fighters (</w:t>
      </w:r>
      <w:proofErr w:type="spellStart"/>
      <w:r w:rsidRPr="0042157B">
        <w:rPr>
          <w:rFonts w:ascii="Times New Roman" w:hAnsi="Times New Roman" w:cs="Times New Roman"/>
        </w:rPr>
        <w:t>Krcmaric</w:t>
      </w:r>
      <w:proofErr w:type="spellEnd"/>
      <w:r w:rsidRPr="0042157B">
        <w:rPr>
          <w:rFonts w:ascii="Times New Roman" w:hAnsi="Times New Roman" w:cs="Times New Roman"/>
        </w:rPr>
        <w:t>, 2017, pp. 19-24)</w:t>
      </w:r>
      <w:r w:rsidR="008C1CF1" w:rsidRPr="0042157B">
        <w:rPr>
          <w:rFonts w:ascii="Times New Roman" w:hAnsi="Times New Roman" w:cs="Times New Roman"/>
        </w:rPr>
        <w:t>.</w:t>
      </w:r>
    </w:p>
    <w:p w14:paraId="6E648848" w14:textId="51D315B2" w:rsidR="00BB5505" w:rsidRPr="0042157B" w:rsidRDefault="00BB5505" w:rsidP="0082762E">
      <w:pPr>
        <w:numPr>
          <w:ilvl w:val="0"/>
          <w:numId w:val="10"/>
        </w:numPr>
        <w:spacing w:after="200"/>
        <w:ind w:left="482" w:hanging="482"/>
        <w:rPr>
          <w:rFonts w:ascii="Times New Roman" w:hAnsi="Times New Roman" w:cs="Times New Roman"/>
        </w:rPr>
      </w:pPr>
      <w:r w:rsidRPr="0042157B">
        <w:rPr>
          <w:rFonts w:ascii="Times New Roman" w:hAnsi="Times New Roman" w:cs="Times New Roman"/>
        </w:rPr>
        <w:t>The insurgents tend to be scattered through the local population ((</w:t>
      </w:r>
      <w:proofErr w:type="spellStart"/>
      <w:r w:rsidRPr="0042157B">
        <w:rPr>
          <w:rFonts w:ascii="Times New Roman" w:hAnsi="Times New Roman" w:cs="Times New Roman"/>
        </w:rPr>
        <w:t>Krcmaric</w:t>
      </w:r>
      <w:proofErr w:type="spellEnd"/>
      <w:r w:rsidRPr="0042157B">
        <w:rPr>
          <w:rFonts w:ascii="Times New Roman" w:hAnsi="Times New Roman" w:cs="Times New Roman"/>
        </w:rPr>
        <w:t>, 2017, pp. 19-24)</w:t>
      </w:r>
      <w:r w:rsidR="008C1CF1" w:rsidRPr="0042157B">
        <w:rPr>
          <w:rFonts w:ascii="Times New Roman" w:hAnsi="Times New Roman" w:cs="Times New Roman"/>
        </w:rPr>
        <w:t>.</w:t>
      </w:r>
    </w:p>
    <w:p w14:paraId="21CD15BD" w14:textId="29F4263B" w:rsidR="00BB5505" w:rsidRPr="0042157B" w:rsidRDefault="00BB5505" w:rsidP="0082762E">
      <w:pPr>
        <w:numPr>
          <w:ilvl w:val="0"/>
          <w:numId w:val="10"/>
        </w:numPr>
        <w:spacing w:after="200"/>
        <w:ind w:left="482" w:hanging="482"/>
        <w:rPr>
          <w:rFonts w:ascii="Times New Roman" w:hAnsi="Times New Roman" w:cs="Times New Roman"/>
        </w:rPr>
      </w:pPr>
      <w:r w:rsidRPr="0042157B">
        <w:rPr>
          <w:rFonts w:ascii="Times New Roman" w:hAnsi="Times New Roman" w:cs="Times New Roman"/>
        </w:rPr>
        <w:t>The weaponry used by the insurgents is not sophisticated ((</w:t>
      </w:r>
      <w:proofErr w:type="spellStart"/>
      <w:r w:rsidRPr="0042157B">
        <w:rPr>
          <w:rFonts w:ascii="Times New Roman" w:hAnsi="Times New Roman" w:cs="Times New Roman"/>
        </w:rPr>
        <w:t>Krcmaric</w:t>
      </w:r>
      <w:proofErr w:type="spellEnd"/>
      <w:r w:rsidRPr="0042157B">
        <w:rPr>
          <w:rFonts w:ascii="Times New Roman" w:hAnsi="Times New Roman" w:cs="Times New Roman"/>
        </w:rPr>
        <w:t>, 2017, pp. 19-24)</w:t>
      </w:r>
      <w:r w:rsidR="008C1CF1" w:rsidRPr="0042157B">
        <w:rPr>
          <w:rFonts w:ascii="Times New Roman" w:hAnsi="Times New Roman" w:cs="Times New Roman"/>
        </w:rPr>
        <w:t>.</w:t>
      </w:r>
    </w:p>
    <w:p w14:paraId="53C7B692" w14:textId="166B73BD" w:rsidR="00BB5505" w:rsidRPr="0042157B" w:rsidRDefault="0082762E" w:rsidP="0082762E">
      <w:pPr>
        <w:numPr>
          <w:ilvl w:val="0"/>
          <w:numId w:val="10"/>
        </w:numPr>
        <w:spacing w:after="200"/>
        <w:ind w:left="482" w:hanging="482"/>
        <w:rPr>
          <w:rFonts w:ascii="Times New Roman" w:hAnsi="Times New Roman" w:cs="Times New Roman"/>
        </w:rPr>
      </w:pPr>
      <w:r w:rsidRPr="0042157B">
        <w:rPr>
          <w:rFonts w:ascii="Times New Roman" w:hAnsi="Times New Roman" w:cs="Times New Roman"/>
        </w:rPr>
        <w:t>R</w:t>
      </w:r>
      <w:r w:rsidR="00BB5505" w:rsidRPr="0042157B">
        <w:rPr>
          <w:rFonts w:ascii="Times New Roman" w:hAnsi="Times New Roman" w:cs="Times New Roman"/>
        </w:rPr>
        <w:t>ebels can carry out attacks that hurt the state, but the guerrillas are not strong enough to defeat the government head-on (</w:t>
      </w:r>
      <w:proofErr w:type="spellStart"/>
      <w:r w:rsidR="00BB5505" w:rsidRPr="0042157B">
        <w:rPr>
          <w:rFonts w:ascii="Times New Roman" w:hAnsi="Times New Roman" w:cs="Times New Roman"/>
        </w:rPr>
        <w:t>Krcmaric</w:t>
      </w:r>
      <w:proofErr w:type="spellEnd"/>
      <w:r w:rsidR="00BB5505" w:rsidRPr="0042157B">
        <w:rPr>
          <w:rFonts w:ascii="Times New Roman" w:hAnsi="Times New Roman" w:cs="Times New Roman"/>
        </w:rPr>
        <w:t>, 2017, pp. 19-24)</w:t>
      </w:r>
      <w:r w:rsidR="008C1CF1" w:rsidRPr="0042157B">
        <w:rPr>
          <w:rFonts w:ascii="Times New Roman" w:hAnsi="Times New Roman" w:cs="Times New Roman"/>
        </w:rPr>
        <w:t>.</w:t>
      </w:r>
    </w:p>
    <w:p w14:paraId="2FB3E0BF" w14:textId="5BF95AC0" w:rsidR="00BB5505" w:rsidRPr="0042157B" w:rsidRDefault="00BB5505" w:rsidP="00045F6A">
      <w:pPr>
        <w:pStyle w:val="FirstParagraph"/>
        <w:spacing w:after="0" w:line="480" w:lineRule="auto"/>
        <w:ind w:firstLine="482"/>
        <w:rPr>
          <w:rFonts w:ascii="Times New Roman" w:hAnsi="Times New Roman" w:cs="Times New Roman"/>
        </w:rPr>
      </w:pPr>
      <w:r w:rsidRPr="0042157B">
        <w:rPr>
          <w:rFonts w:ascii="Times New Roman" w:hAnsi="Times New Roman" w:cs="Times New Roman"/>
        </w:rPr>
        <w:t xml:space="preserve">Academics who study political violence tend to agree that mass killing is a rational strategy </w:t>
      </w:r>
      <w:r w:rsidR="00045F6A" w:rsidRPr="0042157B">
        <w:rPr>
          <w:rFonts w:ascii="Times New Roman" w:hAnsi="Times New Roman" w:cs="Times New Roman"/>
        </w:rPr>
        <w:t xml:space="preserve">used </w:t>
      </w:r>
      <w:r w:rsidRPr="0042157B">
        <w:rPr>
          <w:rFonts w:ascii="Times New Roman" w:hAnsi="Times New Roman" w:cs="Times New Roman"/>
        </w:rPr>
        <w:t>to preserve positions of power (Valentino, 2014). If states are rational actors, then it is unlikely that mass killing will occur during guerilla warfare because it is more effective to win over civilians’ hearts and minds rather than eliminate them (</w:t>
      </w:r>
      <w:proofErr w:type="spellStart"/>
      <w:r w:rsidRPr="0042157B">
        <w:rPr>
          <w:rFonts w:ascii="Times New Roman" w:hAnsi="Times New Roman" w:cs="Times New Roman"/>
        </w:rPr>
        <w:t>Krcmaric</w:t>
      </w:r>
      <w:proofErr w:type="spellEnd"/>
      <w:r w:rsidRPr="0042157B">
        <w:rPr>
          <w:rFonts w:ascii="Times New Roman" w:hAnsi="Times New Roman" w:cs="Times New Roman"/>
        </w:rPr>
        <w:t xml:space="preserve">, 2017, pp. 19-26). Government violence often increases public support of rebels (which gives them more power) </w:t>
      </w:r>
      <w:r w:rsidRPr="0042157B">
        <w:rPr>
          <w:rFonts w:ascii="Times New Roman" w:hAnsi="Times New Roman" w:cs="Times New Roman"/>
        </w:rPr>
        <w:lastRenderedPageBreak/>
        <w:t xml:space="preserve">and </w:t>
      </w:r>
      <w:r w:rsidR="00045F6A" w:rsidRPr="0042157B">
        <w:rPr>
          <w:rFonts w:ascii="Times New Roman" w:hAnsi="Times New Roman" w:cs="Times New Roman"/>
        </w:rPr>
        <w:t>increases the chance</w:t>
      </w:r>
      <w:r w:rsidRPr="0042157B">
        <w:rPr>
          <w:rFonts w:ascii="Times New Roman" w:hAnsi="Times New Roman" w:cs="Times New Roman"/>
        </w:rPr>
        <w:t xml:space="preserve"> of a civilian uprising. In layman’s terms, if states are rational and guerrilla’s gain significant power from civilian support, it is more effective to win the public’s loyalty than to eliminate them when trying to defeat insurgents (</w:t>
      </w:r>
      <w:proofErr w:type="spellStart"/>
      <w:r w:rsidRPr="0042157B">
        <w:rPr>
          <w:rFonts w:ascii="Times New Roman" w:hAnsi="Times New Roman" w:cs="Times New Roman"/>
        </w:rPr>
        <w:t>Krcmaric</w:t>
      </w:r>
      <w:proofErr w:type="spellEnd"/>
      <w:r w:rsidRPr="0042157B">
        <w:rPr>
          <w:rFonts w:ascii="Times New Roman" w:hAnsi="Times New Roman" w:cs="Times New Roman"/>
        </w:rPr>
        <w:t>, 2017, pp. 19-26).</w:t>
      </w:r>
    </w:p>
    <w:p w14:paraId="22C1D3D5" w14:textId="047F3447" w:rsidR="00BB5505" w:rsidRPr="0042157B" w:rsidRDefault="00BB5505" w:rsidP="00045F6A">
      <w:pPr>
        <w:pStyle w:val="BodyText"/>
        <w:spacing w:after="0" w:line="480" w:lineRule="auto"/>
        <w:ind w:firstLine="482"/>
        <w:rPr>
          <w:rFonts w:cs="Times New Roman"/>
        </w:rPr>
      </w:pPr>
      <w:proofErr w:type="spellStart"/>
      <w:r w:rsidRPr="0042157B">
        <w:rPr>
          <w:rFonts w:cs="Times New Roman"/>
        </w:rPr>
        <w:t>Krcmaric</w:t>
      </w:r>
      <w:proofErr w:type="spellEnd"/>
      <w:r w:rsidRPr="0042157B">
        <w:rPr>
          <w:rFonts w:cs="Times New Roman"/>
        </w:rPr>
        <w:t xml:space="preserve"> argues that conventional warfare is the type of conflict that increases the probability of mass killings (</w:t>
      </w:r>
      <w:proofErr w:type="spellStart"/>
      <w:r w:rsidRPr="0042157B">
        <w:rPr>
          <w:rFonts w:cs="Times New Roman"/>
        </w:rPr>
        <w:t>Krcmaric</w:t>
      </w:r>
      <w:proofErr w:type="spellEnd"/>
      <w:r w:rsidRPr="0042157B">
        <w:rPr>
          <w:rFonts w:cs="Times New Roman"/>
        </w:rPr>
        <w:t>, 2017, pp. 19-26). Conventional war is when the state and a rebel group have established and complete control of separate pieces of territory. Each side has access to advanced weaponry, and all combat is direct military fighting (</w:t>
      </w:r>
      <w:proofErr w:type="spellStart"/>
      <w:r w:rsidRPr="0042157B">
        <w:rPr>
          <w:rFonts w:cs="Times New Roman"/>
        </w:rPr>
        <w:t>Krcmaric</w:t>
      </w:r>
      <w:proofErr w:type="spellEnd"/>
      <w:r w:rsidRPr="0042157B">
        <w:rPr>
          <w:rFonts w:cs="Times New Roman"/>
        </w:rPr>
        <w:t>, 2017, pp. 19-26). The battles take place in clearly defined and agreed upon areas. Additionally, segments of the population live near</w:t>
      </w:r>
      <w:r w:rsidR="00045F6A" w:rsidRPr="0042157B">
        <w:rPr>
          <w:rFonts w:cs="Times New Roman"/>
        </w:rPr>
        <w:t>by</w:t>
      </w:r>
      <w:r w:rsidRPr="0042157B">
        <w:rPr>
          <w:rFonts w:cs="Times New Roman"/>
        </w:rPr>
        <w:t xml:space="preserve"> and are a part of a rebel or state-controlled area (</w:t>
      </w:r>
      <w:proofErr w:type="spellStart"/>
      <w:r w:rsidRPr="0042157B">
        <w:rPr>
          <w:rFonts w:cs="Times New Roman"/>
        </w:rPr>
        <w:t>Krcmaric</w:t>
      </w:r>
      <w:proofErr w:type="spellEnd"/>
      <w:r w:rsidRPr="0042157B">
        <w:rPr>
          <w:rFonts w:cs="Times New Roman"/>
        </w:rPr>
        <w:t xml:space="preserve">, 2017, pp. 19-26). These conflicts provoke instances of mass killings </w:t>
      </w:r>
      <w:r w:rsidR="00045F6A" w:rsidRPr="0042157B">
        <w:rPr>
          <w:rFonts w:cs="Times New Roman"/>
        </w:rPr>
        <w:t xml:space="preserve">more </w:t>
      </w:r>
      <w:r w:rsidRPr="0042157B">
        <w:rPr>
          <w:rFonts w:cs="Times New Roman"/>
        </w:rPr>
        <w:t>than guerilla wars for three reasons:</w:t>
      </w:r>
    </w:p>
    <w:p w14:paraId="00E8610F" w14:textId="77777777" w:rsidR="00BB5505" w:rsidRPr="0042157B" w:rsidRDefault="00BB5505" w:rsidP="00045F6A">
      <w:pPr>
        <w:numPr>
          <w:ilvl w:val="0"/>
          <w:numId w:val="11"/>
        </w:numPr>
        <w:spacing w:after="200"/>
        <w:rPr>
          <w:rFonts w:ascii="Times New Roman" w:hAnsi="Times New Roman" w:cs="Times New Roman"/>
        </w:rPr>
      </w:pPr>
      <w:r w:rsidRPr="0042157B">
        <w:rPr>
          <w:rFonts w:ascii="Times New Roman" w:hAnsi="Times New Roman" w:cs="Times New Roman"/>
        </w:rPr>
        <w:t>Mass killing is a more effective strategy in a conventional war. Often eliminating civilians living near rebel bases will severely weaken the economic development of the region. Hence, the poor economic growth, by extension, will undermine the rebel’s military strength in the long term (</w:t>
      </w:r>
      <w:proofErr w:type="spellStart"/>
      <w:r w:rsidRPr="0042157B">
        <w:rPr>
          <w:rFonts w:ascii="Times New Roman" w:hAnsi="Times New Roman" w:cs="Times New Roman"/>
        </w:rPr>
        <w:t>Krcmaric</w:t>
      </w:r>
      <w:proofErr w:type="spellEnd"/>
      <w:r w:rsidRPr="0042157B">
        <w:rPr>
          <w:rFonts w:ascii="Times New Roman" w:hAnsi="Times New Roman" w:cs="Times New Roman"/>
        </w:rPr>
        <w:t>, 2017, pp. 19-26).</w:t>
      </w:r>
    </w:p>
    <w:p w14:paraId="6DE02548" w14:textId="5175D5E8" w:rsidR="00BB5505" w:rsidRPr="0042157B" w:rsidRDefault="00BB5505" w:rsidP="00045F6A">
      <w:pPr>
        <w:numPr>
          <w:ilvl w:val="0"/>
          <w:numId w:val="11"/>
        </w:numPr>
        <w:spacing w:after="200"/>
        <w:rPr>
          <w:rFonts w:ascii="Times New Roman" w:hAnsi="Times New Roman" w:cs="Times New Roman"/>
        </w:rPr>
      </w:pPr>
      <w:r w:rsidRPr="0042157B">
        <w:rPr>
          <w:rFonts w:ascii="Times New Roman" w:hAnsi="Times New Roman" w:cs="Times New Roman"/>
        </w:rPr>
        <w:t xml:space="preserve">The state does not </w:t>
      </w:r>
      <w:r w:rsidR="00045F6A" w:rsidRPr="0042157B">
        <w:rPr>
          <w:rFonts w:ascii="Times New Roman" w:hAnsi="Times New Roman" w:cs="Times New Roman"/>
        </w:rPr>
        <w:t>need</w:t>
      </w:r>
      <w:r w:rsidRPr="0042157B">
        <w:rPr>
          <w:rFonts w:ascii="Times New Roman" w:hAnsi="Times New Roman" w:cs="Times New Roman"/>
        </w:rPr>
        <w:t xml:space="preserve"> to worry </w:t>
      </w:r>
      <w:r w:rsidR="00045F6A" w:rsidRPr="0042157B">
        <w:rPr>
          <w:rFonts w:ascii="Times New Roman" w:hAnsi="Times New Roman" w:cs="Times New Roman"/>
        </w:rPr>
        <w:t>a</w:t>
      </w:r>
      <w:r w:rsidRPr="0042157B">
        <w:rPr>
          <w:rFonts w:ascii="Times New Roman" w:hAnsi="Times New Roman" w:cs="Times New Roman"/>
        </w:rPr>
        <w:t>bout civilian defection during conventional warfare because the rebel and state supporters do not live together. Civilian groups will live near</w:t>
      </w:r>
      <w:r w:rsidR="00045F6A" w:rsidRPr="0042157B">
        <w:rPr>
          <w:rFonts w:ascii="Times New Roman" w:hAnsi="Times New Roman" w:cs="Times New Roman"/>
        </w:rPr>
        <w:t>by</w:t>
      </w:r>
      <w:r w:rsidRPr="0042157B">
        <w:rPr>
          <w:rFonts w:ascii="Times New Roman" w:hAnsi="Times New Roman" w:cs="Times New Roman"/>
        </w:rPr>
        <w:t xml:space="preserve"> and have a strong allegiance to either the government or </w:t>
      </w:r>
      <w:r w:rsidR="00045F6A" w:rsidRPr="0042157B">
        <w:rPr>
          <w:rFonts w:ascii="Times New Roman" w:hAnsi="Times New Roman" w:cs="Times New Roman"/>
        </w:rPr>
        <w:t xml:space="preserve">the </w:t>
      </w:r>
      <w:r w:rsidRPr="0042157B">
        <w:rPr>
          <w:rFonts w:ascii="Times New Roman" w:hAnsi="Times New Roman" w:cs="Times New Roman"/>
        </w:rPr>
        <w:t>rebels (</w:t>
      </w:r>
      <w:proofErr w:type="spellStart"/>
      <w:r w:rsidRPr="0042157B">
        <w:rPr>
          <w:rFonts w:ascii="Times New Roman" w:hAnsi="Times New Roman" w:cs="Times New Roman"/>
        </w:rPr>
        <w:t>Krcmaric</w:t>
      </w:r>
      <w:proofErr w:type="spellEnd"/>
      <w:r w:rsidRPr="0042157B">
        <w:rPr>
          <w:rFonts w:ascii="Times New Roman" w:hAnsi="Times New Roman" w:cs="Times New Roman"/>
        </w:rPr>
        <w:t>, 2017, pp. 19-26).</w:t>
      </w:r>
    </w:p>
    <w:p w14:paraId="4B033B22" w14:textId="54375641" w:rsidR="00BB5505" w:rsidRPr="0042157B" w:rsidRDefault="00BB5505" w:rsidP="00045F6A">
      <w:pPr>
        <w:numPr>
          <w:ilvl w:val="0"/>
          <w:numId w:val="11"/>
        </w:numPr>
        <w:spacing w:after="200"/>
        <w:rPr>
          <w:rFonts w:ascii="Times New Roman" w:hAnsi="Times New Roman" w:cs="Times New Roman"/>
        </w:rPr>
      </w:pPr>
      <w:r w:rsidRPr="0042157B">
        <w:rPr>
          <w:rFonts w:ascii="Times New Roman" w:hAnsi="Times New Roman" w:cs="Times New Roman"/>
        </w:rPr>
        <w:t>The state does not fear rebels gaining access to information from civilians that could hurt the state and there is no need for the government to rely on civilians for information on guerrillas (</w:t>
      </w:r>
      <w:proofErr w:type="spellStart"/>
      <w:r w:rsidRPr="0042157B">
        <w:rPr>
          <w:rFonts w:ascii="Times New Roman" w:hAnsi="Times New Roman" w:cs="Times New Roman"/>
        </w:rPr>
        <w:t>Krcmaric</w:t>
      </w:r>
      <w:proofErr w:type="spellEnd"/>
      <w:r w:rsidRPr="0042157B">
        <w:rPr>
          <w:rFonts w:ascii="Times New Roman" w:hAnsi="Times New Roman" w:cs="Times New Roman"/>
        </w:rPr>
        <w:t xml:space="preserve">, 2017, pp. 19-26). During guerilla warfare, the key to victory is for the state to have access to crucial intelligence (e.g., insurgents’ </w:t>
      </w:r>
      <w:r w:rsidR="0014594B" w:rsidRPr="0042157B">
        <w:rPr>
          <w:rFonts w:ascii="Times New Roman" w:hAnsi="Times New Roman" w:cs="Times New Roman"/>
        </w:rPr>
        <w:t xml:space="preserve">secret </w:t>
      </w:r>
      <w:r w:rsidRPr="0042157B">
        <w:rPr>
          <w:rFonts w:ascii="Times New Roman" w:hAnsi="Times New Roman" w:cs="Times New Roman"/>
        </w:rPr>
        <w:t>hideouts and overall strategy). For government personnel to receive this intelligence, it requires a good relationship with citizens to incentivize the public to report any useful information. During conventional warfare, communicat</w:t>
      </w:r>
      <w:r w:rsidR="00045F6A" w:rsidRPr="0042157B">
        <w:rPr>
          <w:rFonts w:ascii="Times New Roman" w:hAnsi="Times New Roman" w:cs="Times New Roman"/>
        </w:rPr>
        <w:t>ion with civilians is not required</w:t>
      </w:r>
      <w:r w:rsidRPr="0042157B">
        <w:rPr>
          <w:rFonts w:ascii="Times New Roman" w:hAnsi="Times New Roman" w:cs="Times New Roman"/>
        </w:rPr>
        <w:t>. The state knows where the rebels are and how the battles will take place (</w:t>
      </w:r>
      <w:proofErr w:type="spellStart"/>
      <w:r w:rsidRPr="0042157B">
        <w:rPr>
          <w:rFonts w:ascii="Times New Roman" w:hAnsi="Times New Roman" w:cs="Times New Roman"/>
        </w:rPr>
        <w:t>Krcmaric</w:t>
      </w:r>
      <w:proofErr w:type="spellEnd"/>
      <w:r w:rsidRPr="0042157B">
        <w:rPr>
          <w:rFonts w:ascii="Times New Roman" w:hAnsi="Times New Roman" w:cs="Times New Roman"/>
        </w:rPr>
        <w:t xml:space="preserve">, 2017, pp. 19-26). Based on this review of the literature, </w:t>
      </w:r>
      <w:proofErr w:type="spellStart"/>
      <w:r w:rsidRPr="0042157B">
        <w:rPr>
          <w:rFonts w:ascii="Times New Roman" w:hAnsi="Times New Roman" w:cs="Times New Roman"/>
        </w:rPr>
        <w:t>Krcmaric</w:t>
      </w:r>
      <w:proofErr w:type="spellEnd"/>
      <w:r w:rsidRPr="0042157B">
        <w:rPr>
          <w:rFonts w:ascii="Times New Roman" w:hAnsi="Times New Roman" w:cs="Times New Roman"/>
        </w:rPr>
        <w:t xml:space="preserve"> has two hypotheses:</w:t>
      </w:r>
    </w:p>
    <w:p w14:paraId="56007605" w14:textId="77777777" w:rsidR="00BB5505" w:rsidRPr="0042157B" w:rsidRDefault="007C6452" w:rsidP="00876FD4">
      <w:pPr>
        <w:pStyle w:val="FirstParagraph"/>
        <w:ind w:left="1440"/>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oMath>
      <w:r w:rsidR="00BB5505" w:rsidRPr="0042157B">
        <w:rPr>
          <w:rFonts w:ascii="Times New Roman" w:hAnsi="Times New Roman" w:cs="Times New Roman"/>
        </w:rPr>
        <w:t xml:space="preserve"> The likelihood of state-led mass killings is higher when there is a guerrilla war versus when there is a conventional war.</w:t>
      </w:r>
    </w:p>
    <w:p w14:paraId="5CE806F3" w14:textId="0C6DC29F" w:rsidR="00BB5505" w:rsidRPr="0042157B" w:rsidRDefault="007C6452" w:rsidP="00876FD4">
      <w:pPr>
        <w:pStyle w:val="BodyText"/>
        <w:ind w:left="1440"/>
        <w:rPr>
          <w:rFonts w:cs="Times New Roman"/>
        </w:rPr>
      </w:pP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oMath>
      <w:r w:rsidR="00BB5505" w:rsidRPr="0042157B">
        <w:rPr>
          <w:rFonts w:cs="Times New Roman"/>
        </w:rPr>
        <w:t xml:space="preserve"> The likelihood of state-led mass killings is higher when there is a conventional war versus when there is a guerrilla war.</w:t>
      </w:r>
    </w:p>
    <w:p w14:paraId="10C878B7" w14:textId="75CBCF8E" w:rsidR="00BB5505" w:rsidRPr="0042157B" w:rsidRDefault="00BB5505" w:rsidP="0014594B">
      <w:pPr>
        <w:pStyle w:val="BodyText"/>
        <w:spacing w:line="480" w:lineRule="auto"/>
        <w:jc w:val="center"/>
        <w:rPr>
          <w:rFonts w:cs="Times New Roman"/>
          <w:b/>
        </w:rPr>
      </w:pPr>
      <w:r w:rsidRPr="0042157B">
        <w:rPr>
          <w:rFonts w:cs="Times New Roman"/>
          <w:b/>
          <w:bCs/>
        </w:rPr>
        <w:lastRenderedPageBreak/>
        <w:t>Methods and Data</w:t>
      </w:r>
    </w:p>
    <w:p w14:paraId="4C5F81ED" w14:textId="512B9A3A" w:rsidR="00BB5505" w:rsidRPr="0042157B" w:rsidRDefault="00BB5505" w:rsidP="00BB5505">
      <w:pPr>
        <w:pStyle w:val="BodyText"/>
        <w:spacing w:line="480" w:lineRule="auto"/>
        <w:ind w:firstLine="720"/>
        <w:rPr>
          <w:rFonts w:cs="Times New Roman"/>
          <w:b/>
          <w:bCs/>
          <w:u w:val="single"/>
        </w:rPr>
      </w:pPr>
      <w:r w:rsidRPr="0042157B">
        <w:rPr>
          <w:rFonts w:cs="Times New Roman"/>
        </w:rPr>
        <w:t>The time-series cross-sectional PRIO 100 data set will be used to test these hypotheses. It documents information on 147 military disputes between 1945 and 2008 (</w:t>
      </w:r>
      <w:proofErr w:type="spellStart"/>
      <w:r w:rsidRPr="0042157B">
        <w:rPr>
          <w:rFonts w:cs="Times New Roman"/>
        </w:rPr>
        <w:t>Krcmaric</w:t>
      </w:r>
      <w:proofErr w:type="spellEnd"/>
      <w:r w:rsidRPr="0042157B">
        <w:rPr>
          <w:rFonts w:cs="Times New Roman"/>
        </w:rPr>
        <w:t>, 2017, pp. 24-26). Each observation is either a conventional, guerrilla/irregular or SNC war. Wars are considered periods where at least two collective actors (i.e., the state and a rebel group) are utilizing violence to defeat the other, resulting in a minimum of 100 battle deaths. These deaths do not include civilians and must be armed perpetrators attempting to overthrow and hurt the other side (</w:t>
      </w:r>
      <w:proofErr w:type="spellStart"/>
      <w:r w:rsidRPr="0042157B">
        <w:rPr>
          <w:rFonts w:cs="Times New Roman"/>
        </w:rPr>
        <w:t>Krcmaric</w:t>
      </w:r>
      <w:proofErr w:type="spellEnd"/>
      <w:r w:rsidRPr="0042157B">
        <w:rPr>
          <w:rFonts w:cs="Times New Roman"/>
        </w:rPr>
        <w:t>, 2017, pp. 24-26). The authors coded instances of conventional and guerilla warfare if they met the definition described in the paper’s previous section. An SNC war is when there is no asymmetry in military strength between the state and rebels, and both sides have limited access to advanced and heavy military weapons. SNC wars usually occur when the state is extremely weak or vulnerable to being overthrown by insurgents (</w:t>
      </w:r>
      <w:proofErr w:type="spellStart"/>
      <w:r w:rsidRPr="0042157B">
        <w:rPr>
          <w:rFonts w:cs="Times New Roman"/>
        </w:rPr>
        <w:t>Krcmaric</w:t>
      </w:r>
      <w:proofErr w:type="spellEnd"/>
      <w:r w:rsidRPr="0042157B">
        <w:rPr>
          <w:rFonts w:cs="Times New Roman"/>
        </w:rPr>
        <w:t>, 2017, pp. 24-26).</w:t>
      </w:r>
    </w:p>
    <w:p w14:paraId="0A5B8702" w14:textId="77777777" w:rsidR="00987FC9" w:rsidRDefault="00BB5505" w:rsidP="00987FC9">
      <w:pPr>
        <w:pStyle w:val="BodyText"/>
        <w:spacing w:line="480" w:lineRule="auto"/>
        <w:ind w:firstLine="720"/>
        <w:rPr>
          <w:rFonts w:cs="Times New Roman"/>
        </w:rPr>
      </w:pPr>
      <w:r w:rsidRPr="0042157B">
        <w:rPr>
          <w:rFonts w:cs="Times New Roman"/>
        </w:rPr>
        <w:t>These three types of wars are the independent variables of the analysis. Each of the wars will be coded as dummy variables (i.e., 1 equals an instance of war, and 0 equals not an instance of war) (</w:t>
      </w:r>
      <w:proofErr w:type="spellStart"/>
      <w:r w:rsidRPr="0042157B">
        <w:rPr>
          <w:rFonts w:cs="Times New Roman"/>
        </w:rPr>
        <w:t>Krcmaric</w:t>
      </w:r>
      <w:proofErr w:type="spellEnd"/>
      <w:r w:rsidRPr="0042157B">
        <w:rPr>
          <w:rFonts w:cs="Times New Roman"/>
        </w:rPr>
        <w:t xml:space="preserve">, 2017, pp. 24-26). This dataset was merged with Jay </w:t>
      </w:r>
      <w:proofErr w:type="spellStart"/>
      <w:r w:rsidRPr="0042157B">
        <w:rPr>
          <w:rFonts w:cs="Times New Roman"/>
        </w:rPr>
        <w:t>Ulfelder</w:t>
      </w:r>
      <w:proofErr w:type="spellEnd"/>
      <w:r w:rsidRPr="0042157B">
        <w:rPr>
          <w:rFonts w:cs="Times New Roman"/>
        </w:rPr>
        <w:t xml:space="preserve"> and Benjamin Valentino’s mass killing data set, which compiles information on all countries and instances of mass killings between 1945 and 2008 (Early Warning Project, 2014; (</w:t>
      </w:r>
      <w:proofErr w:type="spellStart"/>
      <w:r w:rsidRPr="0042157B">
        <w:rPr>
          <w:rFonts w:cs="Times New Roman"/>
        </w:rPr>
        <w:t>Krcmaric</w:t>
      </w:r>
      <w:proofErr w:type="spellEnd"/>
      <w:r w:rsidRPr="0042157B">
        <w:rPr>
          <w:rFonts w:cs="Times New Roman"/>
        </w:rPr>
        <w:t xml:space="preserve">, 2017, pp. 24-26; </w:t>
      </w:r>
      <w:proofErr w:type="spellStart"/>
      <w:r w:rsidRPr="0042157B">
        <w:rPr>
          <w:rFonts w:cs="Times New Roman"/>
        </w:rPr>
        <w:t>Ulfelder</w:t>
      </w:r>
      <w:proofErr w:type="spellEnd"/>
      <w:r w:rsidRPr="0042157B">
        <w:rPr>
          <w:rFonts w:cs="Times New Roman"/>
        </w:rPr>
        <w:t xml:space="preserve"> &amp; Valentino, 2008; </w:t>
      </w:r>
      <w:proofErr w:type="spellStart"/>
      <w:r w:rsidRPr="0042157B">
        <w:rPr>
          <w:rFonts w:cs="Times New Roman"/>
        </w:rPr>
        <w:t>Ulfelder</w:t>
      </w:r>
      <w:proofErr w:type="spellEnd"/>
      <w:r w:rsidRPr="0042157B">
        <w:rPr>
          <w:rFonts w:cs="Times New Roman"/>
        </w:rPr>
        <w:t xml:space="preserve">, 2013). </w:t>
      </w:r>
      <w:proofErr w:type="spellStart"/>
      <w:r w:rsidRPr="0042157B">
        <w:rPr>
          <w:rFonts w:cs="Times New Roman"/>
        </w:rPr>
        <w:t>Ulfelder</w:t>
      </w:r>
      <w:proofErr w:type="spellEnd"/>
      <w:r w:rsidRPr="0042157B">
        <w:rPr>
          <w:rFonts w:cs="Times New Roman"/>
        </w:rPr>
        <w:t xml:space="preserve"> et al. examined numerous data sets to find variables that forecast instances of mass killings. The outcome variable is binary, where 1 depicts a mass killing, and 0 represents no event of mass killing (Early Warning Project, 2014; </w:t>
      </w:r>
      <w:proofErr w:type="spellStart"/>
      <w:r w:rsidRPr="0042157B">
        <w:rPr>
          <w:rFonts w:cs="Times New Roman"/>
        </w:rPr>
        <w:t>Ulfelder</w:t>
      </w:r>
      <w:proofErr w:type="spellEnd"/>
      <w:r w:rsidRPr="0042157B">
        <w:rPr>
          <w:rFonts w:cs="Times New Roman"/>
        </w:rPr>
        <w:t xml:space="preserve"> &amp; Valentino, 2008; </w:t>
      </w:r>
      <w:proofErr w:type="spellStart"/>
      <w:r w:rsidRPr="0042157B">
        <w:rPr>
          <w:rFonts w:cs="Times New Roman"/>
        </w:rPr>
        <w:t>Ulfelder</w:t>
      </w:r>
      <w:proofErr w:type="spellEnd"/>
      <w:r w:rsidRPr="0042157B">
        <w:rPr>
          <w:rFonts w:cs="Times New Roman"/>
        </w:rPr>
        <w:t xml:space="preserve">, 2013). According to the authors, a mass killing happens when the state murders 1000 or more civilians belonging to a political, ethnic, economic, social or geographic group within a country’s borders. An episode of mass killing starts when 100 </w:t>
      </w:r>
      <w:r w:rsidRPr="0042157B">
        <w:rPr>
          <w:rFonts w:cs="Times New Roman"/>
        </w:rPr>
        <w:lastRenderedPageBreak/>
        <w:t xml:space="preserve">civilians die. When less than 100 civilians die for three sequential years, the episode is over. The year coded as the end date for the event will be the first year with fewer than 100 deaths (Early Warning Project, 2014; </w:t>
      </w:r>
      <w:proofErr w:type="spellStart"/>
      <w:r w:rsidRPr="0042157B">
        <w:rPr>
          <w:rFonts w:cs="Times New Roman"/>
        </w:rPr>
        <w:t>Ulfelder</w:t>
      </w:r>
      <w:proofErr w:type="spellEnd"/>
      <w:r w:rsidRPr="0042157B">
        <w:rPr>
          <w:rFonts w:cs="Times New Roman"/>
        </w:rPr>
        <w:t xml:space="preserve"> &amp; Valentino, 2008; </w:t>
      </w:r>
      <w:proofErr w:type="spellStart"/>
      <w:r w:rsidRPr="0042157B">
        <w:rPr>
          <w:rFonts w:cs="Times New Roman"/>
        </w:rPr>
        <w:t>Ulfelder</w:t>
      </w:r>
      <w:proofErr w:type="spellEnd"/>
      <w:r w:rsidRPr="0042157B">
        <w:rPr>
          <w:rFonts w:cs="Times New Roman"/>
        </w:rPr>
        <w:t>, 2013).</w:t>
      </w:r>
      <w:r w:rsidR="00987FC9">
        <w:rPr>
          <w:rFonts w:cs="Times New Roman"/>
        </w:rPr>
        <w:t xml:space="preserve"> </w:t>
      </w:r>
    </w:p>
    <w:p w14:paraId="6270935B" w14:textId="540CCE84" w:rsidR="00BB5505" w:rsidRPr="0042157B" w:rsidRDefault="00BB5505" w:rsidP="00987FC9">
      <w:pPr>
        <w:pStyle w:val="BodyText"/>
        <w:spacing w:line="480" w:lineRule="auto"/>
        <w:ind w:firstLine="720"/>
        <w:rPr>
          <w:rFonts w:cs="Times New Roman"/>
        </w:rPr>
      </w:pPr>
      <w:proofErr w:type="spellStart"/>
      <w:r w:rsidRPr="0042157B">
        <w:rPr>
          <w:rFonts w:cs="Times New Roman"/>
        </w:rPr>
        <w:t>Krcmaric</w:t>
      </w:r>
      <w:proofErr w:type="spellEnd"/>
      <w:r w:rsidRPr="0042157B">
        <w:rPr>
          <w:rFonts w:cs="Times New Roman"/>
        </w:rPr>
        <w:t xml:space="preserve"> examines the literature and controls for the following variables:</w:t>
      </w:r>
    </w:p>
    <w:p w14:paraId="13D200F9" w14:textId="77777777" w:rsidR="00BB5505" w:rsidRPr="0042157B" w:rsidRDefault="00BB5505" w:rsidP="00360D27">
      <w:pPr>
        <w:pStyle w:val="Compact"/>
        <w:numPr>
          <w:ilvl w:val="0"/>
          <w:numId w:val="12"/>
        </w:numPr>
        <w:spacing w:before="0" w:after="0"/>
        <w:ind w:left="482" w:hanging="482"/>
        <w:rPr>
          <w:rFonts w:ascii="Times New Roman" w:hAnsi="Times New Roman" w:cs="Times New Roman"/>
        </w:rPr>
      </w:pPr>
      <w:r w:rsidRPr="0042157B">
        <w:rPr>
          <w:rFonts w:ascii="Times New Roman" w:hAnsi="Times New Roman" w:cs="Times New Roman"/>
        </w:rPr>
        <w:t>how intense the conflict was (i.e., 1 represents between 25 and 999 battle deaths within a given year, and 2 illustrates a minimum of 1000 battle deaths within a given year) (</w:t>
      </w:r>
      <w:proofErr w:type="spellStart"/>
      <w:r w:rsidRPr="0042157B">
        <w:rPr>
          <w:rFonts w:ascii="Times New Roman" w:hAnsi="Times New Roman" w:cs="Times New Roman"/>
        </w:rPr>
        <w:t>Krcmaric</w:t>
      </w:r>
      <w:proofErr w:type="spellEnd"/>
      <w:r w:rsidRPr="0042157B">
        <w:rPr>
          <w:rFonts w:ascii="Times New Roman" w:hAnsi="Times New Roman" w:cs="Times New Roman"/>
        </w:rPr>
        <w:t>, 2017, pp. 24-26)</w:t>
      </w:r>
    </w:p>
    <w:p w14:paraId="6642FCD9" w14:textId="77777777" w:rsidR="00360D27" w:rsidRPr="0042157B" w:rsidRDefault="00360D27" w:rsidP="00360D27">
      <w:pPr>
        <w:pStyle w:val="Compact"/>
        <w:spacing w:before="0" w:after="0"/>
        <w:rPr>
          <w:rFonts w:ascii="Times New Roman" w:hAnsi="Times New Roman" w:cs="Times New Roman"/>
        </w:rPr>
      </w:pPr>
    </w:p>
    <w:p w14:paraId="7A7C0E0B" w14:textId="77777777" w:rsidR="00BB5505" w:rsidRPr="0042157B" w:rsidRDefault="00BB5505" w:rsidP="00360D27">
      <w:pPr>
        <w:pStyle w:val="Compact"/>
        <w:numPr>
          <w:ilvl w:val="0"/>
          <w:numId w:val="12"/>
        </w:numPr>
        <w:spacing w:before="0" w:after="0"/>
        <w:ind w:left="482" w:hanging="482"/>
        <w:rPr>
          <w:rFonts w:ascii="Times New Roman" w:hAnsi="Times New Roman" w:cs="Times New Roman"/>
        </w:rPr>
      </w:pPr>
      <w:r w:rsidRPr="0042157B">
        <w:rPr>
          <w:rFonts w:ascii="Times New Roman" w:hAnsi="Times New Roman" w:cs="Times New Roman"/>
        </w:rPr>
        <w:t>whether the conflict was fought to control and/or gain territory (i.e., 1 indicates territorial motive and 0 no territorial motive)</w:t>
      </w:r>
    </w:p>
    <w:p w14:paraId="32EB019A" w14:textId="77777777" w:rsidR="00360D27" w:rsidRPr="0042157B" w:rsidRDefault="00360D27" w:rsidP="00360D27">
      <w:pPr>
        <w:pStyle w:val="Compact"/>
        <w:spacing w:before="0" w:after="0"/>
        <w:rPr>
          <w:rFonts w:ascii="Times New Roman" w:hAnsi="Times New Roman" w:cs="Times New Roman"/>
        </w:rPr>
      </w:pPr>
    </w:p>
    <w:p w14:paraId="0433C80B" w14:textId="77777777" w:rsidR="00BB5505" w:rsidRPr="0042157B" w:rsidRDefault="00BB5505" w:rsidP="00360D27">
      <w:pPr>
        <w:pStyle w:val="Compact"/>
        <w:numPr>
          <w:ilvl w:val="0"/>
          <w:numId w:val="12"/>
        </w:numPr>
        <w:spacing w:before="0" w:after="0"/>
        <w:ind w:left="482" w:hanging="482"/>
        <w:rPr>
          <w:rFonts w:ascii="Times New Roman" w:hAnsi="Times New Roman" w:cs="Times New Roman"/>
        </w:rPr>
      </w:pPr>
      <w:r w:rsidRPr="0042157B">
        <w:rPr>
          <w:rFonts w:ascii="Times New Roman" w:hAnsi="Times New Roman" w:cs="Times New Roman"/>
        </w:rPr>
        <w:t>whether the country is a democracy (i.e., 1 is a democracy and 0 is not a democracy) (</w:t>
      </w:r>
      <w:proofErr w:type="spellStart"/>
      <w:r w:rsidRPr="0042157B">
        <w:rPr>
          <w:rFonts w:ascii="Times New Roman" w:hAnsi="Times New Roman" w:cs="Times New Roman"/>
        </w:rPr>
        <w:t>Krcmaric</w:t>
      </w:r>
      <w:proofErr w:type="spellEnd"/>
      <w:r w:rsidRPr="0042157B">
        <w:rPr>
          <w:rFonts w:ascii="Times New Roman" w:hAnsi="Times New Roman" w:cs="Times New Roman"/>
        </w:rPr>
        <w:t>, 2017, pp. 24-26)</w:t>
      </w:r>
    </w:p>
    <w:p w14:paraId="02065C78" w14:textId="77777777" w:rsidR="00360D27" w:rsidRPr="0042157B" w:rsidRDefault="00360D27" w:rsidP="00360D27">
      <w:pPr>
        <w:pStyle w:val="Compact"/>
        <w:spacing w:before="0" w:after="0"/>
        <w:rPr>
          <w:rFonts w:ascii="Times New Roman" w:hAnsi="Times New Roman" w:cs="Times New Roman"/>
        </w:rPr>
      </w:pPr>
    </w:p>
    <w:p w14:paraId="518DEDD7" w14:textId="77777777" w:rsidR="00BB5505" w:rsidRPr="0042157B" w:rsidRDefault="00BB5505" w:rsidP="00360D27">
      <w:pPr>
        <w:pStyle w:val="Compact"/>
        <w:numPr>
          <w:ilvl w:val="0"/>
          <w:numId w:val="12"/>
        </w:numPr>
        <w:spacing w:before="0" w:after="0"/>
        <w:ind w:left="482" w:hanging="482"/>
        <w:rPr>
          <w:rFonts w:ascii="Times New Roman" w:hAnsi="Times New Roman" w:cs="Times New Roman"/>
        </w:rPr>
      </w:pPr>
      <w:r w:rsidRPr="0042157B">
        <w:rPr>
          <w:rFonts w:ascii="Times New Roman" w:hAnsi="Times New Roman" w:cs="Times New Roman"/>
        </w:rPr>
        <w:t>the level of ethnic polarization</w:t>
      </w:r>
    </w:p>
    <w:p w14:paraId="49160F15" w14:textId="77777777" w:rsidR="00360D27" w:rsidRPr="0042157B" w:rsidRDefault="00360D27" w:rsidP="00360D27">
      <w:pPr>
        <w:pStyle w:val="Compact"/>
        <w:spacing w:before="0" w:after="0"/>
        <w:rPr>
          <w:rFonts w:ascii="Times New Roman" w:hAnsi="Times New Roman" w:cs="Times New Roman"/>
        </w:rPr>
      </w:pPr>
    </w:p>
    <w:p w14:paraId="4CEA3283" w14:textId="77777777" w:rsidR="00BB5505" w:rsidRPr="0042157B" w:rsidRDefault="00BB5505" w:rsidP="00360D27">
      <w:pPr>
        <w:pStyle w:val="Compact"/>
        <w:numPr>
          <w:ilvl w:val="0"/>
          <w:numId w:val="12"/>
        </w:numPr>
        <w:spacing w:before="0" w:after="0"/>
        <w:ind w:left="482" w:hanging="482"/>
        <w:rPr>
          <w:rFonts w:ascii="Times New Roman" w:hAnsi="Times New Roman" w:cs="Times New Roman"/>
        </w:rPr>
      </w:pPr>
      <w:r w:rsidRPr="0042157B">
        <w:rPr>
          <w:rFonts w:ascii="Times New Roman" w:hAnsi="Times New Roman" w:cs="Times New Roman"/>
        </w:rPr>
        <w:t>whether the elites controlling the country espoused exclusionary ideologies (i.e., 1 equals an exclusionary ideology espoused, and 0 represents no exclusionary ideology espoused) (</w:t>
      </w:r>
      <w:proofErr w:type="spellStart"/>
      <w:r w:rsidRPr="0042157B">
        <w:rPr>
          <w:rFonts w:ascii="Times New Roman" w:hAnsi="Times New Roman" w:cs="Times New Roman"/>
        </w:rPr>
        <w:t>Krcmaric</w:t>
      </w:r>
      <w:proofErr w:type="spellEnd"/>
      <w:r w:rsidRPr="0042157B">
        <w:rPr>
          <w:rFonts w:ascii="Times New Roman" w:hAnsi="Times New Roman" w:cs="Times New Roman"/>
        </w:rPr>
        <w:t>, 2017, pp. 24-26)</w:t>
      </w:r>
    </w:p>
    <w:p w14:paraId="2A980081" w14:textId="77777777" w:rsidR="00360D27" w:rsidRPr="0042157B" w:rsidRDefault="00360D27" w:rsidP="00360D27">
      <w:pPr>
        <w:pStyle w:val="Compact"/>
        <w:spacing w:before="0" w:after="0"/>
        <w:rPr>
          <w:rFonts w:ascii="Times New Roman" w:hAnsi="Times New Roman" w:cs="Times New Roman"/>
        </w:rPr>
      </w:pPr>
    </w:p>
    <w:p w14:paraId="4FA0AA86" w14:textId="77777777" w:rsidR="00BB5505" w:rsidRPr="0042157B" w:rsidRDefault="00BB5505" w:rsidP="00360D27">
      <w:pPr>
        <w:pStyle w:val="Compact"/>
        <w:numPr>
          <w:ilvl w:val="0"/>
          <w:numId w:val="12"/>
        </w:numPr>
        <w:spacing w:before="0" w:after="0"/>
        <w:ind w:left="482" w:hanging="482"/>
        <w:rPr>
          <w:rFonts w:ascii="Times New Roman" w:hAnsi="Times New Roman" w:cs="Times New Roman"/>
        </w:rPr>
      </w:pPr>
      <w:r w:rsidRPr="0042157B">
        <w:rPr>
          <w:rFonts w:ascii="Times New Roman" w:hAnsi="Times New Roman" w:cs="Times New Roman"/>
        </w:rPr>
        <w:t>the country’s level of trade openness (</w:t>
      </w:r>
      <w:proofErr w:type="spellStart"/>
      <w:r w:rsidRPr="0042157B">
        <w:rPr>
          <w:rFonts w:ascii="Times New Roman" w:hAnsi="Times New Roman" w:cs="Times New Roman"/>
        </w:rPr>
        <w:t>Krcmaric</w:t>
      </w:r>
      <w:proofErr w:type="spellEnd"/>
      <w:r w:rsidRPr="0042157B">
        <w:rPr>
          <w:rFonts w:ascii="Times New Roman" w:hAnsi="Times New Roman" w:cs="Times New Roman"/>
        </w:rPr>
        <w:t>, 2017, pp. 24-26)</w:t>
      </w:r>
    </w:p>
    <w:p w14:paraId="24582ACF" w14:textId="77777777" w:rsidR="00360D27" w:rsidRPr="0042157B" w:rsidRDefault="00360D27" w:rsidP="00360D27">
      <w:pPr>
        <w:pStyle w:val="Compact"/>
        <w:spacing w:before="0" w:after="0"/>
        <w:rPr>
          <w:rFonts w:ascii="Times New Roman" w:hAnsi="Times New Roman" w:cs="Times New Roman"/>
        </w:rPr>
      </w:pPr>
    </w:p>
    <w:p w14:paraId="61BAB5D6" w14:textId="77777777" w:rsidR="00BB5505" w:rsidRPr="0042157B" w:rsidRDefault="00BB5505" w:rsidP="00360D27">
      <w:pPr>
        <w:pStyle w:val="Compact"/>
        <w:numPr>
          <w:ilvl w:val="0"/>
          <w:numId w:val="12"/>
        </w:numPr>
        <w:spacing w:before="0" w:after="0"/>
        <w:ind w:left="482" w:hanging="482"/>
        <w:rPr>
          <w:rFonts w:ascii="Times New Roman" w:hAnsi="Times New Roman" w:cs="Times New Roman"/>
        </w:rPr>
      </w:pPr>
      <w:r w:rsidRPr="0042157B">
        <w:rPr>
          <w:rFonts w:ascii="Times New Roman" w:hAnsi="Times New Roman" w:cs="Times New Roman"/>
        </w:rPr>
        <w:t>the country’s GDP per capita (i.e., its overall economic development) (</w:t>
      </w:r>
      <w:proofErr w:type="spellStart"/>
      <w:r w:rsidRPr="0042157B">
        <w:rPr>
          <w:rFonts w:ascii="Times New Roman" w:hAnsi="Times New Roman" w:cs="Times New Roman"/>
        </w:rPr>
        <w:t>Krcmaric</w:t>
      </w:r>
      <w:proofErr w:type="spellEnd"/>
      <w:r w:rsidRPr="0042157B">
        <w:rPr>
          <w:rFonts w:ascii="Times New Roman" w:hAnsi="Times New Roman" w:cs="Times New Roman"/>
        </w:rPr>
        <w:t>, 2017, pp. 24-26)</w:t>
      </w:r>
    </w:p>
    <w:p w14:paraId="6F8A99E3" w14:textId="77777777" w:rsidR="00360D27" w:rsidRPr="0042157B" w:rsidRDefault="00360D27" w:rsidP="00360D27">
      <w:pPr>
        <w:pStyle w:val="Compact"/>
        <w:spacing w:before="0" w:after="0"/>
        <w:rPr>
          <w:rFonts w:ascii="Times New Roman" w:hAnsi="Times New Roman" w:cs="Times New Roman"/>
        </w:rPr>
      </w:pPr>
    </w:p>
    <w:p w14:paraId="52DEC6CE" w14:textId="77777777" w:rsidR="00BB5505" w:rsidRPr="0042157B" w:rsidRDefault="00BB5505" w:rsidP="00360D27">
      <w:pPr>
        <w:pStyle w:val="Compact"/>
        <w:numPr>
          <w:ilvl w:val="0"/>
          <w:numId w:val="12"/>
        </w:numPr>
        <w:spacing w:before="0" w:after="0"/>
        <w:ind w:left="482" w:hanging="482"/>
        <w:rPr>
          <w:rFonts w:ascii="Times New Roman" w:hAnsi="Times New Roman" w:cs="Times New Roman"/>
        </w:rPr>
      </w:pPr>
      <w:r w:rsidRPr="0042157B">
        <w:rPr>
          <w:rFonts w:ascii="Times New Roman" w:hAnsi="Times New Roman" w:cs="Times New Roman"/>
        </w:rPr>
        <w:t>the country’s population (</w:t>
      </w:r>
      <w:proofErr w:type="spellStart"/>
      <w:r w:rsidRPr="0042157B">
        <w:rPr>
          <w:rFonts w:ascii="Times New Roman" w:hAnsi="Times New Roman" w:cs="Times New Roman"/>
        </w:rPr>
        <w:t>Krcmaric</w:t>
      </w:r>
      <w:proofErr w:type="spellEnd"/>
      <w:r w:rsidRPr="0042157B">
        <w:rPr>
          <w:rFonts w:ascii="Times New Roman" w:hAnsi="Times New Roman" w:cs="Times New Roman"/>
        </w:rPr>
        <w:t>, 2017, pp. 24-26)</w:t>
      </w:r>
    </w:p>
    <w:p w14:paraId="477DB489" w14:textId="5238D123" w:rsidR="00BB5505" w:rsidRDefault="00BB5505" w:rsidP="00BB5505">
      <w:pPr>
        <w:pStyle w:val="FirstParagraph"/>
        <w:spacing w:line="480" w:lineRule="auto"/>
        <w:ind w:firstLine="480"/>
        <w:rPr>
          <w:rFonts w:ascii="Times New Roman" w:hAnsi="Times New Roman" w:cs="Times New Roman"/>
        </w:rPr>
      </w:pPr>
      <w:r w:rsidRPr="0042157B">
        <w:rPr>
          <w:rFonts w:ascii="Times New Roman" w:hAnsi="Times New Roman" w:cs="Times New Roman"/>
        </w:rPr>
        <w:t xml:space="preserve">I will test these hypotheses using a logistic regression where the standard errors are clustered by country to address heteroskedasticity and autocorrelation. There </w:t>
      </w:r>
      <w:r w:rsidR="00B26018" w:rsidRPr="0042157B">
        <w:rPr>
          <w:rFonts w:ascii="Times New Roman" w:hAnsi="Times New Roman" w:cs="Times New Roman"/>
        </w:rPr>
        <w:t>are</w:t>
      </w:r>
      <w:r w:rsidRPr="0042157B">
        <w:rPr>
          <w:rFonts w:ascii="Times New Roman" w:hAnsi="Times New Roman" w:cs="Times New Roman"/>
        </w:rPr>
        <w:t xml:space="preserve"> three re</w:t>
      </w:r>
      <w:r w:rsidR="00B26018" w:rsidRPr="0042157B">
        <w:rPr>
          <w:rFonts w:ascii="Times New Roman" w:hAnsi="Times New Roman" w:cs="Times New Roman"/>
        </w:rPr>
        <w:t xml:space="preserve">gression models. The first </w:t>
      </w:r>
      <w:r w:rsidRPr="0042157B">
        <w:rPr>
          <w:rFonts w:ascii="Times New Roman" w:hAnsi="Times New Roman" w:cs="Times New Roman"/>
        </w:rPr>
        <w:t>include</w:t>
      </w:r>
      <w:r w:rsidR="00B26018" w:rsidRPr="0042157B">
        <w:rPr>
          <w:rFonts w:ascii="Times New Roman" w:hAnsi="Times New Roman" w:cs="Times New Roman"/>
        </w:rPr>
        <w:t>s</w:t>
      </w:r>
      <w:r w:rsidRPr="0042157B">
        <w:rPr>
          <w:rFonts w:ascii="Times New Roman" w:hAnsi="Times New Roman" w:cs="Times New Roman"/>
        </w:rPr>
        <w:t xml:space="preserve"> the guerilla warfare variable and the covariates. The second will add the SNC variable. The third will remove the SNC variable and add in the conventional warfare variable (</w:t>
      </w:r>
      <w:proofErr w:type="spellStart"/>
      <w:r w:rsidRPr="0042157B">
        <w:rPr>
          <w:rFonts w:ascii="Times New Roman" w:hAnsi="Times New Roman" w:cs="Times New Roman"/>
        </w:rPr>
        <w:t>Krcmaric</w:t>
      </w:r>
      <w:proofErr w:type="spellEnd"/>
      <w:r w:rsidRPr="0042157B">
        <w:rPr>
          <w:rFonts w:ascii="Times New Roman" w:hAnsi="Times New Roman" w:cs="Times New Roman"/>
        </w:rPr>
        <w:t>, 2017, pp. 24-26).</w:t>
      </w:r>
    </w:p>
    <w:p w14:paraId="68BC0FE4" w14:textId="11BA986A" w:rsidR="0042157B" w:rsidRDefault="0042157B" w:rsidP="0042157B">
      <w:pPr>
        <w:pStyle w:val="BodyText"/>
        <w:rPr>
          <w:lang w:val="en-US" w:eastAsia="en-US" w:bidi="ar-SA"/>
        </w:rPr>
      </w:pPr>
    </w:p>
    <w:p w14:paraId="3E75D447" w14:textId="495D835B" w:rsidR="0042157B" w:rsidRDefault="0042157B" w:rsidP="0042157B">
      <w:pPr>
        <w:pStyle w:val="BodyText"/>
        <w:rPr>
          <w:lang w:val="en-US" w:eastAsia="en-US" w:bidi="ar-SA"/>
        </w:rPr>
      </w:pPr>
    </w:p>
    <w:p w14:paraId="2385128D" w14:textId="77777777" w:rsidR="0042157B" w:rsidRPr="0042157B" w:rsidRDefault="0042157B" w:rsidP="0042157B">
      <w:pPr>
        <w:pStyle w:val="BodyText"/>
        <w:rPr>
          <w:lang w:val="en-US" w:eastAsia="en-US" w:bidi="ar-SA"/>
        </w:rPr>
      </w:pPr>
    </w:p>
    <w:p w14:paraId="330D719F" w14:textId="2E5C7ED5" w:rsidR="00BB5505" w:rsidRPr="0042157B" w:rsidRDefault="00BB5505" w:rsidP="0014594B">
      <w:pPr>
        <w:pStyle w:val="BodyText"/>
        <w:jc w:val="center"/>
        <w:rPr>
          <w:rFonts w:cs="Times New Roman"/>
          <w:b/>
          <w:bCs/>
          <w:lang w:val="en-US" w:eastAsia="en-US" w:bidi="ar-SA"/>
        </w:rPr>
      </w:pPr>
      <w:r w:rsidRPr="0042157B">
        <w:rPr>
          <w:rFonts w:cs="Times New Roman"/>
          <w:b/>
          <w:bCs/>
          <w:lang w:val="en-US" w:eastAsia="en-US" w:bidi="ar-SA"/>
        </w:rPr>
        <w:lastRenderedPageBreak/>
        <w:t>Results</w:t>
      </w:r>
    </w:p>
    <w:p w14:paraId="72EBDF7A" w14:textId="326046DE" w:rsidR="00876FD4" w:rsidRPr="0042157B" w:rsidRDefault="00876FD4" w:rsidP="00876FD4">
      <w:pPr>
        <w:pStyle w:val="BodyText"/>
        <w:spacing w:after="0"/>
        <w:rPr>
          <w:rFonts w:cs="Times New Roman"/>
          <w:b/>
          <w:bCs/>
          <w:lang w:val="en-US" w:eastAsia="en-US" w:bidi="ar-SA"/>
        </w:rPr>
      </w:pPr>
      <w:r w:rsidRPr="0042157B">
        <w:rPr>
          <w:rFonts w:cs="Times New Roman"/>
          <w:b/>
          <w:bCs/>
          <w:lang w:val="en-US" w:eastAsia="en-US" w:bidi="ar-SA"/>
        </w:rPr>
        <w:t>Figure 1</w:t>
      </w:r>
    </w:p>
    <w:p w14:paraId="5DE93F28" w14:textId="77777777" w:rsidR="00876FD4" w:rsidRPr="0042157B" w:rsidRDefault="00876FD4" w:rsidP="00876FD4">
      <w:pPr>
        <w:pStyle w:val="BodyText"/>
        <w:spacing w:after="0"/>
        <w:rPr>
          <w:rFonts w:cs="Times New Roman"/>
          <w:b/>
          <w:bCs/>
          <w:lang w:val="en-US" w:eastAsia="en-US" w:bidi="ar-SA"/>
        </w:rPr>
      </w:pPr>
    </w:p>
    <w:p w14:paraId="3AEE6E4E" w14:textId="637B8962" w:rsidR="00BB5505" w:rsidRPr="0042157B" w:rsidRDefault="00BB5505" w:rsidP="00876FD4">
      <w:pPr>
        <w:pStyle w:val="BodyText"/>
        <w:spacing w:after="0"/>
        <w:rPr>
          <w:rFonts w:cs="Times New Roman"/>
          <w:bCs/>
          <w:i/>
          <w:lang w:val="en-US" w:eastAsia="en-US" w:bidi="ar-SA"/>
        </w:rPr>
      </w:pPr>
      <w:r w:rsidRPr="0042157B">
        <w:rPr>
          <w:rFonts w:cs="Times New Roman"/>
          <w:bCs/>
          <w:i/>
          <w:lang w:val="en-US" w:eastAsia="en-US" w:bidi="ar-SA"/>
        </w:rPr>
        <w:t>Table for Model 1, 2, and 3</w:t>
      </w:r>
    </w:p>
    <w:tbl>
      <w:tblPr>
        <w:tblStyle w:val="Table"/>
        <w:tblW w:w="0" w:type="auto"/>
        <w:tblLayout w:type="fixed"/>
        <w:tblLook w:val="0420" w:firstRow="1" w:lastRow="0" w:firstColumn="0" w:lastColumn="0" w:noHBand="0" w:noVBand="1"/>
      </w:tblPr>
      <w:tblGrid>
        <w:gridCol w:w="1921"/>
        <w:gridCol w:w="1921"/>
        <w:gridCol w:w="1921"/>
        <w:gridCol w:w="1924"/>
      </w:tblGrid>
      <w:tr w:rsidR="002B5A39" w:rsidRPr="0042157B" w14:paraId="2464BBB7" w14:textId="77777777" w:rsidTr="00BB5505">
        <w:trPr>
          <w:cantSplit/>
          <w:trHeight w:val="375"/>
          <w:tblHeader/>
        </w:trPr>
        <w:tc>
          <w:tcPr>
            <w:tcW w:w="192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87FA97B" w14:textId="77777777" w:rsidR="00BB5505" w:rsidRPr="0042157B" w:rsidRDefault="00BB5505" w:rsidP="00BB3E39">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 xml:space="preserve"> </w:t>
            </w:r>
          </w:p>
        </w:tc>
        <w:tc>
          <w:tcPr>
            <w:tcW w:w="192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4959A7E" w14:textId="77777777" w:rsidR="00BB5505" w:rsidRPr="0042157B" w:rsidRDefault="00BB5505" w:rsidP="00BB3E39">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Model 1</w:t>
            </w:r>
          </w:p>
        </w:tc>
        <w:tc>
          <w:tcPr>
            <w:tcW w:w="192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A54A033" w14:textId="77777777" w:rsidR="00BB5505" w:rsidRPr="0042157B" w:rsidRDefault="00BB5505" w:rsidP="00BB3E39">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Model 2</w:t>
            </w:r>
          </w:p>
        </w:tc>
        <w:tc>
          <w:tcPr>
            <w:tcW w:w="192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B92A8DB" w14:textId="77777777" w:rsidR="00BB5505" w:rsidRPr="0042157B" w:rsidRDefault="00BB5505" w:rsidP="00BB3E39">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Model 3</w:t>
            </w:r>
          </w:p>
        </w:tc>
      </w:tr>
      <w:tr w:rsidR="002B5A39" w:rsidRPr="0042157B" w14:paraId="3BFFF50D" w14:textId="77777777" w:rsidTr="00BB5505">
        <w:trPr>
          <w:cantSplit/>
          <w:trHeight w:val="594"/>
        </w:trPr>
        <w:tc>
          <w:tcPr>
            <w:tcW w:w="1921" w:type="dxa"/>
            <w:shd w:val="clear" w:color="auto" w:fill="FFFFFF"/>
            <w:tcMar>
              <w:top w:w="0" w:type="dxa"/>
              <w:left w:w="0" w:type="dxa"/>
              <w:bottom w:w="0" w:type="dxa"/>
              <w:right w:w="0" w:type="dxa"/>
            </w:tcMar>
            <w:vAlign w:val="center"/>
          </w:tcPr>
          <w:p w14:paraId="4782335F" w14:textId="77777777" w:rsidR="00BB5505" w:rsidRPr="0042157B" w:rsidRDefault="00BB5505" w:rsidP="00BB3E39">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Intercept</w:t>
            </w:r>
          </w:p>
        </w:tc>
        <w:tc>
          <w:tcPr>
            <w:tcW w:w="1921" w:type="dxa"/>
            <w:shd w:val="clear" w:color="auto" w:fill="FFFFFF"/>
            <w:tcMar>
              <w:top w:w="0" w:type="dxa"/>
              <w:left w:w="0" w:type="dxa"/>
              <w:bottom w:w="0" w:type="dxa"/>
              <w:right w:w="0" w:type="dxa"/>
            </w:tcMar>
            <w:vAlign w:val="center"/>
          </w:tcPr>
          <w:p w14:paraId="68F99FD2" w14:textId="77777777" w:rsidR="00BB5505" w:rsidRPr="0042157B" w:rsidRDefault="00BB5505" w:rsidP="00BB3E39">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-1.662* (0.956)</w:t>
            </w:r>
          </w:p>
        </w:tc>
        <w:tc>
          <w:tcPr>
            <w:tcW w:w="1921" w:type="dxa"/>
            <w:shd w:val="clear" w:color="auto" w:fill="FFFFFF"/>
            <w:tcMar>
              <w:top w:w="0" w:type="dxa"/>
              <w:left w:w="0" w:type="dxa"/>
              <w:bottom w:w="0" w:type="dxa"/>
              <w:right w:w="0" w:type="dxa"/>
            </w:tcMar>
            <w:vAlign w:val="center"/>
          </w:tcPr>
          <w:p w14:paraId="4B753319" w14:textId="77777777" w:rsidR="00BB5505" w:rsidRPr="0042157B" w:rsidRDefault="00BB5505" w:rsidP="00BB3E39">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-2.035** (0.990)</w:t>
            </w:r>
          </w:p>
        </w:tc>
        <w:tc>
          <w:tcPr>
            <w:tcW w:w="1924" w:type="dxa"/>
            <w:shd w:val="clear" w:color="auto" w:fill="FFFFFF"/>
            <w:tcMar>
              <w:top w:w="0" w:type="dxa"/>
              <w:left w:w="0" w:type="dxa"/>
              <w:bottom w:w="0" w:type="dxa"/>
              <w:right w:w="0" w:type="dxa"/>
            </w:tcMar>
            <w:vAlign w:val="center"/>
          </w:tcPr>
          <w:p w14:paraId="6A3630ED" w14:textId="77777777" w:rsidR="00BB5505" w:rsidRPr="0042157B" w:rsidRDefault="00BB5505" w:rsidP="00BB3E39">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-1.159 (0.976)</w:t>
            </w:r>
          </w:p>
        </w:tc>
      </w:tr>
      <w:tr w:rsidR="002B5A39" w:rsidRPr="0042157B" w14:paraId="4E140918" w14:textId="77777777" w:rsidTr="00BB5505">
        <w:trPr>
          <w:cantSplit/>
          <w:trHeight w:val="599"/>
        </w:trPr>
        <w:tc>
          <w:tcPr>
            <w:tcW w:w="1921" w:type="dxa"/>
            <w:shd w:val="clear" w:color="auto" w:fill="FFFFFF"/>
            <w:tcMar>
              <w:top w:w="0" w:type="dxa"/>
              <w:left w:w="0" w:type="dxa"/>
              <w:bottom w:w="0" w:type="dxa"/>
              <w:right w:w="0" w:type="dxa"/>
            </w:tcMar>
            <w:vAlign w:val="center"/>
          </w:tcPr>
          <w:p w14:paraId="6568BE59" w14:textId="77777777" w:rsidR="00BB5505" w:rsidRPr="0042157B" w:rsidRDefault="00BB5505" w:rsidP="00BB3E39">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Guerrilla Warfare</w:t>
            </w:r>
          </w:p>
        </w:tc>
        <w:tc>
          <w:tcPr>
            <w:tcW w:w="1921" w:type="dxa"/>
            <w:shd w:val="clear" w:color="auto" w:fill="FFFFFF"/>
            <w:tcMar>
              <w:top w:w="0" w:type="dxa"/>
              <w:left w:w="0" w:type="dxa"/>
              <w:bottom w:w="0" w:type="dxa"/>
              <w:right w:w="0" w:type="dxa"/>
            </w:tcMar>
            <w:vAlign w:val="center"/>
          </w:tcPr>
          <w:p w14:paraId="7E5B593C" w14:textId="77777777" w:rsidR="00BB5505" w:rsidRPr="0042157B" w:rsidRDefault="00BB5505" w:rsidP="00BB3E39">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-1.188*** (0.351)</w:t>
            </w:r>
          </w:p>
        </w:tc>
        <w:tc>
          <w:tcPr>
            <w:tcW w:w="1921" w:type="dxa"/>
            <w:shd w:val="clear" w:color="auto" w:fill="FFFFFF"/>
            <w:tcMar>
              <w:top w:w="0" w:type="dxa"/>
              <w:left w:w="0" w:type="dxa"/>
              <w:bottom w:w="0" w:type="dxa"/>
              <w:right w:w="0" w:type="dxa"/>
            </w:tcMar>
            <w:vAlign w:val="center"/>
          </w:tcPr>
          <w:p w14:paraId="117B4B23" w14:textId="77777777" w:rsidR="00BB5505" w:rsidRPr="0042157B" w:rsidRDefault="00BB5505" w:rsidP="00BB3E39">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-0.993*** (0.380)</w:t>
            </w:r>
          </w:p>
        </w:tc>
        <w:tc>
          <w:tcPr>
            <w:tcW w:w="1924" w:type="dxa"/>
            <w:shd w:val="clear" w:color="auto" w:fill="FFFFFF"/>
            <w:tcMar>
              <w:top w:w="0" w:type="dxa"/>
              <w:left w:w="0" w:type="dxa"/>
              <w:bottom w:w="0" w:type="dxa"/>
              <w:right w:w="0" w:type="dxa"/>
            </w:tcMar>
            <w:vAlign w:val="center"/>
          </w:tcPr>
          <w:p w14:paraId="41FE2667" w14:textId="77777777" w:rsidR="00BB5505" w:rsidRPr="0042157B" w:rsidRDefault="00BB5505" w:rsidP="00BB3E39">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-1.869*** (0.384)</w:t>
            </w:r>
          </w:p>
        </w:tc>
      </w:tr>
      <w:tr w:rsidR="002B5A39" w:rsidRPr="0042157B" w14:paraId="04668FCB" w14:textId="77777777" w:rsidTr="00BB5505">
        <w:trPr>
          <w:cantSplit/>
          <w:trHeight w:val="594"/>
        </w:trPr>
        <w:tc>
          <w:tcPr>
            <w:tcW w:w="1921" w:type="dxa"/>
            <w:shd w:val="clear" w:color="auto" w:fill="FFFFFF"/>
            <w:tcMar>
              <w:top w:w="0" w:type="dxa"/>
              <w:left w:w="0" w:type="dxa"/>
              <w:bottom w:w="0" w:type="dxa"/>
              <w:right w:w="0" w:type="dxa"/>
            </w:tcMar>
            <w:vAlign w:val="center"/>
          </w:tcPr>
          <w:p w14:paraId="71ADC917" w14:textId="77777777" w:rsidR="00BB5505" w:rsidRPr="0042157B" w:rsidRDefault="00BB5505" w:rsidP="00BB3E39">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SNC Warfare</w:t>
            </w:r>
          </w:p>
        </w:tc>
        <w:tc>
          <w:tcPr>
            <w:tcW w:w="1921" w:type="dxa"/>
            <w:shd w:val="clear" w:color="auto" w:fill="FFFFFF"/>
            <w:tcMar>
              <w:top w:w="0" w:type="dxa"/>
              <w:left w:w="0" w:type="dxa"/>
              <w:bottom w:w="0" w:type="dxa"/>
              <w:right w:w="0" w:type="dxa"/>
            </w:tcMar>
            <w:vAlign w:val="center"/>
          </w:tcPr>
          <w:p w14:paraId="33085C5C" w14:textId="77777777" w:rsidR="00BB5505" w:rsidRPr="0042157B" w:rsidRDefault="00BB5505" w:rsidP="00BB3E39">
            <w:pPr>
              <w:spacing w:before="60" w:after="60"/>
              <w:ind w:left="60" w:right="60"/>
              <w:rPr>
                <w:rFonts w:ascii="Times New Roman" w:hAnsi="Times New Roman" w:cs="Times New Roman"/>
              </w:rPr>
            </w:pPr>
          </w:p>
        </w:tc>
        <w:tc>
          <w:tcPr>
            <w:tcW w:w="1921" w:type="dxa"/>
            <w:shd w:val="clear" w:color="auto" w:fill="FFFFFF"/>
            <w:tcMar>
              <w:top w:w="0" w:type="dxa"/>
              <w:left w:w="0" w:type="dxa"/>
              <w:bottom w:w="0" w:type="dxa"/>
              <w:right w:w="0" w:type="dxa"/>
            </w:tcMar>
            <w:vAlign w:val="center"/>
          </w:tcPr>
          <w:p w14:paraId="62CC0991" w14:textId="77777777" w:rsidR="00BB5505" w:rsidRPr="0042157B" w:rsidRDefault="00BB5505" w:rsidP="00BB3E39">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0.876*** (0.316)</w:t>
            </w:r>
          </w:p>
        </w:tc>
        <w:tc>
          <w:tcPr>
            <w:tcW w:w="1924" w:type="dxa"/>
            <w:shd w:val="clear" w:color="auto" w:fill="FFFFFF"/>
            <w:tcMar>
              <w:top w:w="0" w:type="dxa"/>
              <w:left w:w="0" w:type="dxa"/>
              <w:bottom w:w="0" w:type="dxa"/>
              <w:right w:w="0" w:type="dxa"/>
            </w:tcMar>
            <w:vAlign w:val="center"/>
          </w:tcPr>
          <w:p w14:paraId="4897D8D7" w14:textId="77777777" w:rsidR="00BB5505" w:rsidRPr="0042157B" w:rsidRDefault="00BB5505" w:rsidP="00BB3E39">
            <w:pPr>
              <w:spacing w:before="60" w:after="60"/>
              <w:ind w:left="60" w:right="60"/>
              <w:rPr>
                <w:rFonts w:ascii="Times New Roman" w:hAnsi="Times New Roman" w:cs="Times New Roman"/>
              </w:rPr>
            </w:pPr>
          </w:p>
        </w:tc>
      </w:tr>
      <w:tr w:rsidR="002B5A39" w:rsidRPr="0042157B" w14:paraId="6F822EA2" w14:textId="77777777" w:rsidTr="00BB5505">
        <w:trPr>
          <w:cantSplit/>
          <w:trHeight w:val="837"/>
        </w:trPr>
        <w:tc>
          <w:tcPr>
            <w:tcW w:w="1921" w:type="dxa"/>
            <w:shd w:val="clear" w:color="auto" w:fill="FFFFFF"/>
            <w:tcMar>
              <w:top w:w="0" w:type="dxa"/>
              <w:left w:w="0" w:type="dxa"/>
              <w:bottom w:w="0" w:type="dxa"/>
              <w:right w:w="0" w:type="dxa"/>
            </w:tcMar>
            <w:vAlign w:val="center"/>
          </w:tcPr>
          <w:p w14:paraId="6DA7107F" w14:textId="77777777" w:rsidR="00BB5505" w:rsidRPr="0042157B" w:rsidRDefault="00BB5505" w:rsidP="00BB3E39">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Conventional Warfare</w:t>
            </w:r>
          </w:p>
        </w:tc>
        <w:tc>
          <w:tcPr>
            <w:tcW w:w="1921" w:type="dxa"/>
            <w:shd w:val="clear" w:color="auto" w:fill="FFFFFF"/>
            <w:tcMar>
              <w:top w:w="0" w:type="dxa"/>
              <w:left w:w="0" w:type="dxa"/>
              <w:bottom w:w="0" w:type="dxa"/>
              <w:right w:w="0" w:type="dxa"/>
            </w:tcMar>
            <w:vAlign w:val="center"/>
          </w:tcPr>
          <w:p w14:paraId="3D30C95B" w14:textId="77777777" w:rsidR="00BB5505" w:rsidRPr="0042157B" w:rsidRDefault="00BB5505" w:rsidP="00BB3E39">
            <w:pPr>
              <w:spacing w:before="60" w:after="60"/>
              <w:ind w:left="60" w:right="60"/>
              <w:rPr>
                <w:rFonts w:ascii="Times New Roman" w:hAnsi="Times New Roman" w:cs="Times New Roman"/>
              </w:rPr>
            </w:pPr>
          </w:p>
        </w:tc>
        <w:tc>
          <w:tcPr>
            <w:tcW w:w="1921" w:type="dxa"/>
            <w:shd w:val="clear" w:color="auto" w:fill="FFFFFF"/>
            <w:tcMar>
              <w:top w:w="0" w:type="dxa"/>
              <w:left w:w="0" w:type="dxa"/>
              <w:bottom w:w="0" w:type="dxa"/>
              <w:right w:w="0" w:type="dxa"/>
            </w:tcMar>
            <w:vAlign w:val="center"/>
          </w:tcPr>
          <w:p w14:paraId="13A96D38" w14:textId="77777777" w:rsidR="00BB5505" w:rsidRPr="0042157B" w:rsidRDefault="00BB5505" w:rsidP="00BB3E39">
            <w:pPr>
              <w:spacing w:before="60" w:after="60"/>
              <w:ind w:left="60" w:right="60"/>
              <w:rPr>
                <w:rFonts w:ascii="Times New Roman" w:hAnsi="Times New Roman" w:cs="Times New Roman"/>
              </w:rPr>
            </w:pPr>
          </w:p>
        </w:tc>
        <w:tc>
          <w:tcPr>
            <w:tcW w:w="1924" w:type="dxa"/>
            <w:shd w:val="clear" w:color="auto" w:fill="FFFFFF"/>
            <w:tcMar>
              <w:top w:w="0" w:type="dxa"/>
              <w:left w:w="0" w:type="dxa"/>
              <w:bottom w:w="0" w:type="dxa"/>
              <w:right w:w="0" w:type="dxa"/>
            </w:tcMar>
            <w:vAlign w:val="center"/>
          </w:tcPr>
          <w:p w14:paraId="65CFC9EB" w14:textId="77777777" w:rsidR="00BB5505" w:rsidRPr="0042157B" w:rsidRDefault="00BB5505" w:rsidP="00BB3E39">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-0.876*** (0.316)</w:t>
            </w:r>
          </w:p>
        </w:tc>
      </w:tr>
      <w:tr w:rsidR="002B5A39" w:rsidRPr="0042157B" w14:paraId="1050AA43" w14:textId="77777777" w:rsidTr="00BB5505">
        <w:trPr>
          <w:cantSplit/>
          <w:trHeight w:val="594"/>
        </w:trPr>
        <w:tc>
          <w:tcPr>
            <w:tcW w:w="1921" w:type="dxa"/>
            <w:shd w:val="clear" w:color="auto" w:fill="FFFFFF"/>
            <w:tcMar>
              <w:top w:w="0" w:type="dxa"/>
              <w:left w:w="0" w:type="dxa"/>
              <w:bottom w:w="0" w:type="dxa"/>
              <w:right w:w="0" w:type="dxa"/>
            </w:tcMar>
            <w:vAlign w:val="center"/>
          </w:tcPr>
          <w:p w14:paraId="7043FD20" w14:textId="77777777" w:rsidR="00BB5505" w:rsidRPr="0042157B" w:rsidRDefault="00BB5505" w:rsidP="00BB3E39">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Democracy</w:t>
            </w:r>
          </w:p>
        </w:tc>
        <w:tc>
          <w:tcPr>
            <w:tcW w:w="1921" w:type="dxa"/>
            <w:shd w:val="clear" w:color="auto" w:fill="FFFFFF"/>
            <w:tcMar>
              <w:top w:w="0" w:type="dxa"/>
              <w:left w:w="0" w:type="dxa"/>
              <w:bottom w:w="0" w:type="dxa"/>
              <w:right w:w="0" w:type="dxa"/>
            </w:tcMar>
            <w:vAlign w:val="center"/>
          </w:tcPr>
          <w:p w14:paraId="7B52B3A0" w14:textId="77777777" w:rsidR="00BB5505" w:rsidRPr="0042157B" w:rsidRDefault="00BB5505" w:rsidP="00BB3E39">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0.199 (0.601)</w:t>
            </w:r>
          </w:p>
        </w:tc>
        <w:tc>
          <w:tcPr>
            <w:tcW w:w="1921" w:type="dxa"/>
            <w:shd w:val="clear" w:color="auto" w:fill="FFFFFF"/>
            <w:tcMar>
              <w:top w:w="0" w:type="dxa"/>
              <w:left w:w="0" w:type="dxa"/>
              <w:bottom w:w="0" w:type="dxa"/>
              <w:right w:w="0" w:type="dxa"/>
            </w:tcMar>
            <w:vAlign w:val="center"/>
          </w:tcPr>
          <w:p w14:paraId="2EC1FCD5" w14:textId="77777777" w:rsidR="00BB5505" w:rsidRPr="0042157B" w:rsidRDefault="00BB5505" w:rsidP="00BB3E39">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0.169 (0.597)</w:t>
            </w:r>
          </w:p>
        </w:tc>
        <w:tc>
          <w:tcPr>
            <w:tcW w:w="1924" w:type="dxa"/>
            <w:shd w:val="clear" w:color="auto" w:fill="FFFFFF"/>
            <w:tcMar>
              <w:top w:w="0" w:type="dxa"/>
              <w:left w:w="0" w:type="dxa"/>
              <w:bottom w:w="0" w:type="dxa"/>
              <w:right w:w="0" w:type="dxa"/>
            </w:tcMar>
            <w:vAlign w:val="center"/>
          </w:tcPr>
          <w:p w14:paraId="630D4D05" w14:textId="77777777" w:rsidR="00BB5505" w:rsidRPr="0042157B" w:rsidRDefault="00BB5505" w:rsidP="00BB3E39">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0.169 (0.597)</w:t>
            </w:r>
          </w:p>
        </w:tc>
      </w:tr>
      <w:tr w:rsidR="002B5A39" w:rsidRPr="0042157B" w14:paraId="11647C3F" w14:textId="77777777" w:rsidTr="00BB5505">
        <w:trPr>
          <w:cantSplit/>
          <w:trHeight w:val="837"/>
        </w:trPr>
        <w:tc>
          <w:tcPr>
            <w:tcW w:w="1921" w:type="dxa"/>
            <w:shd w:val="clear" w:color="auto" w:fill="FFFFFF"/>
            <w:tcMar>
              <w:top w:w="0" w:type="dxa"/>
              <w:left w:w="0" w:type="dxa"/>
              <w:bottom w:w="0" w:type="dxa"/>
              <w:right w:w="0" w:type="dxa"/>
            </w:tcMar>
            <w:vAlign w:val="center"/>
          </w:tcPr>
          <w:p w14:paraId="01A07FF8" w14:textId="77777777" w:rsidR="00BB5505" w:rsidRPr="0042157B" w:rsidRDefault="00BB5505" w:rsidP="00BB3E39">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Ethnic Polarization</w:t>
            </w:r>
          </w:p>
        </w:tc>
        <w:tc>
          <w:tcPr>
            <w:tcW w:w="1921" w:type="dxa"/>
            <w:shd w:val="clear" w:color="auto" w:fill="FFFFFF"/>
            <w:tcMar>
              <w:top w:w="0" w:type="dxa"/>
              <w:left w:w="0" w:type="dxa"/>
              <w:bottom w:w="0" w:type="dxa"/>
              <w:right w:w="0" w:type="dxa"/>
            </w:tcMar>
            <w:vAlign w:val="center"/>
          </w:tcPr>
          <w:p w14:paraId="055A0658" w14:textId="77777777" w:rsidR="00BB5505" w:rsidRPr="0042157B" w:rsidRDefault="00BB5505" w:rsidP="00BB3E39">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-1.862** (0.923)</w:t>
            </w:r>
          </w:p>
        </w:tc>
        <w:tc>
          <w:tcPr>
            <w:tcW w:w="1921" w:type="dxa"/>
            <w:shd w:val="clear" w:color="auto" w:fill="FFFFFF"/>
            <w:tcMar>
              <w:top w:w="0" w:type="dxa"/>
              <w:left w:w="0" w:type="dxa"/>
              <w:bottom w:w="0" w:type="dxa"/>
              <w:right w:w="0" w:type="dxa"/>
            </w:tcMar>
            <w:vAlign w:val="center"/>
          </w:tcPr>
          <w:p w14:paraId="69B208C0" w14:textId="77777777" w:rsidR="00BB5505" w:rsidRPr="0042157B" w:rsidRDefault="00BB5505" w:rsidP="00BB3E39">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-1.780** (0.896)</w:t>
            </w:r>
          </w:p>
        </w:tc>
        <w:tc>
          <w:tcPr>
            <w:tcW w:w="1924" w:type="dxa"/>
            <w:shd w:val="clear" w:color="auto" w:fill="FFFFFF"/>
            <w:tcMar>
              <w:top w:w="0" w:type="dxa"/>
              <w:left w:w="0" w:type="dxa"/>
              <w:bottom w:w="0" w:type="dxa"/>
              <w:right w:w="0" w:type="dxa"/>
            </w:tcMar>
            <w:vAlign w:val="center"/>
          </w:tcPr>
          <w:p w14:paraId="6E06AE95" w14:textId="77777777" w:rsidR="00BB5505" w:rsidRPr="0042157B" w:rsidRDefault="00BB5505" w:rsidP="00BB3E39">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-1.780** (0.896)</w:t>
            </w:r>
          </w:p>
        </w:tc>
      </w:tr>
      <w:tr w:rsidR="002B5A39" w:rsidRPr="0042157B" w14:paraId="435426A8" w14:textId="77777777" w:rsidTr="00BB5505">
        <w:trPr>
          <w:cantSplit/>
          <w:trHeight w:val="594"/>
        </w:trPr>
        <w:tc>
          <w:tcPr>
            <w:tcW w:w="1921" w:type="dxa"/>
            <w:shd w:val="clear" w:color="auto" w:fill="FFFFFF"/>
            <w:tcMar>
              <w:top w:w="0" w:type="dxa"/>
              <w:left w:w="0" w:type="dxa"/>
              <w:bottom w:w="0" w:type="dxa"/>
              <w:right w:w="0" w:type="dxa"/>
            </w:tcMar>
            <w:vAlign w:val="center"/>
          </w:tcPr>
          <w:p w14:paraId="56FF48F0" w14:textId="77777777" w:rsidR="00BB5505" w:rsidRPr="0042157B" w:rsidRDefault="00BB5505" w:rsidP="00BB3E39">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Trade Openness</w:t>
            </w:r>
          </w:p>
        </w:tc>
        <w:tc>
          <w:tcPr>
            <w:tcW w:w="1921" w:type="dxa"/>
            <w:shd w:val="clear" w:color="auto" w:fill="FFFFFF"/>
            <w:tcMar>
              <w:top w:w="0" w:type="dxa"/>
              <w:left w:w="0" w:type="dxa"/>
              <w:bottom w:w="0" w:type="dxa"/>
              <w:right w:w="0" w:type="dxa"/>
            </w:tcMar>
            <w:vAlign w:val="center"/>
          </w:tcPr>
          <w:p w14:paraId="1A9E070A" w14:textId="77777777" w:rsidR="00BB5505" w:rsidRPr="0042157B" w:rsidRDefault="00BB5505" w:rsidP="00BB3E39">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-0.004 (0.006)</w:t>
            </w:r>
          </w:p>
        </w:tc>
        <w:tc>
          <w:tcPr>
            <w:tcW w:w="1921" w:type="dxa"/>
            <w:shd w:val="clear" w:color="auto" w:fill="FFFFFF"/>
            <w:tcMar>
              <w:top w:w="0" w:type="dxa"/>
              <w:left w:w="0" w:type="dxa"/>
              <w:bottom w:w="0" w:type="dxa"/>
              <w:right w:w="0" w:type="dxa"/>
            </w:tcMar>
            <w:vAlign w:val="center"/>
          </w:tcPr>
          <w:p w14:paraId="3B80DB08" w14:textId="77777777" w:rsidR="00BB5505" w:rsidRPr="0042157B" w:rsidRDefault="00BB5505" w:rsidP="00BB3E39">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-0.005 (0.005)</w:t>
            </w:r>
          </w:p>
        </w:tc>
        <w:tc>
          <w:tcPr>
            <w:tcW w:w="1924" w:type="dxa"/>
            <w:shd w:val="clear" w:color="auto" w:fill="FFFFFF"/>
            <w:tcMar>
              <w:top w:w="0" w:type="dxa"/>
              <w:left w:w="0" w:type="dxa"/>
              <w:bottom w:w="0" w:type="dxa"/>
              <w:right w:w="0" w:type="dxa"/>
            </w:tcMar>
            <w:vAlign w:val="center"/>
          </w:tcPr>
          <w:p w14:paraId="595F97EC" w14:textId="77777777" w:rsidR="00BB5505" w:rsidRPr="0042157B" w:rsidRDefault="00BB5505" w:rsidP="00BB3E39">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-0.005 (0.005)</w:t>
            </w:r>
          </w:p>
        </w:tc>
      </w:tr>
      <w:tr w:rsidR="002B5A39" w:rsidRPr="0042157B" w14:paraId="2DCD2619" w14:textId="77777777" w:rsidTr="00BB5505">
        <w:trPr>
          <w:cantSplit/>
          <w:trHeight w:val="837"/>
        </w:trPr>
        <w:tc>
          <w:tcPr>
            <w:tcW w:w="1921" w:type="dxa"/>
            <w:shd w:val="clear" w:color="auto" w:fill="FFFFFF"/>
            <w:tcMar>
              <w:top w:w="0" w:type="dxa"/>
              <w:left w:w="0" w:type="dxa"/>
              <w:bottom w:w="0" w:type="dxa"/>
              <w:right w:w="0" w:type="dxa"/>
            </w:tcMar>
            <w:vAlign w:val="center"/>
          </w:tcPr>
          <w:p w14:paraId="0E5BC06B" w14:textId="77777777" w:rsidR="00BB5505" w:rsidRPr="0042157B" w:rsidRDefault="00BB5505" w:rsidP="00BB3E39">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Exclusionary Ideology</w:t>
            </w:r>
          </w:p>
        </w:tc>
        <w:tc>
          <w:tcPr>
            <w:tcW w:w="1921" w:type="dxa"/>
            <w:shd w:val="clear" w:color="auto" w:fill="FFFFFF"/>
            <w:tcMar>
              <w:top w:w="0" w:type="dxa"/>
              <w:left w:w="0" w:type="dxa"/>
              <w:bottom w:w="0" w:type="dxa"/>
              <w:right w:w="0" w:type="dxa"/>
            </w:tcMar>
            <w:vAlign w:val="center"/>
          </w:tcPr>
          <w:p w14:paraId="70F183FD" w14:textId="77777777" w:rsidR="00BB5505" w:rsidRPr="0042157B" w:rsidRDefault="00BB5505" w:rsidP="00BB3E39">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0.851 (0.520)</w:t>
            </w:r>
          </w:p>
        </w:tc>
        <w:tc>
          <w:tcPr>
            <w:tcW w:w="1921" w:type="dxa"/>
            <w:shd w:val="clear" w:color="auto" w:fill="FFFFFF"/>
            <w:tcMar>
              <w:top w:w="0" w:type="dxa"/>
              <w:left w:w="0" w:type="dxa"/>
              <w:bottom w:w="0" w:type="dxa"/>
              <w:right w:w="0" w:type="dxa"/>
            </w:tcMar>
            <w:vAlign w:val="center"/>
          </w:tcPr>
          <w:p w14:paraId="7C6166CF" w14:textId="77777777" w:rsidR="00BB5505" w:rsidRPr="0042157B" w:rsidRDefault="00BB5505" w:rsidP="00BB3E39">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0.873* (0.516)</w:t>
            </w:r>
          </w:p>
        </w:tc>
        <w:tc>
          <w:tcPr>
            <w:tcW w:w="1924" w:type="dxa"/>
            <w:shd w:val="clear" w:color="auto" w:fill="FFFFFF"/>
            <w:tcMar>
              <w:top w:w="0" w:type="dxa"/>
              <w:left w:w="0" w:type="dxa"/>
              <w:bottom w:w="0" w:type="dxa"/>
              <w:right w:w="0" w:type="dxa"/>
            </w:tcMar>
            <w:vAlign w:val="center"/>
          </w:tcPr>
          <w:p w14:paraId="3FB2149A" w14:textId="77777777" w:rsidR="00BB5505" w:rsidRPr="0042157B" w:rsidRDefault="00BB5505" w:rsidP="00BB3E39">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0.873* (0.516)</w:t>
            </w:r>
          </w:p>
        </w:tc>
      </w:tr>
      <w:tr w:rsidR="002B5A39" w:rsidRPr="0042157B" w14:paraId="362FE2C2" w14:textId="77777777" w:rsidTr="00BB5505">
        <w:trPr>
          <w:cantSplit/>
          <w:trHeight w:val="594"/>
        </w:trPr>
        <w:tc>
          <w:tcPr>
            <w:tcW w:w="1921" w:type="dxa"/>
            <w:shd w:val="clear" w:color="auto" w:fill="FFFFFF"/>
            <w:tcMar>
              <w:top w:w="0" w:type="dxa"/>
              <w:left w:w="0" w:type="dxa"/>
              <w:bottom w:w="0" w:type="dxa"/>
              <w:right w:w="0" w:type="dxa"/>
            </w:tcMar>
            <w:vAlign w:val="center"/>
          </w:tcPr>
          <w:p w14:paraId="323B51DE" w14:textId="77777777" w:rsidR="00BB5505" w:rsidRPr="0042157B" w:rsidRDefault="00BB5505" w:rsidP="00BB3E39">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Conflict Intensity</w:t>
            </w:r>
          </w:p>
        </w:tc>
        <w:tc>
          <w:tcPr>
            <w:tcW w:w="1921" w:type="dxa"/>
            <w:shd w:val="clear" w:color="auto" w:fill="FFFFFF"/>
            <w:tcMar>
              <w:top w:w="0" w:type="dxa"/>
              <w:left w:w="0" w:type="dxa"/>
              <w:bottom w:w="0" w:type="dxa"/>
              <w:right w:w="0" w:type="dxa"/>
            </w:tcMar>
            <w:vAlign w:val="center"/>
          </w:tcPr>
          <w:p w14:paraId="28C081C0" w14:textId="77777777" w:rsidR="00BB5505" w:rsidRPr="0042157B" w:rsidRDefault="00BB5505" w:rsidP="00BB3E39">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0.543 (0.480)</w:t>
            </w:r>
          </w:p>
        </w:tc>
        <w:tc>
          <w:tcPr>
            <w:tcW w:w="1921" w:type="dxa"/>
            <w:shd w:val="clear" w:color="auto" w:fill="FFFFFF"/>
            <w:tcMar>
              <w:top w:w="0" w:type="dxa"/>
              <w:left w:w="0" w:type="dxa"/>
              <w:bottom w:w="0" w:type="dxa"/>
              <w:right w:w="0" w:type="dxa"/>
            </w:tcMar>
            <w:vAlign w:val="center"/>
          </w:tcPr>
          <w:p w14:paraId="7C3E5CE4" w14:textId="77777777" w:rsidR="00BB5505" w:rsidRPr="0042157B" w:rsidRDefault="00BB5505" w:rsidP="00BB3E39">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0.628 (0.483)</w:t>
            </w:r>
          </w:p>
        </w:tc>
        <w:tc>
          <w:tcPr>
            <w:tcW w:w="1924" w:type="dxa"/>
            <w:shd w:val="clear" w:color="auto" w:fill="FFFFFF"/>
            <w:tcMar>
              <w:top w:w="0" w:type="dxa"/>
              <w:left w:w="0" w:type="dxa"/>
              <w:bottom w:w="0" w:type="dxa"/>
              <w:right w:w="0" w:type="dxa"/>
            </w:tcMar>
            <w:vAlign w:val="center"/>
          </w:tcPr>
          <w:p w14:paraId="7F7E953B" w14:textId="77777777" w:rsidR="00BB5505" w:rsidRPr="0042157B" w:rsidRDefault="00BB5505" w:rsidP="00BB3E39">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0.628 (0.483)</w:t>
            </w:r>
          </w:p>
        </w:tc>
      </w:tr>
      <w:tr w:rsidR="002B5A39" w:rsidRPr="0042157B" w14:paraId="16235E99" w14:textId="77777777" w:rsidTr="00BB5505">
        <w:trPr>
          <w:cantSplit/>
          <w:trHeight w:val="594"/>
        </w:trPr>
        <w:tc>
          <w:tcPr>
            <w:tcW w:w="1921" w:type="dxa"/>
            <w:shd w:val="clear" w:color="auto" w:fill="FFFFFF"/>
            <w:tcMar>
              <w:top w:w="0" w:type="dxa"/>
              <w:left w:w="0" w:type="dxa"/>
              <w:bottom w:w="0" w:type="dxa"/>
              <w:right w:w="0" w:type="dxa"/>
            </w:tcMar>
            <w:vAlign w:val="center"/>
          </w:tcPr>
          <w:p w14:paraId="661AFCB9" w14:textId="77777777" w:rsidR="00BB5505" w:rsidRPr="0042157B" w:rsidRDefault="00BB5505" w:rsidP="00BB3E39">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Territorial Motive</w:t>
            </w:r>
          </w:p>
        </w:tc>
        <w:tc>
          <w:tcPr>
            <w:tcW w:w="1921" w:type="dxa"/>
            <w:shd w:val="clear" w:color="auto" w:fill="FFFFFF"/>
            <w:tcMar>
              <w:top w:w="0" w:type="dxa"/>
              <w:left w:w="0" w:type="dxa"/>
              <w:bottom w:w="0" w:type="dxa"/>
              <w:right w:w="0" w:type="dxa"/>
            </w:tcMar>
            <w:vAlign w:val="center"/>
          </w:tcPr>
          <w:p w14:paraId="345E33A7" w14:textId="77777777" w:rsidR="00BB5505" w:rsidRPr="0042157B" w:rsidRDefault="00BB5505" w:rsidP="00BB3E39">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-0.354 (0.515)</w:t>
            </w:r>
          </w:p>
        </w:tc>
        <w:tc>
          <w:tcPr>
            <w:tcW w:w="1921" w:type="dxa"/>
            <w:shd w:val="clear" w:color="auto" w:fill="FFFFFF"/>
            <w:tcMar>
              <w:top w:w="0" w:type="dxa"/>
              <w:left w:w="0" w:type="dxa"/>
              <w:bottom w:w="0" w:type="dxa"/>
              <w:right w:w="0" w:type="dxa"/>
            </w:tcMar>
            <w:vAlign w:val="center"/>
          </w:tcPr>
          <w:p w14:paraId="1CF05D78" w14:textId="77777777" w:rsidR="00BB5505" w:rsidRPr="0042157B" w:rsidRDefault="00BB5505" w:rsidP="00BB3E39">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-0.333 (0.523)</w:t>
            </w:r>
          </w:p>
        </w:tc>
        <w:tc>
          <w:tcPr>
            <w:tcW w:w="1924" w:type="dxa"/>
            <w:shd w:val="clear" w:color="auto" w:fill="FFFFFF"/>
            <w:tcMar>
              <w:top w:w="0" w:type="dxa"/>
              <w:left w:w="0" w:type="dxa"/>
              <w:bottom w:w="0" w:type="dxa"/>
              <w:right w:w="0" w:type="dxa"/>
            </w:tcMar>
            <w:vAlign w:val="center"/>
          </w:tcPr>
          <w:p w14:paraId="4C3E893A" w14:textId="77777777" w:rsidR="00BB5505" w:rsidRPr="0042157B" w:rsidRDefault="00BB5505" w:rsidP="00BB3E39">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-0.333 (0.523)</w:t>
            </w:r>
          </w:p>
        </w:tc>
      </w:tr>
      <w:tr w:rsidR="002B5A39" w:rsidRPr="0042157B" w14:paraId="32654560" w14:textId="77777777" w:rsidTr="00BB5505">
        <w:trPr>
          <w:cantSplit/>
          <w:trHeight w:val="352"/>
        </w:trPr>
        <w:tc>
          <w:tcPr>
            <w:tcW w:w="1921" w:type="dxa"/>
            <w:tcBorders>
              <w:top w:val="single" w:sz="8" w:space="0" w:color="000000"/>
            </w:tcBorders>
            <w:shd w:val="clear" w:color="auto" w:fill="FFFFFF"/>
            <w:tcMar>
              <w:top w:w="0" w:type="dxa"/>
              <w:left w:w="0" w:type="dxa"/>
              <w:bottom w:w="0" w:type="dxa"/>
              <w:right w:w="0" w:type="dxa"/>
            </w:tcMar>
            <w:vAlign w:val="center"/>
          </w:tcPr>
          <w:p w14:paraId="65F0D5F7" w14:textId="77777777" w:rsidR="00BB5505" w:rsidRPr="0042157B" w:rsidRDefault="00BB5505" w:rsidP="00BB3E39">
            <w:pPr>
              <w:spacing w:before="60" w:after="60"/>
              <w:ind w:left="60" w:right="60"/>
              <w:rPr>
                <w:rFonts w:ascii="Times New Roman" w:hAnsi="Times New Roman" w:cs="Times New Roman"/>
              </w:rPr>
            </w:pPr>
            <w:proofErr w:type="spellStart"/>
            <w:r w:rsidRPr="0042157B">
              <w:rPr>
                <w:rFonts w:ascii="Times New Roman" w:eastAsia="Arial" w:hAnsi="Times New Roman" w:cs="Times New Roman"/>
                <w:sz w:val="22"/>
                <w:szCs w:val="22"/>
              </w:rPr>
              <w:t>Num.Obs</w:t>
            </w:r>
            <w:proofErr w:type="spellEnd"/>
            <w:r w:rsidRPr="0042157B">
              <w:rPr>
                <w:rFonts w:ascii="Times New Roman" w:eastAsia="Arial" w:hAnsi="Times New Roman" w:cs="Times New Roman"/>
                <w:sz w:val="22"/>
                <w:szCs w:val="22"/>
              </w:rPr>
              <w:t>.</w:t>
            </w:r>
          </w:p>
        </w:tc>
        <w:tc>
          <w:tcPr>
            <w:tcW w:w="1921" w:type="dxa"/>
            <w:tcBorders>
              <w:top w:val="single" w:sz="8" w:space="0" w:color="000000"/>
            </w:tcBorders>
            <w:shd w:val="clear" w:color="auto" w:fill="FFFFFF"/>
            <w:tcMar>
              <w:top w:w="0" w:type="dxa"/>
              <w:left w:w="0" w:type="dxa"/>
              <w:bottom w:w="0" w:type="dxa"/>
              <w:right w:w="0" w:type="dxa"/>
            </w:tcMar>
            <w:vAlign w:val="center"/>
          </w:tcPr>
          <w:p w14:paraId="634D6262" w14:textId="77777777" w:rsidR="00BB5505" w:rsidRPr="0042157B" w:rsidRDefault="00BB5505" w:rsidP="00BB3E39">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648</w:t>
            </w:r>
          </w:p>
        </w:tc>
        <w:tc>
          <w:tcPr>
            <w:tcW w:w="1921" w:type="dxa"/>
            <w:tcBorders>
              <w:top w:val="single" w:sz="8" w:space="0" w:color="000000"/>
            </w:tcBorders>
            <w:shd w:val="clear" w:color="auto" w:fill="FFFFFF"/>
            <w:tcMar>
              <w:top w:w="0" w:type="dxa"/>
              <w:left w:w="0" w:type="dxa"/>
              <w:bottom w:w="0" w:type="dxa"/>
              <w:right w:w="0" w:type="dxa"/>
            </w:tcMar>
            <w:vAlign w:val="center"/>
          </w:tcPr>
          <w:p w14:paraId="2AC43AE5" w14:textId="77777777" w:rsidR="00BB5505" w:rsidRPr="0042157B" w:rsidRDefault="00BB5505" w:rsidP="00BB3E39">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648</w:t>
            </w:r>
          </w:p>
        </w:tc>
        <w:tc>
          <w:tcPr>
            <w:tcW w:w="1924" w:type="dxa"/>
            <w:tcBorders>
              <w:top w:val="single" w:sz="8" w:space="0" w:color="000000"/>
            </w:tcBorders>
            <w:shd w:val="clear" w:color="auto" w:fill="FFFFFF"/>
            <w:tcMar>
              <w:top w:w="0" w:type="dxa"/>
              <w:left w:w="0" w:type="dxa"/>
              <w:bottom w:w="0" w:type="dxa"/>
              <w:right w:w="0" w:type="dxa"/>
            </w:tcMar>
            <w:vAlign w:val="center"/>
          </w:tcPr>
          <w:p w14:paraId="45142F3E" w14:textId="77777777" w:rsidR="00BB5505" w:rsidRPr="0042157B" w:rsidRDefault="00BB5505" w:rsidP="00BB3E39">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648</w:t>
            </w:r>
          </w:p>
        </w:tc>
      </w:tr>
      <w:tr w:rsidR="002B5A39" w:rsidRPr="0042157B" w14:paraId="7AA1619A" w14:textId="77777777" w:rsidTr="00BB5505">
        <w:trPr>
          <w:cantSplit/>
          <w:trHeight w:val="357"/>
        </w:trPr>
        <w:tc>
          <w:tcPr>
            <w:tcW w:w="1921" w:type="dxa"/>
            <w:shd w:val="clear" w:color="auto" w:fill="FFFFFF"/>
            <w:tcMar>
              <w:top w:w="0" w:type="dxa"/>
              <w:left w:w="0" w:type="dxa"/>
              <w:bottom w:w="0" w:type="dxa"/>
              <w:right w:w="0" w:type="dxa"/>
            </w:tcMar>
            <w:vAlign w:val="center"/>
          </w:tcPr>
          <w:p w14:paraId="72234445" w14:textId="77777777" w:rsidR="00BB5505" w:rsidRPr="0042157B" w:rsidRDefault="00BB5505" w:rsidP="00BB3E39">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AIC</w:t>
            </w:r>
          </w:p>
        </w:tc>
        <w:tc>
          <w:tcPr>
            <w:tcW w:w="1921" w:type="dxa"/>
            <w:shd w:val="clear" w:color="auto" w:fill="FFFFFF"/>
            <w:tcMar>
              <w:top w:w="0" w:type="dxa"/>
              <w:left w:w="0" w:type="dxa"/>
              <w:bottom w:w="0" w:type="dxa"/>
              <w:right w:w="0" w:type="dxa"/>
            </w:tcMar>
            <w:vAlign w:val="center"/>
          </w:tcPr>
          <w:p w14:paraId="4DFF0772" w14:textId="77777777" w:rsidR="00BB5505" w:rsidRPr="0042157B" w:rsidRDefault="00BB5505" w:rsidP="00BB3E39">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206.4</w:t>
            </w:r>
          </w:p>
        </w:tc>
        <w:tc>
          <w:tcPr>
            <w:tcW w:w="1921" w:type="dxa"/>
            <w:shd w:val="clear" w:color="auto" w:fill="FFFFFF"/>
            <w:tcMar>
              <w:top w:w="0" w:type="dxa"/>
              <w:left w:w="0" w:type="dxa"/>
              <w:bottom w:w="0" w:type="dxa"/>
              <w:right w:w="0" w:type="dxa"/>
            </w:tcMar>
            <w:vAlign w:val="center"/>
          </w:tcPr>
          <w:p w14:paraId="4BCD8E55" w14:textId="77777777" w:rsidR="00BB5505" w:rsidRPr="0042157B" w:rsidRDefault="00BB5505" w:rsidP="00BB3E39">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207.3</w:t>
            </w:r>
          </w:p>
        </w:tc>
        <w:tc>
          <w:tcPr>
            <w:tcW w:w="1924" w:type="dxa"/>
            <w:shd w:val="clear" w:color="auto" w:fill="FFFFFF"/>
            <w:tcMar>
              <w:top w:w="0" w:type="dxa"/>
              <w:left w:w="0" w:type="dxa"/>
              <w:bottom w:w="0" w:type="dxa"/>
              <w:right w:w="0" w:type="dxa"/>
            </w:tcMar>
            <w:vAlign w:val="center"/>
          </w:tcPr>
          <w:p w14:paraId="27DA3EA1" w14:textId="77777777" w:rsidR="00BB5505" w:rsidRPr="0042157B" w:rsidRDefault="00BB5505" w:rsidP="00BB3E39">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207.3</w:t>
            </w:r>
          </w:p>
        </w:tc>
      </w:tr>
      <w:tr w:rsidR="002B5A39" w:rsidRPr="0042157B" w14:paraId="186E4B22" w14:textId="77777777" w:rsidTr="00BB5505">
        <w:trPr>
          <w:cantSplit/>
          <w:trHeight w:val="357"/>
        </w:trPr>
        <w:tc>
          <w:tcPr>
            <w:tcW w:w="1921" w:type="dxa"/>
            <w:shd w:val="clear" w:color="auto" w:fill="FFFFFF"/>
            <w:tcMar>
              <w:top w:w="0" w:type="dxa"/>
              <w:left w:w="0" w:type="dxa"/>
              <w:bottom w:w="0" w:type="dxa"/>
              <w:right w:w="0" w:type="dxa"/>
            </w:tcMar>
            <w:vAlign w:val="center"/>
          </w:tcPr>
          <w:p w14:paraId="1C2A5D37" w14:textId="77777777" w:rsidR="00BB5505" w:rsidRPr="0042157B" w:rsidRDefault="00BB5505" w:rsidP="00BB3E39">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BIC</w:t>
            </w:r>
          </w:p>
        </w:tc>
        <w:tc>
          <w:tcPr>
            <w:tcW w:w="1921" w:type="dxa"/>
            <w:shd w:val="clear" w:color="auto" w:fill="FFFFFF"/>
            <w:tcMar>
              <w:top w:w="0" w:type="dxa"/>
              <w:left w:w="0" w:type="dxa"/>
              <w:bottom w:w="0" w:type="dxa"/>
              <w:right w:w="0" w:type="dxa"/>
            </w:tcMar>
            <w:vAlign w:val="center"/>
          </w:tcPr>
          <w:p w14:paraId="2046BBA8" w14:textId="77777777" w:rsidR="00BB5505" w:rsidRPr="0042157B" w:rsidRDefault="00BB5505" w:rsidP="00BB3E39">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251.2</w:t>
            </w:r>
          </w:p>
        </w:tc>
        <w:tc>
          <w:tcPr>
            <w:tcW w:w="1921" w:type="dxa"/>
            <w:shd w:val="clear" w:color="auto" w:fill="FFFFFF"/>
            <w:tcMar>
              <w:top w:w="0" w:type="dxa"/>
              <w:left w:w="0" w:type="dxa"/>
              <w:bottom w:w="0" w:type="dxa"/>
              <w:right w:w="0" w:type="dxa"/>
            </w:tcMar>
            <w:vAlign w:val="center"/>
          </w:tcPr>
          <w:p w14:paraId="5499EA1B" w14:textId="77777777" w:rsidR="00BB5505" w:rsidRPr="0042157B" w:rsidRDefault="00BB5505" w:rsidP="00BB3E39">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256.5</w:t>
            </w:r>
          </w:p>
        </w:tc>
        <w:tc>
          <w:tcPr>
            <w:tcW w:w="1924" w:type="dxa"/>
            <w:shd w:val="clear" w:color="auto" w:fill="FFFFFF"/>
            <w:tcMar>
              <w:top w:w="0" w:type="dxa"/>
              <w:left w:w="0" w:type="dxa"/>
              <w:bottom w:w="0" w:type="dxa"/>
              <w:right w:w="0" w:type="dxa"/>
            </w:tcMar>
            <w:vAlign w:val="center"/>
          </w:tcPr>
          <w:p w14:paraId="2FB6F1FD" w14:textId="77777777" w:rsidR="00BB5505" w:rsidRPr="0042157B" w:rsidRDefault="00BB5505" w:rsidP="00BB3E39">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256.5</w:t>
            </w:r>
          </w:p>
        </w:tc>
      </w:tr>
      <w:tr w:rsidR="002B5A39" w:rsidRPr="0042157B" w14:paraId="6B541CC5" w14:textId="77777777" w:rsidTr="00BB5505">
        <w:trPr>
          <w:cantSplit/>
          <w:trHeight w:val="352"/>
        </w:trPr>
        <w:tc>
          <w:tcPr>
            <w:tcW w:w="1921" w:type="dxa"/>
            <w:tcBorders>
              <w:bottom w:val="single" w:sz="16" w:space="0" w:color="000000"/>
            </w:tcBorders>
            <w:shd w:val="clear" w:color="auto" w:fill="FFFFFF"/>
            <w:tcMar>
              <w:top w:w="0" w:type="dxa"/>
              <w:left w:w="0" w:type="dxa"/>
              <w:bottom w:w="0" w:type="dxa"/>
              <w:right w:w="0" w:type="dxa"/>
            </w:tcMar>
            <w:vAlign w:val="center"/>
          </w:tcPr>
          <w:p w14:paraId="5A45111F" w14:textId="77777777" w:rsidR="00BB5505" w:rsidRPr="0042157B" w:rsidRDefault="00BB5505" w:rsidP="00BB3E39">
            <w:pPr>
              <w:spacing w:before="60" w:after="60"/>
              <w:ind w:left="60" w:right="60"/>
              <w:rPr>
                <w:rFonts w:ascii="Times New Roman" w:hAnsi="Times New Roman" w:cs="Times New Roman"/>
              </w:rPr>
            </w:pPr>
            <w:proofErr w:type="spellStart"/>
            <w:r w:rsidRPr="0042157B">
              <w:rPr>
                <w:rFonts w:ascii="Times New Roman" w:eastAsia="Arial" w:hAnsi="Times New Roman" w:cs="Times New Roman"/>
                <w:sz w:val="22"/>
                <w:szCs w:val="22"/>
              </w:rPr>
              <w:t>Log.Lik</w:t>
            </w:r>
            <w:proofErr w:type="spellEnd"/>
            <w:r w:rsidRPr="0042157B">
              <w:rPr>
                <w:rFonts w:ascii="Times New Roman" w:eastAsia="Arial" w:hAnsi="Times New Roman" w:cs="Times New Roman"/>
                <w:sz w:val="22"/>
                <w:szCs w:val="22"/>
              </w:rPr>
              <w:t>.</w:t>
            </w:r>
          </w:p>
        </w:tc>
        <w:tc>
          <w:tcPr>
            <w:tcW w:w="1921" w:type="dxa"/>
            <w:tcBorders>
              <w:bottom w:val="single" w:sz="16" w:space="0" w:color="000000"/>
            </w:tcBorders>
            <w:shd w:val="clear" w:color="auto" w:fill="FFFFFF"/>
            <w:tcMar>
              <w:top w:w="0" w:type="dxa"/>
              <w:left w:w="0" w:type="dxa"/>
              <w:bottom w:w="0" w:type="dxa"/>
              <w:right w:w="0" w:type="dxa"/>
            </w:tcMar>
            <w:vAlign w:val="center"/>
          </w:tcPr>
          <w:p w14:paraId="26AEADD3" w14:textId="77777777" w:rsidR="00BB5505" w:rsidRPr="0042157B" w:rsidRDefault="00BB5505" w:rsidP="00BB3E39">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-93.218</w:t>
            </w:r>
          </w:p>
        </w:tc>
        <w:tc>
          <w:tcPr>
            <w:tcW w:w="1921" w:type="dxa"/>
            <w:tcBorders>
              <w:bottom w:val="single" w:sz="16" w:space="0" w:color="000000"/>
            </w:tcBorders>
            <w:shd w:val="clear" w:color="auto" w:fill="FFFFFF"/>
            <w:tcMar>
              <w:top w:w="0" w:type="dxa"/>
              <w:left w:w="0" w:type="dxa"/>
              <w:bottom w:w="0" w:type="dxa"/>
              <w:right w:w="0" w:type="dxa"/>
            </w:tcMar>
            <w:vAlign w:val="center"/>
          </w:tcPr>
          <w:p w14:paraId="164F5025" w14:textId="77777777" w:rsidR="00BB5505" w:rsidRPr="0042157B" w:rsidRDefault="00BB5505" w:rsidP="00BB3E39">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-92.659</w:t>
            </w:r>
          </w:p>
        </w:tc>
        <w:tc>
          <w:tcPr>
            <w:tcW w:w="1924" w:type="dxa"/>
            <w:tcBorders>
              <w:bottom w:val="single" w:sz="16" w:space="0" w:color="000000"/>
            </w:tcBorders>
            <w:shd w:val="clear" w:color="auto" w:fill="FFFFFF"/>
            <w:tcMar>
              <w:top w:w="0" w:type="dxa"/>
              <w:left w:w="0" w:type="dxa"/>
              <w:bottom w:w="0" w:type="dxa"/>
              <w:right w:w="0" w:type="dxa"/>
            </w:tcMar>
            <w:vAlign w:val="center"/>
          </w:tcPr>
          <w:p w14:paraId="7BC262C5" w14:textId="77777777" w:rsidR="00BB5505" w:rsidRPr="0042157B" w:rsidRDefault="00BB5505" w:rsidP="00BB3E39">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-92.659</w:t>
            </w:r>
          </w:p>
        </w:tc>
      </w:tr>
      <w:tr w:rsidR="002B5A39" w:rsidRPr="0042157B" w14:paraId="085343DF" w14:textId="77777777" w:rsidTr="00BB5505">
        <w:trPr>
          <w:cantSplit/>
          <w:trHeight w:val="357"/>
        </w:trPr>
        <w:tc>
          <w:tcPr>
            <w:tcW w:w="7687" w:type="dxa"/>
            <w:gridSpan w:val="4"/>
            <w:shd w:val="clear" w:color="auto" w:fill="FFFFFF"/>
            <w:tcMar>
              <w:top w:w="0" w:type="dxa"/>
              <w:left w:w="0" w:type="dxa"/>
              <w:bottom w:w="0" w:type="dxa"/>
              <w:right w:w="0" w:type="dxa"/>
            </w:tcMar>
            <w:vAlign w:val="center"/>
          </w:tcPr>
          <w:p w14:paraId="14E09F7D" w14:textId="77777777" w:rsidR="00BB5505" w:rsidRPr="0042157B" w:rsidRDefault="00BB5505" w:rsidP="00BB3E39">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 p &lt; 0.1, ** p &lt; 0.05, *** p &lt; 0.01</w:t>
            </w:r>
          </w:p>
        </w:tc>
      </w:tr>
    </w:tbl>
    <w:p w14:paraId="74A5BA5C" w14:textId="00E34752" w:rsidR="00BB5505" w:rsidRPr="0042157B" w:rsidRDefault="00BB5505" w:rsidP="00A45B79">
      <w:pPr>
        <w:pStyle w:val="FirstParagraph"/>
        <w:spacing w:line="480" w:lineRule="auto"/>
        <w:ind w:firstLine="720"/>
        <w:rPr>
          <w:rFonts w:ascii="Times New Roman" w:hAnsi="Times New Roman" w:cs="Times New Roman"/>
        </w:rPr>
      </w:pPr>
      <w:r w:rsidRPr="0042157B">
        <w:rPr>
          <w:rFonts w:ascii="Times New Roman" w:hAnsi="Times New Roman" w:cs="Times New Roman"/>
        </w:rPr>
        <w:t>The table above shows the regression results for all three models. This table’s critical information is that all three war variables are statistic</w:t>
      </w:r>
      <w:r w:rsidR="00B26018" w:rsidRPr="0042157B">
        <w:rPr>
          <w:rFonts w:ascii="Times New Roman" w:hAnsi="Times New Roman" w:cs="Times New Roman"/>
        </w:rPr>
        <w:t>ally significant, with p-values</w:t>
      </w:r>
      <w:r w:rsidRPr="0042157B">
        <w:rPr>
          <w:rFonts w:ascii="Times New Roman" w:hAnsi="Times New Roman" w:cs="Times New Roman"/>
        </w:rPr>
        <w:t xml:space="preserve"> less than 0.05. The guerrilla warfare variable’s coefficient is negative, meaning that when there is a guerilla war, the log of odds decreases. Conventional warfare’s coefficient is larger than </w:t>
      </w:r>
      <w:r w:rsidR="00B26018" w:rsidRPr="0042157B">
        <w:rPr>
          <w:rFonts w:ascii="Times New Roman" w:hAnsi="Times New Roman" w:cs="Times New Roman"/>
        </w:rPr>
        <w:t xml:space="preserve">guerrilla </w:t>
      </w:r>
      <w:r w:rsidR="00B26018" w:rsidRPr="0042157B">
        <w:rPr>
          <w:rFonts w:ascii="Times New Roman" w:hAnsi="Times New Roman" w:cs="Times New Roman"/>
        </w:rPr>
        <w:lastRenderedPageBreak/>
        <w:t>warfare’s coefficient,</w:t>
      </w:r>
      <w:r w:rsidRPr="0042157B">
        <w:rPr>
          <w:rFonts w:ascii="Times New Roman" w:hAnsi="Times New Roman" w:cs="Times New Roman"/>
        </w:rPr>
        <w:t xml:space="preserve"> therefore, I can reject the null hypothesis. However, the results also suggest that conventional warfare’s coefficient is negative at -0.876. This means that the test does not entirely support </w:t>
      </w:r>
      <w:proofErr w:type="spellStart"/>
      <w:r w:rsidRPr="0042157B">
        <w:rPr>
          <w:rFonts w:ascii="Times New Roman" w:hAnsi="Times New Roman" w:cs="Times New Roman"/>
        </w:rPr>
        <w:t>Krcmaric</w:t>
      </w:r>
      <w:proofErr w:type="spellEnd"/>
      <w:r w:rsidRPr="0042157B">
        <w:rPr>
          <w:rFonts w:ascii="Times New Roman" w:hAnsi="Times New Roman" w:cs="Times New Roman"/>
        </w:rPr>
        <w:t xml:space="preserve"> ’s theory because conventional warfare appears to decrease the likelihood of mass killings. The most intriguing information from this model is that the SNC warfare variable is statistically significant, and its coefficient is large. The results suggest that out of the three types of war variables, SNC warfare has a positive association with mass killing.</w:t>
      </w:r>
    </w:p>
    <w:p w14:paraId="2DDBB19E" w14:textId="2602F4A9" w:rsidR="00876FD4" w:rsidRPr="0042157B" w:rsidRDefault="00876FD4" w:rsidP="00876FD4">
      <w:pPr>
        <w:pStyle w:val="BodyText"/>
        <w:spacing w:after="0"/>
        <w:rPr>
          <w:rFonts w:cs="Times New Roman"/>
          <w:b/>
          <w:bCs/>
          <w:lang w:val="en-US" w:eastAsia="en-US" w:bidi="ar-SA"/>
        </w:rPr>
      </w:pPr>
      <w:r w:rsidRPr="0042157B">
        <w:rPr>
          <w:rFonts w:cs="Times New Roman"/>
          <w:b/>
          <w:bCs/>
          <w:lang w:val="en-US" w:eastAsia="en-US" w:bidi="ar-SA"/>
        </w:rPr>
        <w:t>Figure 2</w:t>
      </w:r>
    </w:p>
    <w:p w14:paraId="5A70C565" w14:textId="77777777" w:rsidR="00876FD4" w:rsidRPr="0042157B" w:rsidRDefault="00876FD4" w:rsidP="00876FD4">
      <w:pPr>
        <w:pStyle w:val="BodyText"/>
        <w:spacing w:after="0"/>
        <w:rPr>
          <w:rFonts w:cs="Times New Roman"/>
          <w:b/>
          <w:bCs/>
          <w:lang w:val="en-US" w:eastAsia="en-US" w:bidi="ar-SA"/>
        </w:rPr>
      </w:pPr>
    </w:p>
    <w:p w14:paraId="36AF5DEA" w14:textId="0A4ACEEA" w:rsidR="00BB5505" w:rsidRPr="0042157B" w:rsidRDefault="00BB5505" w:rsidP="00876FD4">
      <w:pPr>
        <w:pStyle w:val="BodyText"/>
        <w:spacing w:after="0"/>
        <w:rPr>
          <w:rFonts w:cs="Times New Roman"/>
          <w:bCs/>
          <w:i/>
          <w:lang w:val="en-US" w:eastAsia="en-US" w:bidi="ar-SA"/>
        </w:rPr>
      </w:pPr>
      <w:r w:rsidRPr="0042157B">
        <w:rPr>
          <w:rFonts w:cs="Times New Roman"/>
          <w:bCs/>
          <w:i/>
          <w:lang w:val="en-US" w:eastAsia="en-US" w:bidi="ar-SA"/>
        </w:rPr>
        <w:t>Odds Ratio for Model 1, 2, and 3</w:t>
      </w:r>
    </w:p>
    <w:p w14:paraId="586ABDC5" w14:textId="27203503" w:rsidR="00BB5505" w:rsidRDefault="00BB5505" w:rsidP="00BB5505">
      <w:pPr>
        <w:pStyle w:val="FirstParagraph"/>
        <w:rPr>
          <w:rFonts w:ascii="Times New Roman" w:hAnsi="Times New Roman" w:cs="Times New Roman"/>
        </w:rPr>
      </w:pPr>
      <w:r w:rsidRPr="0042157B">
        <w:rPr>
          <w:rFonts w:ascii="Times New Roman" w:hAnsi="Times New Roman" w:cs="Times New Roman"/>
          <w:noProof/>
        </w:rPr>
        <w:drawing>
          <wp:inline distT="0" distB="0" distL="0" distR="0" wp14:anchorId="77D0DB19" wp14:editId="466AFC46">
            <wp:extent cx="5838825" cy="4464050"/>
            <wp:effectExtent l="0" t="0" r="9525"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ough---Rmarkdown-Script_files/figure-docx/unnamed-chunk-2-1.png"/>
                    <pic:cNvPicPr>
                      <a:picLocks noChangeAspect="1" noChangeArrowheads="1"/>
                    </pic:cNvPicPr>
                  </pic:nvPicPr>
                  <pic:blipFill>
                    <a:blip r:embed="rId8"/>
                    <a:stretch>
                      <a:fillRect/>
                    </a:stretch>
                  </pic:blipFill>
                  <pic:spPr bwMode="auto">
                    <a:xfrm>
                      <a:off x="0" y="0"/>
                      <a:ext cx="5839469" cy="4464542"/>
                    </a:xfrm>
                    <a:prstGeom prst="rect">
                      <a:avLst/>
                    </a:prstGeom>
                    <a:noFill/>
                    <a:ln w="9525">
                      <a:noFill/>
                      <a:headEnd/>
                      <a:tailEnd/>
                    </a:ln>
                  </pic:spPr>
                </pic:pic>
              </a:graphicData>
            </a:graphic>
          </wp:inline>
        </w:drawing>
      </w:r>
    </w:p>
    <w:p w14:paraId="199E744E" w14:textId="6EE0A15C" w:rsidR="0042157B" w:rsidRDefault="0042157B" w:rsidP="0042157B">
      <w:pPr>
        <w:pStyle w:val="BodyText"/>
        <w:rPr>
          <w:lang w:val="en-US" w:eastAsia="en-US" w:bidi="ar-SA"/>
        </w:rPr>
      </w:pPr>
    </w:p>
    <w:p w14:paraId="3A9B3C23" w14:textId="705ECBFA" w:rsidR="0042157B" w:rsidRDefault="0042157B" w:rsidP="0042157B">
      <w:pPr>
        <w:pStyle w:val="BodyText"/>
        <w:rPr>
          <w:lang w:val="en-US" w:eastAsia="en-US" w:bidi="ar-SA"/>
        </w:rPr>
      </w:pPr>
    </w:p>
    <w:p w14:paraId="7FC417AC" w14:textId="77777777" w:rsidR="0042157B" w:rsidRPr="0042157B" w:rsidRDefault="0042157B" w:rsidP="0042157B">
      <w:pPr>
        <w:pStyle w:val="BodyText"/>
        <w:rPr>
          <w:lang w:val="en-US" w:eastAsia="en-US" w:bidi="ar-SA"/>
        </w:rPr>
      </w:pPr>
    </w:p>
    <w:p w14:paraId="11FF2674" w14:textId="1CF6668D" w:rsidR="00BB5505" w:rsidRPr="0042157B" w:rsidRDefault="00BB5505" w:rsidP="00BB5505">
      <w:pPr>
        <w:pStyle w:val="BodyText"/>
        <w:spacing w:line="480" w:lineRule="auto"/>
        <w:ind w:firstLine="720"/>
        <w:rPr>
          <w:rFonts w:cs="Times New Roman"/>
        </w:rPr>
      </w:pPr>
      <w:r w:rsidRPr="0042157B">
        <w:rPr>
          <w:rFonts w:cs="Times New Roman"/>
        </w:rPr>
        <w:lastRenderedPageBreak/>
        <w:t xml:space="preserve">The graph presented above visualizes the independent variables’ strength of association with mass killing by showing their odds ratios </w:t>
      </w:r>
      <w:r w:rsidRPr="0042157B">
        <w:rPr>
          <w:rStyle w:val="FootnoteReference"/>
          <w:rFonts w:cs="Times New Roman"/>
        </w:rPr>
        <w:footnoteReference w:id="2"/>
      </w:r>
      <w:r w:rsidRPr="0042157B">
        <w:rPr>
          <w:rFonts w:cs="Times New Roman"/>
        </w:rPr>
        <w:t>. For all the models, when controlling the covariates at a fixed value, the odds of a mass killing occurring when there is guerrilla warfare over the odds of a mass killing when there is no guerilla warfare is 0.305, 0.370, and 0.154. In other words, the odds of a mass killing happening decreases when there is guerilla war by 70%, 63%, a</w:t>
      </w:r>
      <w:r w:rsidR="001969E9" w:rsidRPr="0042157B">
        <w:rPr>
          <w:rFonts w:cs="Times New Roman"/>
        </w:rPr>
        <w:t>nd 83% versus when there is not</w:t>
      </w:r>
      <w:r w:rsidRPr="0042157B">
        <w:rPr>
          <w:rFonts w:cs="Times New Roman"/>
        </w:rPr>
        <w:t xml:space="preserve">. The second plot shows that when there is SNC warfare, it is 2.4 times more likely that a state will carry out mass violence </w:t>
      </w:r>
      <w:r w:rsidR="001969E9" w:rsidRPr="0042157B">
        <w:rPr>
          <w:rFonts w:cs="Times New Roman"/>
        </w:rPr>
        <w:t>than</w:t>
      </w:r>
      <w:r w:rsidRPr="0042157B">
        <w:rPr>
          <w:rFonts w:cs="Times New Roman"/>
        </w:rPr>
        <w:t xml:space="preserve"> when there is another form of conflict. Thus, SNC warfare increases the odds of mass killing by 140%. Finally, the third plot shows that conventional warfare has an odds ratio of 0.417, which means that it decreases the odds of mass killing by 58%.</w:t>
      </w:r>
    </w:p>
    <w:p w14:paraId="053D26F0" w14:textId="160B80AF" w:rsidR="00876FD4" w:rsidRPr="0042157B" w:rsidRDefault="00876FD4" w:rsidP="00876FD4">
      <w:pPr>
        <w:pStyle w:val="BodyText"/>
        <w:spacing w:after="0" w:line="480" w:lineRule="auto"/>
        <w:rPr>
          <w:rFonts w:cs="Times New Roman"/>
          <w:b/>
          <w:bCs/>
        </w:rPr>
      </w:pPr>
      <w:r w:rsidRPr="0042157B">
        <w:rPr>
          <w:rFonts w:cs="Times New Roman"/>
          <w:b/>
          <w:bCs/>
        </w:rPr>
        <w:t>Figure 3</w:t>
      </w:r>
    </w:p>
    <w:p w14:paraId="18BF6F9D" w14:textId="12000FEB" w:rsidR="00BB5505" w:rsidRPr="0042157B" w:rsidRDefault="00BB5505" w:rsidP="00876FD4">
      <w:pPr>
        <w:pStyle w:val="BodyText"/>
        <w:spacing w:after="0" w:line="480" w:lineRule="auto"/>
        <w:rPr>
          <w:rFonts w:cs="Times New Roman"/>
          <w:bCs/>
          <w:i/>
        </w:rPr>
      </w:pPr>
      <w:r w:rsidRPr="0042157B">
        <w:rPr>
          <w:rFonts w:cs="Times New Roman"/>
          <w:bCs/>
          <w:i/>
        </w:rPr>
        <w:t>Predicted Probabilities for Model 1, 2, and 3</w:t>
      </w:r>
    </w:p>
    <w:p w14:paraId="4A2ACCB0" w14:textId="60ACA524" w:rsidR="00BB5505" w:rsidRPr="0042157B" w:rsidRDefault="00A97DD2" w:rsidP="00BB5505">
      <w:pPr>
        <w:pStyle w:val="FirstParagraph"/>
        <w:rPr>
          <w:rFonts w:ascii="Times New Roman" w:hAnsi="Times New Roman" w:cs="Times New Roman"/>
        </w:rPr>
      </w:pPr>
      <w:r w:rsidRPr="0042157B">
        <w:rPr>
          <w:noProof/>
        </w:rPr>
        <w:drawing>
          <wp:inline distT="0" distB="0" distL="0" distR="0" wp14:anchorId="5A483456" wp14:editId="5BD0745B">
            <wp:extent cx="5514975" cy="2616200"/>
            <wp:effectExtent l="0" t="0" r="9525"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ough---Rmarkdown-Script_files/figure-docx/unnamed-chunk-3-1.png"/>
                    <pic:cNvPicPr>
                      <a:picLocks noChangeAspect="1" noChangeArrowheads="1"/>
                    </pic:cNvPicPr>
                  </pic:nvPicPr>
                  <pic:blipFill>
                    <a:blip r:embed="rId9"/>
                    <a:stretch>
                      <a:fillRect/>
                    </a:stretch>
                  </pic:blipFill>
                  <pic:spPr bwMode="auto">
                    <a:xfrm>
                      <a:off x="0" y="0"/>
                      <a:ext cx="5514975" cy="2616200"/>
                    </a:xfrm>
                    <a:prstGeom prst="rect">
                      <a:avLst/>
                    </a:prstGeom>
                    <a:noFill/>
                    <a:ln w="9525">
                      <a:noFill/>
                      <a:headEnd/>
                      <a:tailEnd/>
                    </a:ln>
                  </pic:spPr>
                </pic:pic>
              </a:graphicData>
            </a:graphic>
          </wp:inline>
        </w:drawing>
      </w:r>
    </w:p>
    <w:p w14:paraId="66FB46F0" w14:textId="4B819C62" w:rsidR="00BB5505" w:rsidRPr="0042157B" w:rsidRDefault="00BB5505" w:rsidP="00BB5505">
      <w:pPr>
        <w:pStyle w:val="BodyText"/>
        <w:spacing w:line="480" w:lineRule="auto"/>
        <w:ind w:firstLine="720"/>
        <w:rPr>
          <w:rFonts w:cs="Times New Roman"/>
        </w:rPr>
      </w:pPr>
      <w:r w:rsidRPr="0042157B">
        <w:rPr>
          <w:rFonts w:cs="Times New Roman"/>
        </w:rPr>
        <w:lastRenderedPageBreak/>
        <w:t>The plots above estimate the predicted probabilities for each model. The exclusion variable is set to 1, the conflict intensity variable set to 2, a</w:t>
      </w:r>
      <w:r w:rsidR="001969E9" w:rsidRPr="0042157B">
        <w:rPr>
          <w:rFonts w:cs="Times New Roman"/>
        </w:rPr>
        <w:t>nd the rest of the covariates are</w:t>
      </w:r>
      <w:r w:rsidRPr="0042157B">
        <w:rPr>
          <w:rFonts w:cs="Times New Roman"/>
        </w:rPr>
        <w:t xml:space="preserve"> set to their median value. It should be noted</w:t>
      </w:r>
      <w:r w:rsidR="001969E9" w:rsidRPr="0042157B">
        <w:rPr>
          <w:rFonts w:cs="Times New Roman"/>
        </w:rPr>
        <w:t xml:space="preserve"> that</w:t>
      </w:r>
      <w:r w:rsidRPr="0042157B">
        <w:rPr>
          <w:rFonts w:cs="Times New Roman"/>
        </w:rPr>
        <w:t xml:space="preserve"> for models two and three, guerrilla warfare is set to 0. The first plot indicates that when there is no instance of guerrilla warfare the probability that a mass killing wil</w:t>
      </w:r>
      <w:r w:rsidR="003C44DB" w:rsidRPr="0042157B">
        <w:rPr>
          <w:rFonts w:cs="Times New Roman"/>
        </w:rPr>
        <w:t>l occur is 25%. When there is</w:t>
      </w:r>
      <w:r w:rsidRPr="0042157B">
        <w:rPr>
          <w:rFonts w:cs="Times New Roman"/>
        </w:rPr>
        <w:t xml:space="preserve"> guerilla war, the probability decreases to only 9%. The second plot shows that the probability of mass killing increases by 19% when there is an SNC war versus when there is not one. Finally, the third plot</w:t>
      </w:r>
      <w:r w:rsidR="00BB3E39" w:rsidRPr="0042157B">
        <w:rPr>
          <w:rFonts w:cs="Times New Roman"/>
        </w:rPr>
        <w:t xml:space="preserve"> highlights that when there is no</w:t>
      </w:r>
      <w:r w:rsidRPr="0042157B">
        <w:rPr>
          <w:rFonts w:cs="Times New Roman"/>
        </w:rPr>
        <w:t xml:space="preserve"> conventional war, the probability of a mass killing is 23%. When there is a conventional war, the p</w:t>
      </w:r>
      <w:r w:rsidR="00BB3E39" w:rsidRPr="0042157B">
        <w:rPr>
          <w:rFonts w:cs="Times New Roman"/>
        </w:rPr>
        <w:t>redicted probability is 11%. The</w:t>
      </w:r>
      <w:r w:rsidRPr="0042157B">
        <w:rPr>
          <w:rFonts w:cs="Times New Roman"/>
        </w:rPr>
        <w:t xml:space="preserve"> crucial insight </w:t>
      </w:r>
      <w:r w:rsidR="00BB3E39" w:rsidRPr="0042157B">
        <w:rPr>
          <w:rFonts w:cs="Times New Roman"/>
        </w:rPr>
        <w:t xml:space="preserve">provided by this analysis </w:t>
      </w:r>
      <w:r w:rsidRPr="0042157B">
        <w:rPr>
          <w:rFonts w:cs="Times New Roman"/>
        </w:rPr>
        <w:t>is that state vulnerability may have a stronger association with mass killing than the type of war. When a state participates in an SNC war, it</w:t>
      </w:r>
      <w:r w:rsidR="00BB3E39" w:rsidRPr="0042157B">
        <w:rPr>
          <w:rFonts w:cs="Times New Roman"/>
        </w:rPr>
        <w:t xml:space="preserve"> implies that the government is</w:t>
      </w:r>
      <w:r w:rsidRPr="0042157B">
        <w:rPr>
          <w:rFonts w:cs="Times New Roman"/>
        </w:rPr>
        <w:t xml:space="preserve"> economically and militarily underdeveloped, politically unstable, and vulnerable to being overthrown by insurgents (</w:t>
      </w:r>
      <w:proofErr w:type="spellStart"/>
      <w:r w:rsidRPr="0042157B">
        <w:rPr>
          <w:rFonts w:cs="Times New Roman"/>
        </w:rPr>
        <w:t>Krcmaric</w:t>
      </w:r>
      <w:proofErr w:type="spellEnd"/>
      <w:r w:rsidRPr="0042157B">
        <w:rPr>
          <w:rFonts w:cs="Times New Roman"/>
        </w:rPr>
        <w:t>, 2017, p. 24). Thus, it may be worthwhile to explore the potential association between state vulnerability and mass killing.</w:t>
      </w:r>
    </w:p>
    <w:p w14:paraId="50DD5E92" w14:textId="420640E3" w:rsidR="00BB5505" w:rsidRPr="0042157B" w:rsidRDefault="00BB3E39" w:rsidP="00BB5505">
      <w:pPr>
        <w:pStyle w:val="BodyText"/>
        <w:spacing w:line="480" w:lineRule="auto"/>
        <w:rPr>
          <w:rFonts w:cs="Times New Roman"/>
        </w:rPr>
      </w:pPr>
      <w:r w:rsidRPr="0042157B">
        <w:rPr>
          <w:rFonts w:cs="Times New Roman"/>
        </w:rPr>
        <w:tab/>
      </w:r>
      <w:r w:rsidR="00BB5505" w:rsidRPr="0042157B">
        <w:rPr>
          <w:rFonts w:cs="Times New Roman"/>
        </w:rPr>
        <w:t>Anderton &amp; Carte</w:t>
      </w:r>
      <w:r w:rsidRPr="0042157B">
        <w:rPr>
          <w:rFonts w:cs="Times New Roman"/>
        </w:rPr>
        <w:t>r (2014) conducted a study showing</w:t>
      </w:r>
      <w:r w:rsidR="00BB5505" w:rsidRPr="0042157B">
        <w:rPr>
          <w:rFonts w:cs="Times New Roman"/>
        </w:rPr>
        <w:t xml:space="preserve"> </w:t>
      </w:r>
      <w:r w:rsidRPr="0042157B">
        <w:rPr>
          <w:rFonts w:cs="Times New Roman"/>
        </w:rPr>
        <w:t xml:space="preserve">the </w:t>
      </w:r>
      <w:r w:rsidR="00BB5505" w:rsidRPr="0042157B">
        <w:rPr>
          <w:rFonts w:cs="Times New Roman"/>
        </w:rPr>
        <w:t xml:space="preserve">essential characteristics of what makes a state weak and how it increases the probability of mass killing (pp. 9-19). The authors argue that mass killing is an act of desperation when the state is weak. These authors define a vulnerable state as one that is </w:t>
      </w:r>
      <w:proofErr w:type="spellStart"/>
      <w:r w:rsidR="00BB5505" w:rsidRPr="0042157B">
        <w:rPr>
          <w:rFonts w:cs="Times New Roman"/>
        </w:rPr>
        <w:t>anocratic</w:t>
      </w:r>
      <w:proofErr w:type="spellEnd"/>
      <w:r w:rsidR="00BB5505" w:rsidRPr="0042157B">
        <w:rPr>
          <w:rFonts w:cs="Times New Roman"/>
        </w:rPr>
        <w:t>, is a new government (i.e., less than five years old), has low GDP per capita, and faces threatening rebels (Anderton &amp; Carter, 2014, pp. 31-32). The weak structure of the state allows rebels to overthrow the government. State officials will eliminate insurgents and their accomplices to rem</w:t>
      </w:r>
      <w:r w:rsidRPr="0042157B">
        <w:rPr>
          <w:rFonts w:cs="Times New Roman"/>
        </w:rPr>
        <w:t>ain in power (</w:t>
      </w:r>
      <w:r w:rsidR="00BB5505" w:rsidRPr="0042157B">
        <w:rPr>
          <w:rFonts w:cs="Times New Roman"/>
        </w:rPr>
        <w:t>Anderton &amp; Carter,</w:t>
      </w:r>
      <w:r w:rsidRPr="0042157B">
        <w:rPr>
          <w:rFonts w:cs="Times New Roman"/>
        </w:rPr>
        <w:t xml:space="preserve"> 2014, pp. 9-19). The remainder of this</w:t>
      </w:r>
      <w:r w:rsidR="00BB5505" w:rsidRPr="0042157B">
        <w:rPr>
          <w:rFonts w:cs="Times New Roman"/>
        </w:rPr>
        <w:t xml:space="preserve"> paper will attempt to mimic Anderton and Carter’s model with the </w:t>
      </w:r>
      <w:r w:rsidR="00BB5505" w:rsidRPr="0042157B">
        <w:rPr>
          <w:rFonts w:cs="Times New Roman"/>
        </w:rPr>
        <w:lastRenderedPageBreak/>
        <w:t xml:space="preserve">available data </w:t>
      </w:r>
      <w:r w:rsidR="00BB5505" w:rsidRPr="0042157B">
        <w:rPr>
          <w:rStyle w:val="FootnoteReference"/>
          <w:rFonts w:cs="Times New Roman"/>
        </w:rPr>
        <w:footnoteReference w:id="3"/>
      </w:r>
      <w:r w:rsidR="00BB5505" w:rsidRPr="0042157B">
        <w:rPr>
          <w:rFonts w:cs="Times New Roman"/>
        </w:rPr>
        <w:t xml:space="preserve"> and see if state vulnerability is a better predictor for mass killings than the type of war. The variables used for this analysis will either be the same or similar to the ones used in Anderton and Carter’s model (Anderton &amp; Carter, 2014, p</w:t>
      </w:r>
      <w:r w:rsidRPr="0042157B">
        <w:rPr>
          <w:rFonts w:cs="Times New Roman"/>
        </w:rPr>
        <w:t>p. 9-19). These authors present</w:t>
      </w:r>
      <w:r w:rsidR="00BB5505" w:rsidRPr="0042157B">
        <w:rPr>
          <w:rFonts w:cs="Times New Roman"/>
        </w:rPr>
        <w:t xml:space="preserve"> </w:t>
      </w:r>
      <w:r w:rsidR="00EA7E5A" w:rsidRPr="0042157B">
        <w:rPr>
          <w:rFonts w:cs="Times New Roman"/>
        </w:rPr>
        <w:t>four</w:t>
      </w:r>
      <w:r w:rsidR="00BB5505" w:rsidRPr="0042157B">
        <w:rPr>
          <w:rFonts w:cs="Times New Roman"/>
        </w:rPr>
        <w:t xml:space="preserve"> hypotheses:</w:t>
      </w:r>
    </w:p>
    <w:p w14:paraId="5781EAC4" w14:textId="77777777" w:rsidR="00BB5505" w:rsidRPr="0042157B" w:rsidRDefault="007C6452" w:rsidP="001F7A3C">
      <w:pPr>
        <w:pStyle w:val="BodyText"/>
        <w:spacing w:after="0"/>
        <w:ind w:left="720"/>
        <w:rPr>
          <w:rFonts w:cs="Times New Roman"/>
        </w:rPr>
      </w:pP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oMath>
      <w:r w:rsidR="00BB5505" w:rsidRPr="0042157B">
        <w:rPr>
          <w:rFonts w:cs="Times New Roman"/>
        </w:rPr>
        <w:t xml:space="preserve"> The more threatening the rebels are, the more likely a state will carry out a mass killing (Anderton &amp; Carter, 2014, p. 12)</w:t>
      </w:r>
    </w:p>
    <w:p w14:paraId="6548C41D" w14:textId="77777777" w:rsidR="001F7A3C" w:rsidRPr="0042157B" w:rsidRDefault="001F7A3C" w:rsidP="001F7A3C">
      <w:pPr>
        <w:pStyle w:val="BodyText"/>
        <w:spacing w:after="0"/>
        <w:ind w:left="720"/>
        <w:rPr>
          <w:rFonts w:cs="Times New Roman"/>
        </w:rPr>
      </w:pPr>
    </w:p>
    <w:p w14:paraId="2E185857" w14:textId="77777777" w:rsidR="00BB5505" w:rsidRPr="0042157B" w:rsidRDefault="007C6452" w:rsidP="001F7A3C">
      <w:pPr>
        <w:pStyle w:val="BodyText"/>
        <w:spacing w:after="0"/>
        <w:ind w:left="720"/>
        <w:rPr>
          <w:rFonts w:cs="Times New Roman"/>
        </w:rPr>
      </w:pP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oMath>
      <w:r w:rsidR="00BB5505" w:rsidRPr="0042157B">
        <w:rPr>
          <w:rFonts w:cs="Times New Roman"/>
        </w:rPr>
        <w:t xml:space="preserve"> A new state is more likely to carry out a mass killing than an older state (Anderton &amp; Carter, 2014, p. 12)</w:t>
      </w:r>
    </w:p>
    <w:p w14:paraId="33988326" w14:textId="77777777" w:rsidR="001F7A3C" w:rsidRPr="0042157B" w:rsidRDefault="001F7A3C" w:rsidP="001F7A3C">
      <w:pPr>
        <w:pStyle w:val="BodyText"/>
        <w:spacing w:after="0"/>
        <w:ind w:left="720"/>
        <w:rPr>
          <w:rFonts w:cs="Times New Roman"/>
        </w:rPr>
      </w:pPr>
    </w:p>
    <w:p w14:paraId="7701D419" w14:textId="77777777" w:rsidR="00BB5505" w:rsidRPr="0042157B" w:rsidRDefault="007C6452" w:rsidP="001F7A3C">
      <w:pPr>
        <w:pStyle w:val="BodyText"/>
        <w:spacing w:after="0"/>
        <w:ind w:left="720"/>
        <w:rPr>
          <w:rFonts w:cs="Times New Roman"/>
        </w:rPr>
      </w:pP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3</m:t>
            </m:r>
          </m:sub>
        </m:sSub>
        <m:r>
          <w:rPr>
            <w:rFonts w:ascii="Cambria Math" w:hAnsi="Cambria Math" w:cs="Times New Roman"/>
          </w:rPr>
          <m:t>:</m:t>
        </m:r>
      </m:oMath>
      <w:r w:rsidR="00BB5505" w:rsidRPr="0042157B">
        <w:rPr>
          <w:rFonts w:cs="Times New Roman"/>
        </w:rPr>
        <w:t xml:space="preserve"> An </w:t>
      </w:r>
      <w:proofErr w:type="spellStart"/>
      <w:r w:rsidR="00BB5505" w:rsidRPr="0042157B">
        <w:rPr>
          <w:rFonts w:cs="Times New Roman"/>
        </w:rPr>
        <w:t>anocratic</w:t>
      </w:r>
      <w:proofErr w:type="spellEnd"/>
      <w:r w:rsidR="00BB5505" w:rsidRPr="0042157B">
        <w:rPr>
          <w:rFonts w:cs="Times New Roman"/>
        </w:rPr>
        <w:t xml:space="preserve"> state is more likely to carry out a mass killing than a democratic or autocratic state (Anderton &amp; Carter, 2014, p. 12)</w:t>
      </w:r>
    </w:p>
    <w:p w14:paraId="7CEC10E2" w14:textId="77777777" w:rsidR="001F7A3C" w:rsidRPr="0042157B" w:rsidRDefault="001F7A3C" w:rsidP="001F7A3C">
      <w:pPr>
        <w:pStyle w:val="BodyText"/>
        <w:spacing w:after="0"/>
        <w:ind w:left="720"/>
        <w:rPr>
          <w:rFonts w:cs="Times New Roman"/>
        </w:rPr>
      </w:pPr>
    </w:p>
    <w:p w14:paraId="1C32C2C3" w14:textId="77777777" w:rsidR="00BB5505" w:rsidRPr="0042157B" w:rsidRDefault="007C6452" w:rsidP="001F7A3C">
      <w:pPr>
        <w:pStyle w:val="BodyText"/>
        <w:spacing w:after="0"/>
        <w:ind w:left="720"/>
        <w:rPr>
          <w:rFonts w:cs="Times New Roman"/>
        </w:rPr>
      </w:pP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4</m:t>
            </m:r>
          </m:sub>
        </m:sSub>
        <m:r>
          <w:rPr>
            <w:rFonts w:ascii="Cambria Math" w:hAnsi="Cambria Math" w:cs="Times New Roman"/>
          </w:rPr>
          <m:t>:</m:t>
        </m:r>
      </m:oMath>
      <w:r w:rsidR="00BB5505" w:rsidRPr="0042157B">
        <w:rPr>
          <w:rFonts w:cs="Times New Roman"/>
        </w:rPr>
        <w:t xml:space="preserve"> As GDP per capita decreases, the more likely a state will carry out mass killings (Anderton &amp; Carter, 2014, p. 12)</w:t>
      </w:r>
    </w:p>
    <w:p w14:paraId="0750A444" w14:textId="77777777" w:rsidR="001F7A3C" w:rsidRPr="0042157B" w:rsidRDefault="001F7A3C" w:rsidP="001F7A3C">
      <w:pPr>
        <w:pStyle w:val="BodyText"/>
        <w:spacing w:after="0"/>
        <w:ind w:left="720"/>
        <w:rPr>
          <w:rFonts w:cs="Times New Roman"/>
        </w:rPr>
      </w:pPr>
    </w:p>
    <w:p w14:paraId="62667A18" w14:textId="3BBA896A" w:rsidR="00BB5505" w:rsidRPr="0042157B" w:rsidRDefault="001F7A3C" w:rsidP="00BB5505">
      <w:pPr>
        <w:pStyle w:val="BodyText"/>
        <w:spacing w:line="480" w:lineRule="auto"/>
        <w:rPr>
          <w:rFonts w:cs="Times New Roman"/>
        </w:rPr>
      </w:pPr>
      <w:r w:rsidRPr="0042157B">
        <w:rPr>
          <w:rFonts w:cs="Times New Roman"/>
        </w:rPr>
        <w:tab/>
      </w:r>
      <w:r w:rsidR="00BB5505" w:rsidRPr="0042157B">
        <w:rPr>
          <w:rFonts w:cs="Times New Roman"/>
        </w:rPr>
        <w:t>The first variable used in this analysis is threat. This concept is measured using the Political Instability Task Force’s magnitude variable. It shows how widespread the destruction caused by the war was throughout the country (Anderton &amp; Carter, 2014, pp. 15-16). This variable uses a five-point scale:</w:t>
      </w:r>
    </w:p>
    <w:p w14:paraId="1066E0F5" w14:textId="49854FC8" w:rsidR="00BB5505" w:rsidRPr="0042157B" w:rsidRDefault="00BB5505" w:rsidP="00BB5505">
      <w:pPr>
        <w:pStyle w:val="Compact"/>
        <w:numPr>
          <w:ilvl w:val="0"/>
          <w:numId w:val="13"/>
        </w:numPr>
        <w:spacing w:line="480" w:lineRule="auto"/>
        <w:rPr>
          <w:rFonts w:ascii="Times New Roman" w:hAnsi="Times New Roman" w:cs="Times New Roman"/>
        </w:rPr>
      </w:pPr>
      <w:r w:rsidRPr="0042157B">
        <w:rPr>
          <w:rFonts w:ascii="Times New Roman" w:hAnsi="Times New Roman" w:cs="Times New Roman"/>
        </w:rPr>
        <w:t>Less than one-tenth of the country was impacted by the conflict</w:t>
      </w:r>
      <w:r w:rsidR="001A1344">
        <w:rPr>
          <w:rFonts w:ascii="Times New Roman" w:hAnsi="Times New Roman" w:cs="Times New Roman"/>
        </w:rPr>
        <w:t>.</w:t>
      </w:r>
    </w:p>
    <w:p w14:paraId="55D0E29B" w14:textId="1A527DDB" w:rsidR="00BB5505" w:rsidRPr="0042157B" w:rsidRDefault="00BB5505" w:rsidP="00BB5505">
      <w:pPr>
        <w:pStyle w:val="Compact"/>
        <w:numPr>
          <w:ilvl w:val="0"/>
          <w:numId w:val="13"/>
        </w:numPr>
        <w:spacing w:line="480" w:lineRule="auto"/>
        <w:rPr>
          <w:rFonts w:ascii="Times New Roman" w:hAnsi="Times New Roman" w:cs="Times New Roman"/>
        </w:rPr>
      </w:pPr>
      <w:r w:rsidRPr="0042157B">
        <w:rPr>
          <w:rFonts w:ascii="Times New Roman" w:hAnsi="Times New Roman" w:cs="Times New Roman"/>
        </w:rPr>
        <w:t>One-tenth of the country was affected by the conflict</w:t>
      </w:r>
      <w:r w:rsidR="001A1344">
        <w:rPr>
          <w:rFonts w:ascii="Times New Roman" w:hAnsi="Times New Roman" w:cs="Times New Roman"/>
        </w:rPr>
        <w:t>.</w:t>
      </w:r>
    </w:p>
    <w:p w14:paraId="499238B6" w14:textId="69B2F7FF" w:rsidR="00BB5505" w:rsidRPr="0042157B" w:rsidRDefault="00BB5505" w:rsidP="00BB5505">
      <w:pPr>
        <w:pStyle w:val="Compact"/>
        <w:numPr>
          <w:ilvl w:val="0"/>
          <w:numId w:val="13"/>
        </w:numPr>
        <w:spacing w:line="480" w:lineRule="auto"/>
        <w:rPr>
          <w:rFonts w:ascii="Times New Roman" w:hAnsi="Times New Roman" w:cs="Times New Roman"/>
        </w:rPr>
      </w:pPr>
      <w:r w:rsidRPr="0042157B">
        <w:rPr>
          <w:rFonts w:ascii="Times New Roman" w:hAnsi="Times New Roman" w:cs="Times New Roman"/>
        </w:rPr>
        <w:t>Between one-tenth and one-quarter of the country was affected by the conflict</w:t>
      </w:r>
      <w:r w:rsidR="001A1344">
        <w:rPr>
          <w:rFonts w:ascii="Times New Roman" w:hAnsi="Times New Roman" w:cs="Times New Roman"/>
        </w:rPr>
        <w:t>.</w:t>
      </w:r>
    </w:p>
    <w:p w14:paraId="0996873F" w14:textId="11E0EFBF" w:rsidR="00BB5505" w:rsidRPr="0042157B" w:rsidRDefault="00BB5505" w:rsidP="00BB5505">
      <w:pPr>
        <w:pStyle w:val="Compact"/>
        <w:numPr>
          <w:ilvl w:val="0"/>
          <w:numId w:val="13"/>
        </w:numPr>
        <w:spacing w:line="480" w:lineRule="auto"/>
        <w:rPr>
          <w:rFonts w:ascii="Times New Roman" w:hAnsi="Times New Roman" w:cs="Times New Roman"/>
        </w:rPr>
      </w:pPr>
      <w:r w:rsidRPr="0042157B">
        <w:rPr>
          <w:rFonts w:ascii="Times New Roman" w:hAnsi="Times New Roman" w:cs="Times New Roman"/>
        </w:rPr>
        <w:t>One-quarter to one-half of the country was affected by the conflict</w:t>
      </w:r>
      <w:r w:rsidR="001A1344">
        <w:rPr>
          <w:rFonts w:ascii="Times New Roman" w:hAnsi="Times New Roman" w:cs="Times New Roman"/>
        </w:rPr>
        <w:t>.</w:t>
      </w:r>
    </w:p>
    <w:p w14:paraId="6ECF294A" w14:textId="7D5A1A65" w:rsidR="00BB5505" w:rsidRPr="0042157B" w:rsidRDefault="00BB5505" w:rsidP="00BB5505">
      <w:pPr>
        <w:pStyle w:val="Compact"/>
        <w:numPr>
          <w:ilvl w:val="0"/>
          <w:numId w:val="13"/>
        </w:numPr>
        <w:spacing w:line="480" w:lineRule="auto"/>
        <w:rPr>
          <w:rFonts w:ascii="Times New Roman" w:hAnsi="Times New Roman" w:cs="Times New Roman"/>
        </w:rPr>
      </w:pPr>
      <w:r w:rsidRPr="0042157B">
        <w:rPr>
          <w:rFonts w:ascii="Times New Roman" w:hAnsi="Times New Roman" w:cs="Times New Roman"/>
        </w:rPr>
        <w:t>More than one-half of the country was affected by the conflict (Anderton &amp; Carter, 2014, pp. 15-16)</w:t>
      </w:r>
      <w:r w:rsidR="001A1344">
        <w:rPr>
          <w:rFonts w:ascii="Times New Roman" w:hAnsi="Times New Roman" w:cs="Times New Roman"/>
        </w:rPr>
        <w:t>.</w:t>
      </w:r>
    </w:p>
    <w:p w14:paraId="1C6FFEEF" w14:textId="4F1291C3" w:rsidR="00BB5505" w:rsidRPr="0042157B" w:rsidRDefault="004A58FB" w:rsidP="00BB5505">
      <w:pPr>
        <w:pStyle w:val="FirstParagraph"/>
        <w:spacing w:line="480" w:lineRule="auto"/>
        <w:rPr>
          <w:rFonts w:ascii="Times New Roman" w:hAnsi="Times New Roman" w:cs="Times New Roman"/>
        </w:rPr>
      </w:pPr>
      <w:r w:rsidRPr="0042157B">
        <w:rPr>
          <w:rFonts w:ascii="Times New Roman" w:hAnsi="Times New Roman" w:cs="Times New Roman"/>
        </w:rPr>
        <w:lastRenderedPageBreak/>
        <w:tab/>
      </w:r>
      <w:r w:rsidR="00BB5505" w:rsidRPr="0042157B">
        <w:rPr>
          <w:rFonts w:ascii="Times New Roman" w:hAnsi="Times New Roman" w:cs="Times New Roman"/>
        </w:rPr>
        <w:t>The second</w:t>
      </w:r>
      <w:r w:rsidRPr="0042157B">
        <w:rPr>
          <w:rFonts w:ascii="Times New Roman" w:hAnsi="Times New Roman" w:cs="Times New Roman"/>
        </w:rPr>
        <w:t xml:space="preserve"> variable is new state status. I</w:t>
      </w:r>
      <w:r w:rsidR="00BB5505" w:rsidRPr="0042157B">
        <w:rPr>
          <w:rFonts w:ascii="Times New Roman" w:hAnsi="Times New Roman" w:cs="Times New Roman"/>
        </w:rPr>
        <w:t>t is a dummy variable, where 1 represents a state that is five years or younger, and 0 illustrates a government older than five years</w:t>
      </w:r>
      <w:r w:rsidR="001A1344">
        <w:rPr>
          <w:rFonts w:ascii="Times New Roman" w:hAnsi="Times New Roman" w:cs="Times New Roman"/>
        </w:rPr>
        <w:t xml:space="preserve"> </w:t>
      </w:r>
      <w:r w:rsidR="001A1344" w:rsidRPr="0042157B">
        <w:rPr>
          <w:rFonts w:ascii="Times New Roman" w:hAnsi="Times New Roman" w:cs="Times New Roman"/>
        </w:rPr>
        <w:t>Anderton &amp; Carter, 2014, pp. 15-16)</w:t>
      </w:r>
      <w:r w:rsidR="00BB5505" w:rsidRPr="0042157B">
        <w:rPr>
          <w:rFonts w:ascii="Times New Roman" w:hAnsi="Times New Roman" w:cs="Times New Roman"/>
        </w:rPr>
        <w:t>.</w:t>
      </w:r>
    </w:p>
    <w:p w14:paraId="0F93E4D4" w14:textId="78E2C6D2" w:rsidR="00BB5505" w:rsidRPr="0042157B" w:rsidRDefault="004A58FB" w:rsidP="00BB5505">
      <w:pPr>
        <w:pStyle w:val="BodyText"/>
        <w:spacing w:line="480" w:lineRule="auto"/>
        <w:rPr>
          <w:rFonts w:cs="Times New Roman"/>
        </w:rPr>
      </w:pPr>
      <w:r w:rsidRPr="0042157B">
        <w:rPr>
          <w:rFonts w:cs="Times New Roman"/>
        </w:rPr>
        <w:tab/>
      </w:r>
      <w:r w:rsidR="00BB5505" w:rsidRPr="0042157B">
        <w:rPr>
          <w:rFonts w:cs="Times New Roman"/>
        </w:rPr>
        <w:t xml:space="preserve">The third variable is anocracy, which is measured using the polity score </w:t>
      </w:r>
      <w:r w:rsidR="00BB5505" w:rsidRPr="0042157B">
        <w:rPr>
          <w:rStyle w:val="FootnoteReference"/>
          <w:rFonts w:cs="Times New Roman"/>
        </w:rPr>
        <w:footnoteReference w:id="4"/>
      </w:r>
      <w:r w:rsidR="00BB5505" w:rsidRPr="0042157B">
        <w:rPr>
          <w:rFonts w:cs="Times New Roman"/>
        </w:rPr>
        <w:t xml:space="preserve">. It is a </w:t>
      </w:r>
      <w:r w:rsidRPr="0042157B">
        <w:rPr>
          <w:rFonts w:cs="Times New Roman"/>
        </w:rPr>
        <w:t>21-point</w:t>
      </w:r>
      <w:r w:rsidR="00BB5505" w:rsidRPr="0042157B">
        <w:rPr>
          <w:rFonts w:cs="Times New Roman"/>
        </w:rPr>
        <w:t xml:space="preserve"> scale where -10 to -6 is considered an authoritarian regime, -5 to 5 is considered an anocracy, and 6 to 10 is considered a democracy. This variable will be recoded as binary, where 1 indicates a state is </w:t>
      </w:r>
      <w:proofErr w:type="spellStart"/>
      <w:r w:rsidR="00BB5505" w:rsidRPr="0042157B">
        <w:rPr>
          <w:rFonts w:cs="Times New Roman"/>
        </w:rPr>
        <w:t>anocratic</w:t>
      </w:r>
      <w:proofErr w:type="spellEnd"/>
      <w:r w:rsidR="00BB5505" w:rsidRPr="0042157B">
        <w:rPr>
          <w:rFonts w:cs="Times New Roman"/>
        </w:rPr>
        <w:t xml:space="preserve"> and 0 suggest</w:t>
      </w:r>
      <w:r w:rsidRPr="0042157B">
        <w:rPr>
          <w:rFonts w:cs="Times New Roman"/>
        </w:rPr>
        <w:t>s a state is</w:t>
      </w:r>
      <w:r w:rsidR="00744E07" w:rsidRPr="0042157B">
        <w:rPr>
          <w:rFonts w:cs="Times New Roman"/>
        </w:rPr>
        <w:t xml:space="preserve"> not</w:t>
      </w:r>
      <w:r w:rsidR="00BB5505" w:rsidRPr="0042157B">
        <w:rPr>
          <w:rFonts w:cs="Times New Roman"/>
        </w:rPr>
        <w:t xml:space="preserve"> </w:t>
      </w:r>
      <w:proofErr w:type="spellStart"/>
      <w:r w:rsidR="00BB5505" w:rsidRPr="0042157B">
        <w:rPr>
          <w:rFonts w:cs="Times New Roman"/>
        </w:rPr>
        <w:t>anocratic</w:t>
      </w:r>
      <w:proofErr w:type="spellEnd"/>
      <w:r w:rsidR="00BB5505" w:rsidRPr="0042157B">
        <w:rPr>
          <w:rFonts w:cs="Times New Roman"/>
        </w:rPr>
        <w:t xml:space="preserve"> (Anderton &amp; Carter, 2014, p. 16).</w:t>
      </w:r>
    </w:p>
    <w:p w14:paraId="37BE4FDD" w14:textId="04D66F0A" w:rsidR="00BB5505" w:rsidRDefault="004A58FB" w:rsidP="00BB5505">
      <w:pPr>
        <w:pStyle w:val="BodyText"/>
        <w:spacing w:line="480" w:lineRule="auto"/>
        <w:rPr>
          <w:rFonts w:cs="Times New Roman"/>
        </w:rPr>
      </w:pPr>
      <w:r w:rsidRPr="0042157B">
        <w:rPr>
          <w:rFonts w:cs="Times New Roman"/>
        </w:rPr>
        <w:tab/>
      </w:r>
      <w:r w:rsidR="00BB5505" w:rsidRPr="0042157B">
        <w:rPr>
          <w:rFonts w:cs="Times New Roman"/>
        </w:rPr>
        <w:t>The fourth variable is GDP per capita, which comes from the initial analysis. The information comes from the Penn World Tables dataset (</w:t>
      </w:r>
      <w:proofErr w:type="spellStart"/>
      <w:r w:rsidR="00BB5505" w:rsidRPr="0042157B">
        <w:rPr>
          <w:rFonts w:cs="Times New Roman"/>
        </w:rPr>
        <w:t>Krcmaric</w:t>
      </w:r>
      <w:proofErr w:type="spellEnd"/>
      <w:r w:rsidR="00BB5505" w:rsidRPr="0042157B">
        <w:rPr>
          <w:rFonts w:cs="Times New Roman"/>
        </w:rPr>
        <w:t>, 2017, p. 26). The covariates included in this model are: 1) whether the conflict occurred during the cold war (i.e., 1 indicates that a conflict happened between 1947 and 1991, and 0 suggests that a conflict happened outside of this period) 2</w:t>
      </w:r>
      <w:r w:rsidR="00744E07" w:rsidRPr="0042157B">
        <w:rPr>
          <w:rFonts w:cs="Times New Roman"/>
        </w:rPr>
        <w:t>)</w:t>
      </w:r>
      <w:r w:rsidR="00BB5505" w:rsidRPr="0042157B">
        <w:rPr>
          <w:rFonts w:cs="Times New Roman"/>
        </w:rPr>
        <w:t xml:space="preserve"> the Political Instability Task Force’s discrimination measure (i.e., the percent of the population that was subjected to discrimination) (Early Warning Project, 2014; </w:t>
      </w:r>
      <w:proofErr w:type="spellStart"/>
      <w:r w:rsidR="00BB5505" w:rsidRPr="0042157B">
        <w:rPr>
          <w:rFonts w:cs="Times New Roman"/>
        </w:rPr>
        <w:t>Ulfelder</w:t>
      </w:r>
      <w:proofErr w:type="spellEnd"/>
      <w:r w:rsidR="00BB5505" w:rsidRPr="0042157B">
        <w:rPr>
          <w:rFonts w:cs="Times New Roman"/>
        </w:rPr>
        <w:t xml:space="preserve"> &amp; Valentino, 2008; </w:t>
      </w:r>
      <w:proofErr w:type="spellStart"/>
      <w:r w:rsidR="00BB5505" w:rsidRPr="0042157B">
        <w:rPr>
          <w:rFonts w:cs="Times New Roman"/>
        </w:rPr>
        <w:t>Ulfelder</w:t>
      </w:r>
      <w:proofErr w:type="spellEnd"/>
      <w:r w:rsidR="00BB5505" w:rsidRPr="0042157B">
        <w:rPr>
          <w:rFonts w:cs="Times New Roman"/>
        </w:rPr>
        <w:t>, 2013) 3</w:t>
      </w:r>
      <w:r w:rsidRPr="0042157B">
        <w:rPr>
          <w:rFonts w:cs="Times New Roman"/>
        </w:rPr>
        <w:t>.</w:t>
      </w:r>
      <w:r w:rsidR="00BB5505" w:rsidRPr="0042157B">
        <w:rPr>
          <w:rFonts w:cs="Times New Roman"/>
        </w:rPr>
        <w:t>) the log of the population from the Penn World Table Dataset (</w:t>
      </w:r>
      <w:proofErr w:type="spellStart"/>
      <w:r w:rsidR="00BB5505" w:rsidRPr="0042157B">
        <w:rPr>
          <w:rFonts w:cs="Times New Roman"/>
        </w:rPr>
        <w:t>Krcmaric</w:t>
      </w:r>
      <w:proofErr w:type="spellEnd"/>
      <w:r w:rsidR="00BB5505" w:rsidRPr="0042157B">
        <w:rPr>
          <w:rFonts w:cs="Times New Roman"/>
        </w:rPr>
        <w:t>, 2017, p. 26).</w:t>
      </w:r>
    </w:p>
    <w:p w14:paraId="316E7819" w14:textId="76022A06" w:rsidR="0042157B" w:rsidRDefault="0042157B" w:rsidP="00BB5505">
      <w:pPr>
        <w:pStyle w:val="BodyText"/>
        <w:spacing w:line="480" w:lineRule="auto"/>
        <w:rPr>
          <w:rFonts w:cs="Times New Roman"/>
        </w:rPr>
      </w:pPr>
    </w:p>
    <w:p w14:paraId="4C132B4E" w14:textId="16712462" w:rsidR="0042157B" w:rsidRDefault="0042157B" w:rsidP="00BB5505">
      <w:pPr>
        <w:pStyle w:val="BodyText"/>
        <w:spacing w:line="480" w:lineRule="auto"/>
        <w:rPr>
          <w:rFonts w:cs="Times New Roman"/>
        </w:rPr>
      </w:pPr>
    </w:p>
    <w:p w14:paraId="0E6165A8" w14:textId="647B1F4A" w:rsidR="0042157B" w:rsidRDefault="0042157B" w:rsidP="00BB5505">
      <w:pPr>
        <w:pStyle w:val="BodyText"/>
        <w:spacing w:line="480" w:lineRule="auto"/>
        <w:rPr>
          <w:rFonts w:cs="Times New Roman"/>
        </w:rPr>
      </w:pPr>
    </w:p>
    <w:p w14:paraId="626C5750" w14:textId="77777777" w:rsidR="00987FC9" w:rsidRPr="0042157B" w:rsidRDefault="00987FC9" w:rsidP="00BB5505">
      <w:pPr>
        <w:pStyle w:val="BodyText"/>
        <w:spacing w:line="480" w:lineRule="auto"/>
        <w:rPr>
          <w:rFonts w:cs="Times New Roman"/>
        </w:rPr>
      </w:pPr>
    </w:p>
    <w:p w14:paraId="277CAAC7" w14:textId="29CB84F5" w:rsidR="00BB5505" w:rsidRPr="0042157B" w:rsidRDefault="00BB5505" w:rsidP="00876FD4">
      <w:pPr>
        <w:pStyle w:val="BodyText"/>
        <w:spacing w:line="480" w:lineRule="auto"/>
        <w:jc w:val="center"/>
        <w:rPr>
          <w:rFonts w:cs="Times New Roman"/>
          <w:b/>
          <w:bCs/>
        </w:rPr>
      </w:pPr>
      <w:r w:rsidRPr="0042157B">
        <w:rPr>
          <w:rFonts w:cs="Times New Roman"/>
          <w:b/>
          <w:bCs/>
        </w:rPr>
        <w:lastRenderedPageBreak/>
        <w:t>Results</w:t>
      </w:r>
    </w:p>
    <w:p w14:paraId="22E17961" w14:textId="3EFA4160" w:rsidR="00876FD4" w:rsidRPr="0042157B" w:rsidRDefault="00876FD4" w:rsidP="00876FD4">
      <w:pPr>
        <w:pStyle w:val="BodyText"/>
        <w:spacing w:after="0"/>
        <w:rPr>
          <w:rFonts w:cs="Times New Roman"/>
          <w:b/>
          <w:bCs/>
        </w:rPr>
      </w:pPr>
      <w:r w:rsidRPr="0042157B">
        <w:rPr>
          <w:rFonts w:cs="Times New Roman"/>
          <w:b/>
          <w:bCs/>
        </w:rPr>
        <w:t>Figure 4</w:t>
      </w:r>
    </w:p>
    <w:p w14:paraId="445CFEDE" w14:textId="77777777" w:rsidR="00876FD4" w:rsidRPr="0042157B" w:rsidRDefault="00876FD4" w:rsidP="00876FD4">
      <w:pPr>
        <w:pStyle w:val="BodyText"/>
        <w:spacing w:after="0"/>
        <w:rPr>
          <w:rFonts w:cs="Times New Roman"/>
          <w:b/>
          <w:bCs/>
        </w:rPr>
      </w:pPr>
    </w:p>
    <w:p w14:paraId="7FB87242" w14:textId="5B7C9F87" w:rsidR="00BB5505" w:rsidRPr="0042157B" w:rsidRDefault="00BB5505" w:rsidP="00876FD4">
      <w:pPr>
        <w:pStyle w:val="BodyText"/>
        <w:spacing w:after="0"/>
        <w:rPr>
          <w:rFonts w:cs="Times New Roman"/>
          <w:bCs/>
          <w:i/>
        </w:rPr>
      </w:pPr>
      <w:r w:rsidRPr="0042157B">
        <w:rPr>
          <w:rFonts w:cs="Times New Roman"/>
          <w:bCs/>
          <w:i/>
        </w:rPr>
        <w:t>Table for Anderton and Carter Model</w:t>
      </w:r>
    </w:p>
    <w:tbl>
      <w:tblPr>
        <w:tblStyle w:val="Table"/>
        <w:tblpPr w:leftFromText="180" w:rightFromText="180" w:vertAnchor="text" w:horzAnchor="margin" w:tblpY="369"/>
        <w:tblW w:w="6337" w:type="dxa"/>
        <w:tblLayout w:type="fixed"/>
        <w:tblLook w:val="0420" w:firstRow="1" w:lastRow="0" w:firstColumn="0" w:lastColumn="0" w:noHBand="0" w:noVBand="1"/>
      </w:tblPr>
      <w:tblGrid>
        <w:gridCol w:w="3168"/>
        <w:gridCol w:w="3169"/>
      </w:tblGrid>
      <w:tr w:rsidR="002B5A39" w:rsidRPr="0042157B" w14:paraId="1DA64AB6" w14:textId="77777777" w:rsidTr="00BB5505">
        <w:trPr>
          <w:cantSplit/>
          <w:trHeight w:val="670"/>
          <w:tblHeader/>
        </w:trPr>
        <w:tc>
          <w:tcPr>
            <w:tcW w:w="316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2191DF8" w14:textId="77777777" w:rsidR="00BB5505" w:rsidRPr="0042157B" w:rsidRDefault="00BB5505" w:rsidP="00BB5505">
            <w:pPr>
              <w:spacing w:before="60" w:after="60"/>
              <w:ind w:left="60" w:right="60"/>
              <w:rPr>
                <w:rFonts w:ascii="Times New Roman" w:hAnsi="Times New Roman" w:cs="Times New Roman"/>
              </w:rPr>
            </w:pPr>
          </w:p>
        </w:tc>
        <w:tc>
          <w:tcPr>
            <w:tcW w:w="3169"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89F9865" w14:textId="77777777" w:rsidR="00BB5505" w:rsidRPr="0042157B" w:rsidRDefault="00BB5505" w:rsidP="00BB5505">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Anderton and Carter Model</w:t>
            </w:r>
          </w:p>
        </w:tc>
      </w:tr>
      <w:tr w:rsidR="002B5A39" w:rsidRPr="0042157B" w14:paraId="2E11A82B" w14:textId="77777777" w:rsidTr="00BB5505">
        <w:trPr>
          <w:cantSplit/>
          <w:trHeight w:val="476"/>
        </w:trPr>
        <w:tc>
          <w:tcPr>
            <w:tcW w:w="3168" w:type="dxa"/>
            <w:shd w:val="clear" w:color="auto" w:fill="FFFFFF"/>
            <w:tcMar>
              <w:top w:w="0" w:type="dxa"/>
              <w:left w:w="0" w:type="dxa"/>
              <w:bottom w:w="0" w:type="dxa"/>
              <w:right w:w="0" w:type="dxa"/>
            </w:tcMar>
            <w:vAlign w:val="center"/>
          </w:tcPr>
          <w:p w14:paraId="0F8CF0E0" w14:textId="77777777" w:rsidR="00BB5505" w:rsidRPr="0042157B" w:rsidRDefault="00BB5505" w:rsidP="00BB5505">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Intercept</w:t>
            </w:r>
          </w:p>
        </w:tc>
        <w:tc>
          <w:tcPr>
            <w:tcW w:w="3169" w:type="dxa"/>
            <w:shd w:val="clear" w:color="auto" w:fill="FFFFFF"/>
            <w:tcMar>
              <w:top w:w="0" w:type="dxa"/>
              <w:left w:w="0" w:type="dxa"/>
              <w:bottom w:w="0" w:type="dxa"/>
              <w:right w:w="0" w:type="dxa"/>
            </w:tcMar>
            <w:vAlign w:val="center"/>
          </w:tcPr>
          <w:p w14:paraId="2D01832A" w14:textId="77777777" w:rsidR="00BB5505" w:rsidRPr="0042157B" w:rsidRDefault="00BB5505" w:rsidP="00BB5505">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-4.014*** (0.693)</w:t>
            </w:r>
          </w:p>
        </w:tc>
      </w:tr>
      <w:tr w:rsidR="002B5A39" w:rsidRPr="0042157B" w14:paraId="5EC91A3A" w14:textId="77777777" w:rsidTr="00BB5505">
        <w:trPr>
          <w:cantSplit/>
          <w:trHeight w:val="476"/>
        </w:trPr>
        <w:tc>
          <w:tcPr>
            <w:tcW w:w="3168" w:type="dxa"/>
            <w:shd w:val="clear" w:color="auto" w:fill="FFFFFF"/>
            <w:tcMar>
              <w:top w:w="0" w:type="dxa"/>
              <w:left w:w="0" w:type="dxa"/>
              <w:bottom w:w="0" w:type="dxa"/>
              <w:right w:w="0" w:type="dxa"/>
            </w:tcMar>
            <w:vAlign w:val="center"/>
          </w:tcPr>
          <w:p w14:paraId="766D3F27" w14:textId="77777777" w:rsidR="00BB5505" w:rsidRPr="0042157B" w:rsidRDefault="00BB5505" w:rsidP="00BB5505">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Threat</w:t>
            </w:r>
          </w:p>
        </w:tc>
        <w:tc>
          <w:tcPr>
            <w:tcW w:w="3169" w:type="dxa"/>
            <w:shd w:val="clear" w:color="auto" w:fill="FFFFFF"/>
            <w:tcMar>
              <w:top w:w="0" w:type="dxa"/>
              <w:left w:w="0" w:type="dxa"/>
              <w:bottom w:w="0" w:type="dxa"/>
              <w:right w:w="0" w:type="dxa"/>
            </w:tcMar>
            <w:vAlign w:val="center"/>
          </w:tcPr>
          <w:p w14:paraId="581CAA96" w14:textId="77777777" w:rsidR="00BB5505" w:rsidRPr="0042157B" w:rsidRDefault="00BB5505" w:rsidP="00BB5505">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0.090 (0.154)</w:t>
            </w:r>
          </w:p>
        </w:tc>
      </w:tr>
      <w:tr w:rsidR="002B5A39" w:rsidRPr="0042157B" w14:paraId="591C5DCE" w14:textId="77777777" w:rsidTr="00BB5505">
        <w:trPr>
          <w:cantSplit/>
          <w:trHeight w:val="476"/>
        </w:trPr>
        <w:tc>
          <w:tcPr>
            <w:tcW w:w="3168" w:type="dxa"/>
            <w:shd w:val="clear" w:color="auto" w:fill="FFFFFF"/>
            <w:tcMar>
              <w:top w:w="0" w:type="dxa"/>
              <w:left w:w="0" w:type="dxa"/>
              <w:bottom w:w="0" w:type="dxa"/>
              <w:right w:w="0" w:type="dxa"/>
            </w:tcMar>
            <w:vAlign w:val="center"/>
          </w:tcPr>
          <w:p w14:paraId="640005D3" w14:textId="77777777" w:rsidR="00BB5505" w:rsidRPr="0042157B" w:rsidRDefault="00BB5505" w:rsidP="00BB5505">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Anocracy</w:t>
            </w:r>
          </w:p>
        </w:tc>
        <w:tc>
          <w:tcPr>
            <w:tcW w:w="3169" w:type="dxa"/>
            <w:shd w:val="clear" w:color="auto" w:fill="FFFFFF"/>
            <w:tcMar>
              <w:top w:w="0" w:type="dxa"/>
              <w:left w:w="0" w:type="dxa"/>
              <w:bottom w:w="0" w:type="dxa"/>
              <w:right w:w="0" w:type="dxa"/>
            </w:tcMar>
            <w:vAlign w:val="center"/>
          </w:tcPr>
          <w:p w14:paraId="6FEC58ED" w14:textId="77777777" w:rsidR="00BB5505" w:rsidRPr="0042157B" w:rsidRDefault="00BB5505" w:rsidP="00BB5505">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0.410 (0.378)</w:t>
            </w:r>
          </w:p>
        </w:tc>
      </w:tr>
      <w:tr w:rsidR="002B5A39" w:rsidRPr="0042157B" w14:paraId="25FB4E94" w14:textId="77777777" w:rsidTr="00BB5505">
        <w:trPr>
          <w:cantSplit/>
          <w:trHeight w:val="480"/>
        </w:trPr>
        <w:tc>
          <w:tcPr>
            <w:tcW w:w="3168" w:type="dxa"/>
            <w:shd w:val="clear" w:color="auto" w:fill="FFFFFF"/>
            <w:tcMar>
              <w:top w:w="0" w:type="dxa"/>
              <w:left w:w="0" w:type="dxa"/>
              <w:bottom w:w="0" w:type="dxa"/>
              <w:right w:w="0" w:type="dxa"/>
            </w:tcMar>
            <w:vAlign w:val="center"/>
          </w:tcPr>
          <w:p w14:paraId="30477C48" w14:textId="77777777" w:rsidR="00BB5505" w:rsidRPr="0042157B" w:rsidRDefault="00BB5505" w:rsidP="00BB5505">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New State Status</w:t>
            </w:r>
          </w:p>
        </w:tc>
        <w:tc>
          <w:tcPr>
            <w:tcW w:w="3169" w:type="dxa"/>
            <w:shd w:val="clear" w:color="auto" w:fill="FFFFFF"/>
            <w:tcMar>
              <w:top w:w="0" w:type="dxa"/>
              <w:left w:w="0" w:type="dxa"/>
              <w:bottom w:w="0" w:type="dxa"/>
              <w:right w:w="0" w:type="dxa"/>
            </w:tcMar>
            <w:vAlign w:val="center"/>
          </w:tcPr>
          <w:p w14:paraId="4177A4D5" w14:textId="77777777" w:rsidR="00BB5505" w:rsidRPr="0042157B" w:rsidRDefault="00BB5505" w:rsidP="00BB5505">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1.705*** (0.546)</w:t>
            </w:r>
          </w:p>
        </w:tc>
      </w:tr>
      <w:tr w:rsidR="002B5A39" w:rsidRPr="0042157B" w14:paraId="469D3CE7" w14:textId="77777777" w:rsidTr="00BB5505">
        <w:trPr>
          <w:cantSplit/>
          <w:trHeight w:val="476"/>
        </w:trPr>
        <w:tc>
          <w:tcPr>
            <w:tcW w:w="3168" w:type="dxa"/>
            <w:shd w:val="clear" w:color="auto" w:fill="FFFFFF"/>
            <w:tcMar>
              <w:top w:w="0" w:type="dxa"/>
              <w:left w:w="0" w:type="dxa"/>
              <w:bottom w:w="0" w:type="dxa"/>
              <w:right w:w="0" w:type="dxa"/>
            </w:tcMar>
            <w:vAlign w:val="center"/>
          </w:tcPr>
          <w:p w14:paraId="35025D61" w14:textId="77777777" w:rsidR="00BB5505" w:rsidRPr="0042157B" w:rsidRDefault="00BB5505" w:rsidP="00BB5505">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Population</w:t>
            </w:r>
          </w:p>
        </w:tc>
        <w:tc>
          <w:tcPr>
            <w:tcW w:w="3169" w:type="dxa"/>
            <w:shd w:val="clear" w:color="auto" w:fill="FFFFFF"/>
            <w:tcMar>
              <w:top w:w="0" w:type="dxa"/>
              <w:left w:w="0" w:type="dxa"/>
              <w:bottom w:w="0" w:type="dxa"/>
              <w:right w:w="0" w:type="dxa"/>
            </w:tcMar>
            <w:vAlign w:val="center"/>
          </w:tcPr>
          <w:p w14:paraId="36C5355F" w14:textId="77777777" w:rsidR="00BB5505" w:rsidRPr="0042157B" w:rsidRDefault="00BB5505" w:rsidP="00BB5505">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-0.001 (0.000)</w:t>
            </w:r>
          </w:p>
        </w:tc>
      </w:tr>
      <w:tr w:rsidR="002B5A39" w:rsidRPr="0042157B" w14:paraId="4E71A8C8" w14:textId="77777777" w:rsidTr="00BB5505">
        <w:trPr>
          <w:cantSplit/>
          <w:trHeight w:val="476"/>
        </w:trPr>
        <w:tc>
          <w:tcPr>
            <w:tcW w:w="3168" w:type="dxa"/>
            <w:shd w:val="clear" w:color="auto" w:fill="FFFFFF"/>
            <w:tcMar>
              <w:top w:w="0" w:type="dxa"/>
              <w:left w:w="0" w:type="dxa"/>
              <w:bottom w:w="0" w:type="dxa"/>
              <w:right w:w="0" w:type="dxa"/>
            </w:tcMar>
            <w:vAlign w:val="center"/>
          </w:tcPr>
          <w:p w14:paraId="19363706" w14:textId="77777777" w:rsidR="00BB5505" w:rsidRPr="0042157B" w:rsidRDefault="00BB5505" w:rsidP="00BB5505">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Cold War Period</w:t>
            </w:r>
          </w:p>
        </w:tc>
        <w:tc>
          <w:tcPr>
            <w:tcW w:w="3169" w:type="dxa"/>
            <w:shd w:val="clear" w:color="auto" w:fill="FFFFFF"/>
            <w:tcMar>
              <w:top w:w="0" w:type="dxa"/>
              <w:left w:w="0" w:type="dxa"/>
              <w:bottom w:w="0" w:type="dxa"/>
              <w:right w:w="0" w:type="dxa"/>
            </w:tcMar>
            <w:vAlign w:val="center"/>
          </w:tcPr>
          <w:p w14:paraId="4FE99122" w14:textId="77777777" w:rsidR="00BB5505" w:rsidRPr="0042157B" w:rsidRDefault="00BB5505" w:rsidP="00BB5505">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1.540*** (0.505)</w:t>
            </w:r>
          </w:p>
        </w:tc>
      </w:tr>
      <w:tr w:rsidR="002B5A39" w:rsidRPr="0042157B" w14:paraId="4A4EB996" w14:textId="77777777" w:rsidTr="00BB5505">
        <w:trPr>
          <w:cantSplit/>
          <w:trHeight w:val="476"/>
        </w:trPr>
        <w:tc>
          <w:tcPr>
            <w:tcW w:w="3168" w:type="dxa"/>
            <w:shd w:val="clear" w:color="auto" w:fill="FFFFFF"/>
            <w:tcMar>
              <w:top w:w="0" w:type="dxa"/>
              <w:left w:w="0" w:type="dxa"/>
              <w:bottom w:w="0" w:type="dxa"/>
              <w:right w:w="0" w:type="dxa"/>
            </w:tcMar>
            <w:vAlign w:val="center"/>
          </w:tcPr>
          <w:p w14:paraId="7964DBEA" w14:textId="77777777" w:rsidR="00BB5505" w:rsidRPr="0042157B" w:rsidRDefault="00BB5505" w:rsidP="00BB5505">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Discrimination</w:t>
            </w:r>
          </w:p>
        </w:tc>
        <w:tc>
          <w:tcPr>
            <w:tcW w:w="3169" w:type="dxa"/>
            <w:shd w:val="clear" w:color="auto" w:fill="FFFFFF"/>
            <w:tcMar>
              <w:top w:w="0" w:type="dxa"/>
              <w:left w:w="0" w:type="dxa"/>
              <w:bottom w:w="0" w:type="dxa"/>
              <w:right w:w="0" w:type="dxa"/>
            </w:tcMar>
            <w:vAlign w:val="center"/>
          </w:tcPr>
          <w:p w14:paraId="2D55A95A" w14:textId="77777777" w:rsidR="00BB5505" w:rsidRPr="0042157B" w:rsidRDefault="00BB5505" w:rsidP="00BB5505">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-0.580 (1.164)</w:t>
            </w:r>
          </w:p>
        </w:tc>
      </w:tr>
      <w:tr w:rsidR="002B5A39" w:rsidRPr="0042157B" w14:paraId="7464C800" w14:textId="77777777" w:rsidTr="00BB5505">
        <w:trPr>
          <w:cantSplit/>
          <w:trHeight w:val="476"/>
        </w:trPr>
        <w:tc>
          <w:tcPr>
            <w:tcW w:w="3168" w:type="dxa"/>
            <w:shd w:val="clear" w:color="auto" w:fill="FFFFFF"/>
            <w:tcMar>
              <w:top w:w="0" w:type="dxa"/>
              <w:left w:w="0" w:type="dxa"/>
              <w:bottom w:w="0" w:type="dxa"/>
              <w:right w:w="0" w:type="dxa"/>
            </w:tcMar>
            <w:vAlign w:val="center"/>
          </w:tcPr>
          <w:p w14:paraId="49328BCE" w14:textId="77777777" w:rsidR="00BB5505" w:rsidRPr="0042157B" w:rsidRDefault="00BB5505" w:rsidP="00BB5505">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Development</w:t>
            </w:r>
          </w:p>
        </w:tc>
        <w:tc>
          <w:tcPr>
            <w:tcW w:w="3169" w:type="dxa"/>
            <w:shd w:val="clear" w:color="auto" w:fill="FFFFFF"/>
            <w:tcMar>
              <w:top w:w="0" w:type="dxa"/>
              <w:left w:w="0" w:type="dxa"/>
              <w:bottom w:w="0" w:type="dxa"/>
              <w:right w:w="0" w:type="dxa"/>
            </w:tcMar>
            <w:vAlign w:val="center"/>
          </w:tcPr>
          <w:p w14:paraId="332A2F49" w14:textId="77777777" w:rsidR="00BB5505" w:rsidRPr="0042157B" w:rsidRDefault="00BB5505" w:rsidP="00BB5505">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-0.133* (0.073)</w:t>
            </w:r>
          </w:p>
        </w:tc>
      </w:tr>
      <w:tr w:rsidR="002B5A39" w:rsidRPr="0042157B" w14:paraId="7FF7047A" w14:textId="77777777" w:rsidTr="00BB5505">
        <w:trPr>
          <w:cantSplit/>
          <w:trHeight w:val="285"/>
        </w:trPr>
        <w:tc>
          <w:tcPr>
            <w:tcW w:w="3168" w:type="dxa"/>
            <w:tcBorders>
              <w:top w:val="single" w:sz="8" w:space="0" w:color="000000"/>
            </w:tcBorders>
            <w:shd w:val="clear" w:color="auto" w:fill="FFFFFF"/>
            <w:tcMar>
              <w:top w:w="0" w:type="dxa"/>
              <w:left w:w="0" w:type="dxa"/>
              <w:bottom w:w="0" w:type="dxa"/>
              <w:right w:w="0" w:type="dxa"/>
            </w:tcMar>
            <w:vAlign w:val="center"/>
          </w:tcPr>
          <w:p w14:paraId="5959A8F3" w14:textId="77777777" w:rsidR="00BB5505" w:rsidRPr="0042157B" w:rsidRDefault="00BB5505" w:rsidP="00BB5505">
            <w:pPr>
              <w:spacing w:before="60" w:after="60"/>
              <w:ind w:left="60" w:right="60"/>
              <w:rPr>
                <w:rFonts w:ascii="Times New Roman" w:hAnsi="Times New Roman" w:cs="Times New Roman"/>
              </w:rPr>
            </w:pPr>
            <w:proofErr w:type="spellStart"/>
            <w:r w:rsidRPr="0042157B">
              <w:rPr>
                <w:rFonts w:ascii="Times New Roman" w:eastAsia="Arial" w:hAnsi="Times New Roman" w:cs="Times New Roman"/>
                <w:sz w:val="22"/>
                <w:szCs w:val="22"/>
              </w:rPr>
              <w:t>Num.Obs</w:t>
            </w:r>
            <w:proofErr w:type="spellEnd"/>
            <w:r w:rsidRPr="0042157B">
              <w:rPr>
                <w:rFonts w:ascii="Times New Roman" w:eastAsia="Arial" w:hAnsi="Times New Roman" w:cs="Times New Roman"/>
                <w:sz w:val="22"/>
                <w:szCs w:val="22"/>
              </w:rPr>
              <w:t>.</w:t>
            </w:r>
          </w:p>
        </w:tc>
        <w:tc>
          <w:tcPr>
            <w:tcW w:w="3169" w:type="dxa"/>
            <w:tcBorders>
              <w:top w:val="single" w:sz="8" w:space="0" w:color="000000"/>
            </w:tcBorders>
            <w:shd w:val="clear" w:color="auto" w:fill="FFFFFF"/>
            <w:tcMar>
              <w:top w:w="0" w:type="dxa"/>
              <w:left w:w="0" w:type="dxa"/>
              <w:bottom w:w="0" w:type="dxa"/>
              <w:right w:w="0" w:type="dxa"/>
            </w:tcMar>
            <w:vAlign w:val="center"/>
          </w:tcPr>
          <w:p w14:paraId="5FB36358" w14:textId="77777777" w:rsidR="00BB5505" w:rsidRPr="0042157B" w:rsidRDefault="00BB5505" w:rsidP="00BB5505">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726</w:t>
            </w:r>
          </w:p>
        </w:tc>
      </w:tr>
      <w:tr w:rsidR="002B5A39" w:rsidRPr="0042157B" w14:paraId="4EDD3173" w14:textId="77777777" w:rsidTr="00BB5505">
        <w:trPr>
          <w:cantSplit/>
          <w:trHeight w:val="285"/>
        </w:trPr>
        <w:tc>
          <w:tcPr>
            <w:tcW w:w="3168" w:type="dxa"/>
            <w:shd w:val="clear" w:color="auto" w:fill="FFFFFF"/>
            <w:tcMar>
              <w:top w:w="0" w:type="dxa"/>
              <w:left w:w="0" w:type="dxa"/>
              <w:bottom w:w="0" w:type="dxa"/>
              <w:right w:w="0" w:type="dxa"/>
            </w:tcMar>
            <w:vAlign w:val="center"/>
          </w:tcPr>
          <w:p w14:paraId="4273B089" w14:textId="77777777" w:rsidR="00BB5505" w:rsidRPr="0042157B" w:rsidRDefault="00BB5505" w:rsidP="00BB5505">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AIC</w:t>
            </w:r>
          </w:p>
        </w:tc>
        <w:tc>
          <w:tcPr>
            <w:tcW w:w="3169" w:type="dxa"/>
            <w:shd w:val="clear" w:color="auto" w:fill="FFFFFF"/>
            <w:tcMar>
              <w:top w:w="0" w:type="dxa"/>
              <w:left w:w="0" w:type="dxa"/>
              <w:bottom w:w="0" w:type="dxa"/>
              <w:right w:w="0" w:type="dxa"/>
            </w:tcMar>
            <w:vAlign w:val="center"/>
          </w:tcPr>
          <w:p w14:paraId="6B48471E" w14:textId="77777777" w:rsidR="00BB5505" w:rsidRPr="0042157B" w:rsidRDefault="00BB5505" w:rsidP="00BB5505">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255.0</w:t>
            </w:r>
          </w:p>
        </w:tc>
      </w:tr>
      <w:tr w:rsidR="002B5A39" w:rsidRPr="0042157B" w14:paraId="2D4BBF2E" w14:textId="77777777" w:rsidTr="00BB5505">
        <w:trPr>
          <w:cantSplit/>
          <w:trHeight w:val="281"/>
        </w:trPr>
        <w:tc>
          <w:tcPr>
            <w:tcW w:w="3168" w:type="dxa"/>
            <w:shd w:val="clear" w:color="auto" w:fill="FFFFFF"/>
            <w:tcMar>
              <w:top w:w="0" w:type="dxa"/>
              <w:left w:w="0" w:type="dxa"/>
              <w:bottom w:w="0" w:type="dxa"/>
              <w:right w:w="0" w:type="dxa"/>
            </w:tcMar>
            <w:vAlign w:val="center"/>
          </w:tcPr>
          <w:p w14:paraId="16BEE3D1" w14:textId="77777777" w:rsidR="00BB5505" w:rsidRPr="0042157B" w:rsidRDefault="00BB5505" w:rsidP="00BB5505">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BIC</w:t>
            </w:r>
          </w:p>
        </w:tc>
        <w:tc>
          <w:tcPr>
            <w:tcW w:w="3169" w:type="dxa"/>
            <w:shd w:val="clear" w:color="auto" w:fill="FFFFFF"/>
            <w:tcMar>
              <w:top w:w="0" w:type="dxa"/>
              <w:left w:w="0" w:type="dxa"/>
              <w:bottom w:w="0" w:type="dxa"/>
              <w:right w:w="0" w:type="dxa"/>
            </w:tcMar>
            <w:vAlign w:val="center"/>
          </w:tcPr>
          <w:p w14:paraId="34369701" w14:textId="77777777" w:rsidR="00BB5505" w:rsidRPr="0042157B" w:rsidRDefault="00BB5505" w:rsidP="00BB5505">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291.7</w:t>
            </w:r>
          </w:p>
        </w:tc>
      </w:tr>
      <w:tr w:rsidR="002B5A39" w:rsidRPr="0042157B" w14:paraId="4647F7C8" w14:textId="77777777" w:rsidTr="00BB5505">
        <w:trPr>
          <w:cantSplit/>
          <w:trHeight w:val="285"/>
        </w:trPr>
        <w:tc>
          <w:tcPr>
            <w:tcW w:w="3168" w:type="dxa"/>
            <w:tcBorders>
              <w:bottom w:val="single" w:sz="16" w:space="0" w:color="000000"/>
            </w:tcBorders>
            <w:shd w:val="clear" w:color="auto" w:fill="FFFFFF"/>
            <w:tcMar>
              <w:top w:w="0" w:type="dxa"/>
              <w:left w:w="0" w:type="dxa"/>
              <w:bottom w:w="0" w:type="dxa"/>
              <w:right w:w="0" w:type="dxa"/>
            </w:tcMar>
            <w:vAlign w:val="center"/>
          </w:tcPr>
          <w:p w14:paraId="4DF21BEE" w14:textId="77777777" w:rsidR="00BB5505" w:rsidRPr="0042157B" w:rsidRDefault="00BB5505" w:rsidP="00BB5505">
            <w:pPr>
              <w:spacing w:before="60" w:after="60"/>
              <w:ind w:left="60" w:right="60"/>
              <w:rPr>
                <w:rFonts w:ascii="Times New Roman" w:hAnsi="Times New Roman" w:cs="Times New Roman"/>
              </w:rPr>
            </w:pPr>
            <w:proofErr w:type="spellStart"/>
            <w:r w:rsidRPr="0042157B">
              <w:rPr>
                <w:rFonts w:ascii="Times New Roman" w:eastAsia="Arial" w:hAnsi="Times New Roman" w:cs="Times New Roman"/>
                <w:sz w:val="22"/>
                <w:szCs w:val="22"/>
              </w:rPr>
              <w:t>Log.Lik</w:t>
            </w:r>
            <w:proofErr w:type="spellEnd"/>
            <w:r w:rsidRPr="0042157B">
              <w:rPr>
                <w:rFonts w:ascii="Times New Roman" w:eastAsia="Arial" w:hAnsi="Times New Roman" w:cs="Times New Roman"/>
                <w:sz w:val="22"/>
                <w:szCs w:val="22"/>
              </w:rPr>
              <w:t>.</w:t>
            </w:r>
          </w:p>
        </w:tc>
        <w:tc>
          <w:tcPr>
            <w:tcW w:w="3169" w:type="dxa"/>
            <w:tcBorders>
              <w:bottom w:val="single" w:sz="16" w:space="0" w:color="000000"/>
            </w:tcBorders>
            <w:shd w:val="clear" w:color="auto" w:fill="FFFFFF"/>
            <w:tcMar>
              <w:top w:w="0" w:type="dxa"/>
              <w:left w:w="0" w:type="dxa"/>
              <w:bottom w:w="0" w:type="dxa"/>
              <w:right w:w="0" w:type="dxa"/>
            </w:tcMar>
            <w:vAlign w:val="center"/>
          </w:tcPr>
          <w:p w14:paraId="5C265998" w14:textId="77777777" w:rsidR="00BB5505" w:rsidRPr="0042157B" w:rsidRDefault="00BB5505" w:rsidP="00BB5505">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-119.507</w:t>
            </w:r>
          </w:p>
        </w:tc>
      </w:tr>
      <w:tr w:rsidR="002B5A39" w:rsidRPr="0042157B" w14:paraId="6D825522" w14:textId="77777777" w:rsidTr="00BB5505">
        <w:trPr>
          <w:cantSplit/>
          <w:trHeight w:val="476"/>
        </w:trPr>
        <w:tc>
          <w:tcPr>
            <w:tcW w:w="6337" w:type="dxa"/>
            <w:gridSpan w:val="2"/>
            <w:shd w:val="clear" w:color="auto" w:fill="FFFFFF"/>
            <w:tcMar>
              <w:top w:w="0" w:type="dxa"/>
              <w:left w:w="0" w:type="dxa"/>
              <w:bottom w:w="0" w:type="dxa"/>
              <w:right w:w="0" w:type="dxa"/>
            </w:tcMar>
            <w:vAlign w:val="center"/>
          </w:tcPr>
          <w:p w14:paraId="51F98C25" w14:textId="77777777" w:rsidR="00BB5505" w:rsidRPr="0042157B" w:rsidRDefault="00BB5505" w:rsidP="00BB5505">
            <w:pPr>
              <w:spacing w:before="60" w:after="60"/>
              <w:ind w:left="60" w:right="60"/>
              <w:rPr>
                <w:rFonts w:ascii="Times New Roman" w:hAnsi="Times New Roman" w:cs="Times New Roman"/>
              </w:rPr>
            </w:pPr>
            <w:r w:rsidRPr="0042157B">
              <w:rPr>
                <w:rFonts w:ascii="Times New Roman" w:eastAsia="Arial" w:hAnsi="Times New Roman" w:cs="Times New Roman"/>
                <w:sz w:val="22"/>
                <w:szCs w:val="22"/>
              </w:rPr>
              <w:t>* p &lt; 0.1, ** p &lt; 0.05, *** p &lt; 0.01</w:t>
            </w:r>
          </w:p>
        </w:tc>
      </w:tr>
    </w:tbl>
    <w:p w14:paraId="1B0AA9A1" w14:textId="42D72B3F" w:rsidR="00BB5505" w:rsidRPr="0042157B" w:rsidRDefault="00BB5505" w:rsidP="00BB5505">
      <w:pPr>
        <w:pStyle w:val="Heading1"/>
        <w:rPr>
          <w:rFonts w:ascii="Times New Roman" w:hAnsi="Times New Roman" w:cs="Times New Roman"/>
          <w:color w:val="auto"/>
        </w:rPr>
      </w:pPr>
    </w:p>
    <w:p w14:paraId="4FCB39BA" w14:textId="77777777" w:rsidR="00BB5505" w:rsidRPr="0042157B" w:rsidRDefault="00BB5505" w:rsidP="00BB5505">
      <w:pPr>
        <w:pStyle w:val="FirstParagraph"/>
        <w:rPr>
          <w:rFonts w:ascii="Times New Roman" w:hAnsi="Times New Roman" w:cs="Times New Roman"/>
        </w:rPr>
      </w:pPr>
    </w:p>
    <w:p w14:paraId="5883D565" w14:textId="77777777" w:rsidR="00BB5505" w:rsidRPr="0042157B" w:rsidRDefault="00BB5505" w:rsidP="00BB5505">
      <w:pPr>
        <w:pStyle w:val="FirstParagraph"/>
        <w:rPr>
          <w:rFonts w:ascii="Times New Roman" w:hAnsi="Times New Roman" w:cs="Times New Roman"/>
        </w:rPr>
      </w:pPr>
    </w:p>
    <w:p w14:paraId="33343EE9" w14:textId="77777777" w:rsidR="00876FD4" w:rsidRPr="0042157B" w:rsidRDefault="00876FD4" w:rsidP="00BB5505">
      <w:pPr>
        <w:pStyle w:val="FirstParagraph"/>
        <w:spacing w:line="480" w:lineRule="auto"/>
        <w:ind w:firstLine="720"/>
        <w:rPr>
          <w:rFonts w:ascii="Times New Roman" w:hAnsi="Times New Roman" w:cs="Times New Roman"/>
        </w:rPr>
      </w:pPr>
    </w:p>
    <w:p w14:paraId="765E2E88" w14:textId="77777777" w:rsidR="00876FD4" w:rsidRPr="0042157B" w:rsidRDefault="00876FD4" w:rsidP="00BB5505">
      <w:pPr>
        <w:pStyle w:val="FirstParagraph"/>
        <w:spacing w:line="480" w:lineRule="auto"/>
        <w:ind w:firstLine="720"/>
        <w:rPr>
          <w:rFonts w:ascii="Times New Roman" w:hAnsi="Times New Roman" w:cs="Times New Roman"/>
        </w:rPr>
      </w:pPr>
    </w:p>
    <w:p w14:paraId="162C18F6" w14:textId="77777777" w:rsidR="00876FD4" w:rsidRPr="0042157B" w:rsidRDefault="00876FD4" w:rsidP="00BB5505">
      <w:pPr>
        <w:pStyle w:val="FirstParagraph"/>
        <w:spacing w:line="480" w:lineRule="auto"/>
        <w:ind w:firstLine="720"/>
        <w:rPr>
          <w:rFonts w:ascii="Times New Roman" w:hAnsi="Times New Roman" w:cs="Times New Roman"/>
        </w:rPr>
      </w:pPr>
    </w:p>
    <w:p w14:paraId="16D97F4B" w14:textId="77777777" w:rsidR="00744E07" w:rsidRPr="0042157B" w:rsidRDefault="00744E07" w:rsidP="00BB5505">
      <w:pPr>
        <w:pStyle w:val="FirstParagraph"/>
        <w:spacing w:line="480" w:lineRule="auto"/>
        <w:ind w:firstLine="720"/>
        <w:rPr>
          <w:rFonts w:ascii="Times New Roman" w:hAnsi="Times New Roman" w:cs="Times New Roman"/>
        </w:rPr>
      </w:pPr>
    </w:p>
    <w:p w14:paraId="24823605" w14:textId="77777777" w:rsidR="0042157B" w:rsidRDefault="0042157B" w:rsidP="00BB5505">
      <w:pPr>
        <w:pStyle w:val="FirstParagraph"/>
        <w:spacing w:line="480" w:lineRule="auto"/>
        <w:ind w:firstLine="720"/>
        <w:rPr>
          <w:rFonts w:ascii="Times New Roman" w:hAnsi="Times New Roman" w:cs="Times New Roman"/>
        </w:rPr>
      </w:pPr>
    </w:p>
    <w:p w14:paraId="088E093A" w14:textId="77777777" w:rsidR="0042157B" w:rsidRDefault="0042157B" w:rsidP="00BB5505">
      <w:pPr>
        <w:pStyle w:val="FirstParagraph"/>
        <w:spacing w:line="480" w:lineRule="auto"/>
        <w:ind w:firstLine="720"/>
        <w:rPr>
          <w:rFonts w:ascii="Times New Roman" w:hAnsi="Times New Roman" w:cs="Times New Roman"/>
        </w:rPr>
      </w:pPr>
    </w:p>
    <w:p w14:paraId="6936F98C" w14:textId="77777777" w:rsidR="0042157B" w:rsidRDefault="0042157B" w:rsidP="00BB5505">
      <w:pPr>
        <w:pStyle w:val="FirstParagraph"/>
        <w:spacing w:line="480" w:lineRule="auto"/>
        <w:ind w:firstLine="720"/>
        <w:rPr>
          <w:rFonts w:ascii="Times New Roman" w:hAnsi="Times New Roman" w:cs="Times New Roman"/>
        </w:rPr>
      </w:pPr>
    </w:p>
    <w:p w14:paraId="280961CA" w14:textId="78A27EC3" w:rsidR="00744E07" w:rsidRDefault="00BB5505" w:rsidP="0042157B">
      <w:pPr>
        <w:pStyle w:val="FirstParagraph"/>
        <w:spacing w:line="480" w:lineRule="auto"/>
        <w:ind w:firstLine="720"/>
        <w:rPr>
          <w:rFonts w:ascii="Times New Roman" w:hAnsi="Times New Roman" w:cs="Times New Roman"/>
        </w:rPr>
      </w:pPr>
      <w:r w:rsidRPr="0042157B">
        <w:rPr>
          <w:rFonts w:ascii="Times New Roman" w:hAnsi="Times New Roman" w:cs="Times New Roman"/>
        </w:rPr>
        <w:t>The table above shows that hypotheses one, three, and four are not substantiated. The threat, anocracy, and GDP per capita variable are all not statistically significant. The two variables that appear to have a relationship with mass killing are the cold war period and the new state status variable (i.e., the p-values for both variables are less than 0.01). The results mean that a state existing within the cold war period and a state five-years old or younger increases the log of odds. Thus, I can reject the third null hypothesis (i.e., new state status does not increase the likelihood of mass killing).</w:t>
      </w:r>
    </w:p>
    <w:p w14:paraId="0CE5E545" w14:textId="77777777" w:rsidR="0042157B" w:rsidRPr="0042157B" w:rsidRDefault="0042157B" w:rsidP="0042157B">
      <w:pPr>
        <w:pStyle w:val="BodyText"/>
        <w:rPr>
          <w:lang w:val="en-US" w:eastAsia="en-US" w:bidi="ar-SA"/>
        </w:rPr>
      </w:pPr>
    </w:p>
    <w:p w14:paraId="34C64B17" w14:textId="26B39F30" w:rsidR="00876FD4" w:rsidRPr="0042157B" w:rsidRDefault="00876FD4" w:rsidP="00876FD4">
      <w:pPr>
        <w:pStyle w:val="BodyText"/>
        <w:spacing w:after="0"/>
        <w:rPr>
          <w:rFonts w:cs="Times New Roman"/>
          <w:b/>
          <w:bCs/>
          <w:lang w:val="en-US" w:eastAsia="en-US" w:bidi="ar-SA"/>
        </w:rPr>
      </w:pPr>
      <w:r w:rsidRPr="0042157B">
        <w:rPr>
          <w:rFonts w:cs="Times New Roman"/>
          <w:b/>
          <w:bCs/>
          <w:lang w:val="en-US" w:eastAsia="en-US" w:bidi="ar-SA"/>
        </w:rPr>
        <w:lastRenderedPageBreak/>
        <w:t>Figure 5</w:t>
      </w:r>
    </w:p>
    <w:p w14:paraId="363B9443" w14:textId="77777777" w:rsidR="00876FD4" w:rsidRPr="0042157B" w:rsidRDefault="00876FD4" w:rsidP="00876FD4">
      <w:pPr>
        <w:pStyle w:val="BodyText"/>
        <w:spacing w:after="0"/>
        <w:rPr>
          <w:rFonts w:cs="Times New Roman"/>
          <w:b/>
          <w:bCs/>
          <w:lang w:val="en-US" w:eastAsia="en-US" w:bidi="ar-SA"/>
        </w:rPr>
      </w:pPr>
    </w:p>
    <w:p w14:paraId="6BCCDEA3" w14:textId="5E5AE210" w:rsidR="00BB5505" w:rsidRPr="0042157B" w:rsidRDefault="00BB5505" w:rsidP="0089547F">
      <w:pPr>
        <w:pStyle w:val="BodyText"/>
        <w:spacing w:after="0"/>
        <w:rPr>
          <w:rFonts w:cs="Times New Roman"/>
          <w:bCs/>
          <w:i/>
          <w:lang w:val="en-US" w:eastAsia="en-US" w:bidi="ar-SA"/>
        </w:rPr>
      </w:pPr>
      <w:r w:rsidRPr="0042157B">
        <w:rPr>
          <w:rFonts w:cs="Times New Roman"/>
          <w:bCs/>
          <w:i/>
          <w:lang w:val="en-US" w:eastAsia="en-US" w:bidi="ar-SA"/>
        </w:rPr>
        <w:t>Odds Ratio for Anderton and Carter’s Model</w:t>
      </w:r>
      <w:r w:rsidR="0089547F" w:rsidRPr="0042157B">
        <w:rPr>
          <w:rFonts w:cs="Times New Roman"/>
          <w:noProof/>
        </w:rPr>
        <w:drawing>
          <wp:inline distT="0" distB="0" distL="0" distR="0" wp14:anchorId="098184B1" wp14:editId="48CC3D5D">
            <wp:extent cx="4803775" cy="32258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ough---Rmarkdown-Script_files/figure-docx/unnamed-chunk-5-1.png"/>
                    <pic:cNvPicPr>
                      <a:picLocks noChangeAspect="1" noChangeArrowheads="1"/>
                    </pic:cNvPicPr>
                  </pic:nvPicPr>
                  <pic:blipFill>
                    <a:blip r:embed="rId10"/>
                    <a:stretch>
                      <a:fillRect/>
                    </a:stretch>
                  </pic:blipFill>
                  <pic:spPr bwMode="auto">
                    <a:xfrm>
                      <a:off x="0" y="0"/>
                      <a:ext cx="4803775" cy="3225800"/>
                    </a:xfrm>
                    <a:prstGeom prst="rect">
                      <a:avLst/>
                    </a:prstGeom>
                    <a:noFill/>
                    <a:ln w="9525">
                      <a:noFill/>
                      <a:headEnd/>
                      <a:tailEnd/>
                    </a:ln>
                  </pic:spPr>
                </pic:pic>
              </a:graphicData>
            </a:graphic>
          </wp:inline>
        </w:drawing>
      </w:r>
    </w:p>
    <w:p w14:paraId="0853C7B3" w14:textId="6A99473B" w:rsidR="00BB5505" w:rsidRDefault="00BB5505" w:rsidP="002B5A39">
      <w:pPr>
        <w:pStyle w:val="BodyText"/>
        <w:spacing w:line="480" w:lineRule="auto"/>
        <w:ind w:firstLine="720"/>
        <w:rPr>
          <w:rFonts w:cs="Times New Roman"/>
        </w:rPr>
      </w:pPr>
      <w:r w:rsidRPr="0042157B">
        <w:rPr>
          <w:rFonts w:cs="Times New Roman"/>
        </w:rPr>
        <w:t>The plot presented above shows the odds ratios for Anderton and Carter’s model. The odds ratios for the new state status and cold war period variable are large. When a country is a new state, it is 5.5 times more likely that a mass killing will occur versus when it is older than five years. Additionally, a mass killing is 4.7 times more likely to happen when a state existed within the cold war period versus when it exists outside of that period. These results are substantial; however, it is difficult to be confident about the estimates. The odds ratios have considerable confidence intervals. This ultimately means that I can be confident, based on this analysis, that there appears to be some association with both independent variables and mas</w:t>
      </w:r>
      <w:r w:rsidR="004A58FB" w:rsidRPr="0042157B">
        <w:rPr>
          <w:rFonts w:cs="Times New Roman"/>
        </w:rPr>
        <w:t xml:space="preserve">s killings, </w:t>
      </w:r>
      <w:r w:rsidRPr="0042157B">
        <w:rPr>
          <w:rFonts w:cs="Times New Roman"/>
        </w:rPr>
        <w:t>however, the association’s strength is questionable.</w:t>
      </w:r>
    </w:p>
    <w:p w14:paraId="154E80FF" w14:textId="7FB772F3" w:rsidR="0042157B" w:rsidRDefault="0042157B" w:rsidP="002B5A39">
      <w:pPr>
        <w:pStyle w:val="BodyText"/>
        <w:spacing w:line="480" w:lineRule="auto"/>
        <w:ind w:firstLine="720"/>
        <w:rPr>
          <w:rFonts w:cs="Times New Roman"/>
        </w:rPr>
      </w:pPr>
    </w:p>
    <w:p w14:paraId="76BCEE17" w14:textId="715E8B73" w:rsidR="0042157B" w:rsidRDefault="0042157B" w:rsidP="0090300C">
      <w:pPr>
        <w:pStyle w:val="BodyText"/>
        <w:spacing w:line="480" w:lineRule="auto"/>
        <w:rPr>
          <w:rFonts w:cs="Times New Roman"/>
        </w:rPr>
      </w:pPr>
    </w:p>
    <w:p w14:paraId="5318B07D" w14:textId="77777777" w:rsidR="00987FC9" w:rsidRPr="0042157B" w:rsidRDefault="00987FC9" w:rsidP="0090300C">
      <w:pPr>
        <w:pStyle w:val="BodyText"/>
        <w:spacing w:line="480" w:lineRule="auto"/>
        <w:rPr>
          <w:rFonts w:cs="Times New Roman"/>
        </w:rPr>
      </w:pPr>
    </w:p>
    <w:p w14:paraId="7960A19D" w14:textId="0B24EA17" w:rsidR="00876FD4" w:rsidRPr="0042157B" w:rsidRDefault="00876FD4" w:rsidP="002B5A39">
      <w:pPr>
        <w:pStyle w:val="BodyText"/>
        <w:spacing w:line="480" w:lineRule="auto"/>
        <w:rPr>
          <w:rFonts w:cs="Times New Roman"/>
          <w:b/>
          <w:bCs/>
        </w:rPr>
      </w:pPr>
      <w:r w:rsidRPr="0042157B">
        <w:rPr>
          <w:rFonts w:cs="Times New Roman"/>
          <w:b/>
          <w:bCs/>
        </w:rPr>
        <w:lastRenderedPageBreak/>
        <w:t>Figure 6</w:t>
      </w:r>
    </w:p>
    <w:p w14:paraId="4F464213" w14:textId="05302E03" w:rsidR="002B5A39" w:rsidRPr="0042157B" w:rsidRDefault="002B5A39" w:rsidP="002B5A39">
      <w:pPr>
        <w:pStyle w:val="BodyText"/>
        <w:spacing w:line="480" w:lineRule="auto"/>
        <w:rPr>
          <w:rFonts w:cs="Times New Roman"/>
          <w:bCs/>
          <w:i/>
        </w:rPr>
      </w:pPr>
      <w:r w:rsidRPr="0042157B">
        <w:rPr>
          <w:rFonts w:cs="Times New Roman"/>
          <w:bCs/>
          <w:i/>
        </w:rPr>
        <w:t>Predicted Probabilities for Anderton and Carter Model</w:t>
      </w:r>
    </w:p>
    <w:p w14:paraId="1120C525" w14:textId="77777777" w:rsidR="00BB5505" w:rsidRPr="0042157B" w:rsidRDefault="00BB5505" w:rsidP="00BB5505">
      <w:pPr>
        <w:pStyle w:val="FirstParagraph"/>
        <w:rPr>
          <w:rFonts w:ascii="Times New Roman" w:hAnsi="Times New Roman" w:cs="Times New Roman"/>
        </w:rPr>
      </w:pPr>
      <w:r w:rsidRPr="0042157B">
        <w:rPr>
          <w:rFonts w:ascii="Times New Roman" w:hAnsi="Times New Roman" w:cs="Times New Roman"/>
          <w:noProof/>
        </w:rPr>
        <w:drawing>
          <wp:inline distT="0" distB="0" distL="0" distR="0" wp14:anchorId="1B2810B2" wp14:editId="6B153528">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ough---Rmarkdown-Script_files/figure-docx/unnamed-chunk-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137C8E0" w14:textId="4906E0EA" w:rsidR="00BB5505" w:rsidRDefault="00BB5505" w:rsidP="002B5A39">
      <w:pPr>
        <w:pStyle w:val="BodyText"/>
        <w:spacing w:line="480" w:lineRule="auto"/>
        <w:ind w:firstLine="720"/>
        <w:rPr>
          <w:rFonts w:cs="Times New Roman"/>
        </w:rPr>
      </w:pPr>
      <w:r w:rsidRPr="0042157B">
        <w:rPr>
          <w:rFonts w:cs="Times New Roman"/>
        </w:rPr>
        <w:t xml:space="preserve">The plots above provide the predicted probabilities for Anderton and Carter’s model. For the first plot, the </w:t>
      </w:r>
      <w:proofErr w:type="spellStart"/>
      <w:r w:rsidRPr="0042157B">
        <w:rPr>
          <w:rFonts w:cs="Times New Roman"/>
        </w:rPr>
        <w:t>anocratic</w:t>
      </w:r>
      <w:proofErr w:type="spellEnd"/>
      <w:r w:rsidRPr="0042157B">
        <w:rPr>
          <w:rFonts w:cs="Times New Roman"/>
        </w:rPr>
        <w:t xml:space="preserve"> variable is set to 1, the cold war period variable set to 1, the threat variable is set to 4, and the control variables are set to their median value. The results suggest that the probability of a mass killing increases by 32% when a state is new versus when it is old. For the second plot, the </w:t>
      </w:r>
      <w:proofErr w:type="spellStart"/>
      <w:r w:rsidRPr="0042157B">
        <w:rPr>
          <w:rFonts w:cs="Times New Roman"/>
        </w:rPr>
        <w:t>anocratic</w:t>
      </w:r>
      <w:proofErr w:type="spellEnd"/>
      <w:r w:rsidRPr="0042157B">
        <w:rPr>
          <w:rFonts w:cs="Times New Roman"/>
        </w:rPr>
        <w:t xml:space="preserve"> variable is set to 1, the new state status variable is set to 1, and the threat variable is set to 4. The results indicate </w:t>
      </w:r>
      <w:r w:rsidR="004A58FB" w:rsidRPr="0042157B">
        <w:rPr>
          <w:rFonts w:cs="Times New Roman"/>
        </w:rPr>
        <w:t xml:space="preserve">that </w:t>
      </w:r>
      <w:r w:rsidRPr="0042157B">
        <w:rPr>
          <w:rFonts w:cs="Times New Roman"/>
        </w:rPr>
        <w:t>when a state did not exist within the cold war period, the probability of a state carrying out a mass killing is 14%. When a state does exist within the cold war period, the probability of a mass killing is 43%.</w:t>
      </w:r>
    </w:p>
    <w:p w14:paraId="28BAF39A" w14:textId="75379308" w:rsidR="0042157B" w:rsidRDefault="0042157B" w:rsidP="001A1344">
      <w:pPr>
        <w:pStyle w:val="BodyText"/>
        <w:spacing w:line="480" w:lineRule="auto"/>
        <w:rPr>
          <w:rFonts w:cs="Times New Roman"/>
        </w:rPr>
      </w:pPr>
    </w:p>
    <w:p w14:paraId="7010A220" w14:textId="77777777" w:rsidR="00987FC9" w:rsidRPr="0042157B" w:rsidRDefault="00987FC9" w:rsidP="001A1344">
      <w:pPr>
        <w:pStyle w:val="BodyText"/>
        <w:spacing w:line="480" w:lineRule="auto"/>
        <w:rPr>
          <w:rFonts w:cs="Times New Roman"/>
        </w:rPr>
      </w:pPr>
    </w:p>
    <w:p w14:paraId="469419A8" w14:textId="3AA91BDF" w:rsidR="002B5A39" w:rsidRPr="0042157B" w:rsidRDefault="002B5A39" w:rsidP="00876FD4">
      <w:pPr>
        <w:pStyle w:val="BodyText"/>
        <w:spacing w:line="480" w:lineRule="auto"/>
        <w:jc w:val="center"/>
        <w:rPr>
          <w:rFonts w:cs="Times New Roman"/>
          <w:b/>
          <w:bCs/>
        </w:rPr>
      </w:pPr>
      <w:r w:rsidRPr="0042157B">
        <w:rPr>
          <w:rFonts w:cs="Times New Roman"/>
          <w:b/>
          <w:bCs/>
        </w:rPr>
        <w:lastRenderedPageBreak/>
        <w:t>Discussion and Limitations</w:t>
      </w:r>
    </w:p>
    <w:p w14:paraId="4DD66E8A" w14:textId="77777777" w:rsidR="00C30DAC" w:rsidRPr="0042157B" w:rsidRDefault="00BB5505" w:rsidP="002B5A39">
      <w:pPr>
        <w:pStyle w:val="BodyText"/>
        <w:spacing w:line="480" w:lineRule="auto"/>
        <w:ind w:firstLine="720"/>
        <w:rPr>
          <w:rFonts w:cs="Times New Roman"/>
        </w:rPr>
      </w:pPr>
      <w:r w:rsidRPr="0042157B">
        <w:rPr>
          <w:rFonts w:cs="Times New Roman"/>
        </w:rPr>
        <w:t>This paper’s critical point is that there appears to be a relationship between political instability and mass killings; still, it is difficult to say how well this relationship is truly understood</w:t>
      </w:r>
      <w:r w:rsidR="004A58FB" w:rsidRPr="0042157B">
        <w:rPr>
          <w:rFonts w:cs="Times New Roman"/>
        </w:rPr>
        <w:t>. The first analysis highlights that it i</w:t>
      </w:r>
      <w:r w:rsidRPr="0042157B">
        <w:rPr>
          <w:rFonts w:cs="Times New Roman"/>
        </w:rPr>
        <w:t>s not guerrilla warfare,</w:t>
      </w:r>
      <w:r w:rsidR="004A58FB" w:rsidRPr="0042157B">
        <w:rPr>
          <w:rFonts w:cs="Times New Roman"/>
        </w:rPr>
        <w:t xml:space="preserve"> but SNC warfare, that increases</w:t>
      </w:r>
      <w:r w:rsidRPr="0042157B">
        <w:rPr>
          <w:rFonts w:cs="Times New Roman"/>
        </w:rPr>
        <w:t xml:space="preserve"> the likelihood of state-led mass killing. This is a fascinating finding because it</w:t>
      </w:r>
      <w:r w:rsidR="004A58FB" w:rsidRPr="0042157B">
        <w:rPr>
          <w:rFonts w:cs="Times New Roman"/>
        </w:rPr>
        <w:t>,</w:t>
      </w:r>
      <w:r w:rsidRPr="0042157B">
        <w:rPr>
          <w:rFonts w:cs="Times New Roman"/>
        </w:rPr>
        <w:t xml:space="preserve"> potentially</w:t>
      </w:r>
      <w:r w:rsidR="004A58FB" w:rsidRPr="0042157B">
        <w:rPr>
          <w:rFonts w:cs="Times New Roman"/>
        </w:rPr>
        <w:t>,</w:t>
      </w:r>
      <w:r w:rsidRPr="0042157B">
        <w:rPr>
          <w:rFonts w:cs="Times New Roman"/>
        </w:rPr>
        <w:t xml:space="preserve"> implies that it may be a state’s vulnerability </w:t>
      </w:r>
      <w:r w:rsidR="00C30DAC" w:rsidRPr="0042157B">
        <w:rPr>
          <w:rFonts w:cs="Times New Roman"/>
        </w:rPr>
        <w:t xml:space="preserve">rather than </w:t>
      </w:r>
      <w:r w:rsidRPr="0042157B">
        <w:rPr>
          <w:rFonts w:cs="Times New Roman"/>
        </w:rPr>
        <w:t xml:space="preserve">the type of war that increases the probability of mass killings. When I tested a model that promotes the idea that state vulnerability is crucial in predicting mass killing instances, the results were not substantial. Although a new government status is a characteristic of a weak state, various variables suggested that vulnerability was not a central factor in motivating states to carry out mass violence. These insights </w:t>
      </w:r>
      <w:r w:rsidR="00C30DAC" w:rsidRPr="0042157B">
        <w:rPr>
          <w:rFonts w:cs="Times New Roman"/>
        </w:rPr>
        <w:t>highlight</w:t>
      </w:r>
      <w:r w:rsidRPr="0042157B">
        <w:rPr>
          <w:rFonts w:cs="Times New Roman"/>
        </w:rPr>
        <w:t xml:space="preserve"> a theoretical weakness of </w:t>
      </w:r>
      <w:proofErr w:type="spellStart"/>
      <w:r w:rsidRPr="0042157B">
        <w:rPr>
          <w:rFonts w:cs="Times New Roman"/>
        </w:rPr>
        <w:t>Kcrameric’s</w:t>
      </w:r>
      <w:proofErr w:type="spellEnd"/>
      <w:r w:rsidRPr="0042157B">
        <w:rPr>
          <w:rFonts w:cs="Times New Roman"/>
        </w:rPr>
        <w:t xml:space="preserve"> analysis and my study. </w:t>
      </w:r>
    </w:p>
    <w:p w14:paraId="68A169A9" w14:textId="55D35ECA" w:rsidR="00BB5505" w:rsidRPr="0042157B" w:rsidRDefault="00BB5505" w:rsidP="002B5A39">
      <w:pPr>
        <w:pStyle w:val="BodyText"/>
        <w:spacing w:line="480" w:lineRule="auto"/>
        <w:ind w:firstLine="720"/>
        <w:rPr>
          <w:rFonts w:cs="Times New Roman"/>
        </w:rPr>
      </w:pPr>
      <w:bookmarkStart w:id="2" w:name="_Hlk59215454"/>
      <w:r w:rsidRPr="0042157B">
        <w:rPr>
          <w:rFonts w:cs="Times New Roman"/>
        </w:rPr>
        <w:t xml:space="preserve">Balch-Lindsay, </w:t>
      </w:r>
      <w:proofErr w:type="spellStart"/>
      <w:r w:rsidRPr="0042157B">
        <w:rPr>
          <w:rFonts w:cs="Times New Roman"/>
        </w:rPr>
        <w:t>Huth</w:t>
      </w:r>
      <w:proofErr w:type="spellEnd"/>
      <w:r w:rsidRPr="0042157B">
        <w:rPr>
          <w:rFonts w:cs="Times New Roman"/>
        </w:rPr>
        <w:t xml:space="preserve"> &amp; Valentino (2004) </w:t>
      </w:r>
      <w:bookmarkEnd w:id="2"/>
      <w:r w:rsidRPr="0042157B">
        <w:rPr>
          <w:rFonts w:cs="Times New Roman"/>
        </w:rPr>
        <w:t>assert that guerilla warfare increases the likelihood of mass killing,</w:t>
      </w:r>
      <w:r w:rsidR="00C30DAC" w:rsidRPr="0042157B">
        <w:rPr>
          <w:rFonts w:cs="Times New Roman"/>
        </w:rPr>
        <w:t xml:space="preserve"> however,</w:t>
      </w:r>
      <w:r w:rsidRPr="0042157B">
        <w:rPr>
          <w:rFonts w:cs="Times New Roman"/>
        </w:rPr>
        <w:t xml:space="preserve"> the mediating factor that substantially increases the likelihood of mass killing is high civilian support (i.e., 100,000 supporters or more) (pp. 390-392, p. 395) </w:t>
      </w:r>
      <w:r w:rsidRPr="0042157B">
        <w:rPr>
          <w:rStyle w:val="FootnoteReference"/>
          <w:rFonts w:cs="Times New Roman"/>
        </w:rPr>
        <w:footnoteReference w:id="5"/>
      </w:r>
      <w:r w:rsidRPr="0042157B">
        <w:rPr>
          <w:rFonts w:cs="Times New Roman"/>
        </w:rPr>
        <w:t xml:space="preserve">. In other words, what may matter when predicting mass killings is not the specific type of war, but the degree to which rebels rely on the population and how threatening the locals are to the government. There is no variable in </w:t>
      </w:r>
      <w:proofErr w:type="spellStart"/>
      <w:r w:rsidRPr="0042157B">
        <w:rPr>
          <w:rFonts w:cs="Times New Roman"/>
        </w:rPr>
        <w:t>Kcrameric’s</w:t>
      </w:r>
      <w:proofErr w:type="spellEnd"/>
      <w:r w:rsidRPr="0042157B">
        <w:rPr>
          <w:rFonts w:cs="Times New Roman"/>
        </w:rPr>
        <w:t xml:space="preserve"> data set that measures how widespread support was for</w:t>
      </w:r>
      <w:r w:rsidR="00C30DAC" w:rsidRPr="0042157B">
        <w:rPr>
          <w:rFonts w:cs="Times New Roman"/>
        </w:rPr>
        <w:t xml:space="preserve"> rebel groups. I suggest</w:t>
      </w:r>
      <w:r w:rsidRPr="0042157B">
        <w:rPr>
          <w:rFonts w:cs="Times New Roman"/>
        </w:rPr>
        <w:t xml:space="preserve"> building </w:t>
      </w:r>
      <w:r w:rsidR="00C30DAC" w:rsidRPr="0042157B">
        <w:rPr>
          <w:rFonts w:cs="Times New Roman"/>
        </w:rPr>
        <w:t xml:space="preserve">on </w:t>
      </w:r>
      <w:r w:rsidRPr="0042157B">
        <w:rPr>
          <w:rFonts w:cs="Times New Roman"/>
        </w:rPr>
        <w:t xml:space="preserve">Balch-Lindsay, </w:t>
      </w:r>
      <w:proofErr w:type="spellStart"/>
      <w:r w:rsidRPr="0042157B">
        <w:rPr>
          <w:rFonts w:cs="Times New Roman"/>
        </w:rPr>
        <w:t>Huth</w:t>
      </w:r>
      <w:proofErr w:type="spellEnd"/>
      <w:r w:rsidRPr="0042157B">
        <w:rPr>
          <w:rFonts w:cs="Times New Roman"/>
        </w:rPr>
        <w:t xml:space="preserve">, &amp; Valentino’s (2004) data set by documenting more instances about the degree to which </w:t>
      </w:r>
      <w:r w:rsidR="00C30DAC" w:rsidRPr="0042157B">
        <w:rPr>
          <w:rFonts w:cs="Times New Roman"/>
        </w:rPr>
        <w:t>civilians supported rebels. This</w:t>
      </w:r>
      <w:r w:rsidRPr="0042157B">
        <w:rPr>
          <w:rFonts w:cs="Times New Roman"/>
        </w:rPr>
        <w:t xml:space="preserve"> would </w:t>
      </w:r>
      <w:r w:rsidR="00C30DAC" w:rsidRPr="0042157B">
        <w:rPr>
          <w:rFonts w:cs="Times New Roman"/>
        </w:rPr>
        <w:t xml:space="preserve">ensure more validity in </w:t>
      </w:r>
      <w:r w:rsidRPr="0042157B">
        <w:rPr>
          <w:rFonts w:cs="Times New Roman"/>
        </w:rPr>
        <w:t>test</w:t>
      </w:r>
      <w:r w:rsidR="00C30DAC" w:rsidRPr="0042157B">
        <w:rPr>
          <w:rFonts w:cs="Times New Roman"/>
        </w:rPr>
        <w:t>ing</w:t>
      </w:r>
      <w:r w:rsidRPr="0042157B">
        <w:rPr>
          <w:rFonts w:cs="Times New Roman"/>
        </w:rPr>
        <w:t xml:space="preserve"> Balch-Lindsay,</w:t>
      </w:r>
      <w:r w:rsidR="00C30DAC" w:rsidRPr="0042157B">
        <w:rPr>
          <w:rFonts w:cs="Times New Roman"/>
        </w:rPr>
        <w:t xml:space="preserve"> </w:t>
      </w:r>
      <w:proofErr w:type="spellStart"/>
      <w:r w:rsidR="00C30DAC" w:rsidRPr="0042157B">
        <w:rPr>
          <w:rFonts w:cs="Times New Roman"/>
        </w:rPr>
        <w:t>Huth</w:t>
      </w:r>
      <w:proofErr w:type="spellEnd"/>
      <w:r w:rsidR="00C30DAC" w:rsidRPr="0042157B">
        <w:rPr>
          <w:rFonts w:cs="Times New Roman"/>
        </w:rPr>
        <w:t>, &amp; Valentino’s theory and would</w:t>
      </w:r>
      <w:r w:rsidRPr="0042157B">
        <w:rPr>
          <w:rFonts w:cs="Times New Roman"/>
        </w:rPr>
        <w:t xml:space="preserve"> further academic understanding of the causes of state-led mass killing.</w:t>
      </w:r>
    </w:p>
    <w:p w14:paraId="135F7022" w14:textId="607E125A" w:rsidR="00BB5505" w:rsidRPr="0042157B" w:rsidRDefault="00C30DAC" w:rsidP="002B5A39">
      <w:pPr>
        <w:pStyle w:val="BodyText"/>
        <w:spacing w:line="480" w:lineRule="auto"/>
        <w:rPr>
          <w:rFonts w:cs="Times New Roman"/>
        </w:rPr>
      </w:pPr>
      <w:r w:rsidRPr="0042157B">
        <w:rPr>
          <w:rFonts w:cs="Times New Roman"/>
        </w:rPr>
        <w:lastRenderedPageBreak/>
        <w:tab/>
      </w:r>
      <w:r w:rsidR="00BB5505" w:rsidRPr="0042157B">
        <w:rPr>
          <w:rFonts w:cs="Times New Roman"/>
        </w:rPr>
        <w:t>A</w:t>
      </w:r>
      <w:r w:rsidRPr="0042157B">
        <w:rPr>
          <w:rFonts w:cs="Times New Roman"/>
        </w:rPr>
        <w:t xml:space="preserve"> final</w:t>
      </w:r>
      <w:r w:rsidR="00BB5505" w:rsidRPr="0042157B">
        <w:rPr>
          <w:rFonts w:cs="Times New Roman"/>
        </w:rPr>
        <w:t xml:space="preserve"> weakness of this study is that the data set contained 648 observations, with only 41</w:t>
      </w:r>
      <w:r w:rsidRPr="0042157B">
        <w:rPr>
          <w:rFonts w:cs="Times New Roman"/>
        </w:rPr>
        <w:t xml:space="preserve"> instances of mass killings. Including</w:t>
      </w:r>
      <w:r w:rsidR="00BB5505" w:rsidRPr="0042157B">
        <w:rPr>
          <w:rFonts w:cs="Times New Roman"/>
        </w:rPr>
        <w:t xml:space="preserve"> more</w:t>
      </w:r>
      <w:r w:rsidRPr="0042157B">
        <w:rPr>
          <w:rFonts w:cs="Times New Roman"/>
        </w:rPr>
        <w:t xml:space="preserve"> observations in the analysis would</w:t>
      </w:r>
      <w:r w:rsidR="00BB5505" w:rsidRPr="0042157B">
        <w:rPr>
          <w:rFonts w:cs="Times New Roman"/>
        </w:rPr>
        <w:t xml:space="preserve"> improve the estimates’ preciseness and my confidence in the </w:t>
      </w:r>
      <w:r w:rsidRPr="0042157B">
        <w:rPr>
          <w:rFonts w:cs="Times New Roman"/>
        </w:rPr>
        <w:t>estimates. This could be done</w:t>
      </w:r>
      <w:r w:rsidR="00BB5505" w:rsidRPr="0042157B">
        <w:rPr>
          <w:rFonts w:cs="Times New Roman"/>
        </w:rPr>
        <w:t xml:space="preserve"> using Jay </w:t>
      </w:r>
      <w:proofErr w:type="spellStart"/>
      <w:r w:rsidR="00BB5505" w:rsidRPr="0042157B">
        <w:rPr>
          <w:rFonts w:cs="Times New Roman"/>
        </w:rPr>
        <w:t>Ulfelder’s</w:t>
      </w:r>
      <w:proofErr w:type="spellEnd"/>
      <w:r w:rsidR="00BB5505" w:rsidRPr="0042157B">
        <w:rPr>
          <w:rFonts w:cs="Times New Roman"/>
        </w:rPr>
        <w:t xml:space="preserve"> and Benja</w:t>
      </w:r>
      <w:r w:rsidR="00876FD4" w:rsidRPr="0042157B">
        <w:rPr>
          <w:rFonts w:cs="Times New Roman"/>
        </w:rPr>
        <w:t>min Valentino’s updated dataset</w:t>
      </w:r>
      <w:r w:rsidR="00BB5505" w:rsidRPr="0042157B">
        <w:rPr>
          <w:rFonts w:cs="Times New Roman"/>
        </w:rPr>
        <w:t xml:space="preserve"> which documents information on all c</w:t>
      </w:r>
      <w:r w:rsidR="00876FD4" w:rsidRPr="0042157B">
        <w:rPr>
          <w:rFonts w:cs="Times New Roman"/>
        </w:rPr>
        <w:t xml:space="preserve">ountries between 1945 and 2014 </w:t>
      </w:r>
      <w:r w:rsidR="00BB5505" w:rsidRPr="0042157B">
        <w:rPr>
          <w:rFonts w:cs="Times New Roman"/>
        </w:rPr>
        <w:t xml:space="preserve">and has 9329 observations and 115 occurrences of mass killing (Early Warning Project, 2014; </w:t>
      </w:r>
      <w:proofErr w:type="spellStart"/>
      <w:r w:rsidR="00BB5505" w:rsidRPr="0042157B">
        <w:rPr>
          <w:rFonts w:cs="Times New Roman"/>
        </w:rPr>
        <w:t>Ulfelder</w:t>
      </w:r>
      <w:proofErr w:type="spellEnd"/>
      <w:r w:rsidR="00BB5505" w:rsidRPr="0042157B">
        <w:rPr>
          <w:rFonts w:cs="Times New Roman"/>
        </w:rPr>
        <w:t>, 2013).</w:t>
      </w:r>
    </w:p>
    <w:p w14:paraId="655B0067" w14:textId="77777777" w:rsidR="007C6452" w:rsidRPr="0042157B" w:rsidRDefault="00744E07" w:rsidP="007C6452">
      <w:pPr>
        <w:pStyle w:val="BodyText"/>
        <w:spacing w:line="480" w:lineRule="auto"/>
        <w:jc w:val="center"/>
        <w:rPr>
          <w:rFonts w:cs="Times New Roman"/>
          <w:b/>
          <w:bCs/>
        </w:rPr>
      </w:pPr>
      <w:r w:rsidRPr="0042157B">
        <w:rPr>
          <w:rFonts w:cs="Times New Roman"/>
          <w:b/>
          <w:bCs/>
        </w:rPr>
        <w:t>Conclusion</w:t>
      </w:r>
    </w:p>
    <w:p w14:paraId="6121CD49" w14:textId="48D8B8E5" w:rsidR="007C6452" w:rsidRPr="0042157B" w:rsidRDefault="007C6452" w:rsidP="007C6452">
      <w:pPr>
        <w:pStyle w:val="BodyText"/>
        <w:spacing w:line="480" w:lineRule="auto"/>
        <w:ind w:firstLine="720"/>
        <w:rPr>
          <w:rFonts w:cs="Times New Roman"/>
        </w:rPr>
      </w:pPr>
      <w:r w:rsidRPr="0042157B">
        <w:t>In this paper, I examine the relationship between civil war and state-led mass killings. I do this</w:t>
      </w:r>
      <w:r w:rsidR="00656969">
        <w:t>,</w:t>
      </w:r>
      <w:r w:rsidRPr="0042157B">
        <w:t xml:space="preserve"> first</w:t>
      </w:r>
      <w:r w:rsidR="00656969">
        <w:t xml:space="preserve">, by </w:t>
      </w:r>
      <w:r w:rsidRPr="0042157B">
        <w:t xml:space="preserve">analyzing </w:t>
      </w:r>
      <w:proofErr w:type="spellStart"/>
      <w:r w:rsidRPr="0042157B">
        <w:t>Kcramric’s</w:t>
      </w:r>
      <w:proofErr w:type="spellEnd"/>
      <w:r w:rsidRPr="0042157B">
        <w:t xml:space="preserve"> research, which challenges </w:t>
      </w:r>
      <w:r w:rsidRPr="0042157B">
        <w:rPr>
          <w:rFonts w:cs="Times New Roman"/>
        </w:rPr>
        <w:t xml:space="preserve">Balch-Lindsay, </w:t>
      </w:r>
      <w:proofErr w:type="spellStart"/>
      <w:r w:rsidRPr="0042157B">
        <w:rPr>
          <w:rFonts w:cs="Times New Roman"/>
        </w:rPr>
        <w:t>Huth</w:t>
      </w:r>
      <w:proofErr w:type="spellEnd"/>
      <w:r w:rsidRPr="0042157B">
        <w:rPr>
          <w:rFonts w:cs="Times New Roman"/>
        </w:rPr>
        <w:t xml:space="preserve"> &amp; Valentino’s (2004) foundational paper (</w:t>
      </w:r>
      <w:proofErr w:type="spellStart"/>
      <w:r w:rsidRPr="0042157B">
        <w:t>Kcramric</w:t>
      </w:r>
      <w:proofErr w:type="spellEnd"/>
      <w:r w:rsidRPr="0042157B">
        <w:t>, 2017)</w:t>
      </w:r>
      <w:r w:rsidRPr="0042157B">
        <w:rPr>
          <w:rFonts w:cs="Times New Roman"/>
        </w:rPr>
        <w:t xml:space="preserve">. </w:t>
      </w:r>
      <w:proofErr w:type="spellStart"/>
      <w:r w:rsidRPr="0042157B">
        <w:rPr>
          <w:rFonts w:cs="Times New Roman"/>
        </w:rPr>
        <w:t>Kcrameric</w:t>
      </w:r>
      <w:proofErr w:type="spellEnd"/>
      <w:r w:rsidRPr="0042157B">
        <w:rPr>
          <w:rFonts w:cs="Times New Roman"/>
        </w:rPr>
        <w:t xml:space="preserve"> suggests that conventional warfare is the most likely type of </w:t>
      </w:r>
      <w:r w:rsidR="007B0B43">
        <w:rPr>
          <w:rFonts w:cs="Times New Roman"/>
        </w:rPr>
        <w:t>conflict</w:t>
      </w:r>
      <w:r w:rsidRPr="0042157B">
        <w:rPr>
          <w:rFonts w:cs="Times New Roman"/>
        </w:rPr>
        <w:t xml:space="preserve"> to increase the probability of mass killings. I test </w:t>
      </w:r>
      <w:proofErr w:type="spellStart"/>
      <w:r w:rsidRPr="0042157B">
        <w:rPr>
          <w:rFonts w:cs="Times New Roman"/>
        </w:rPr>
        <w:t>Kcrameric’s</w:t>
      </w:r>
      <w:proofErr w:type="spellEnd"/>
      <w:r w:rsidRPr="0042157B">
        <w:rPr>
          <w:rFonts w:cs="Times New Roman"/>
        </w:rPr>
        <w:t xml:space="preserve"> theory by running a logistic regression on the PIRO 100 data</w:t>
      </w:r>
      <w:r w:rsidR="007B0B43">
        <w:rPr>
          <w:rFonts w:cs="Times New Roman"/>
        </w:rPr>
        <w:t xml:space="preserve">set </w:t>
      </w:r>
      <w:r w:rsidRPr="0042157B">
        <w:rPr>
          <w:rFonts w:cs="Times New Roman"/>
        </w:rPr>
        <w:t>(</w:t>
      </w:r>
      <w:proofErr w:type="spellStart"/>
      <w:r w:rsidRPr="0042157B">
        <w:t>Kcramric</w:t>
      </w:r>
      <w:proofErr w:type="spellEnd"/>
      <w:r w:rsidRPr="0042157B">
        <w:t>, 2017)</w:t>
      </w:r>
      <w:r w:rsidRPr="0042157B">
        <w:rPr>
          <w:rFonts w:cs="Times New Roman"/>
        </w:rPr>
        <w:t>. The results show</w:t>
      </w:r>
      <w:r w:rsidR="00656969">
        <w:rPr>
          <w:rFonts w:cs="Times New Roman"/>
        </w:rPr>
        <w:t xml:space="preserve"> </w:t>
      </w:r>
      <w:r w:rsidRPr="0042157B">
        <w:rPr>
          <w:rFonts w:cs="Times New Roman"/>
        </w:rPr>
        <w:t xml:space="preserve">that SNC warfare was the only type of conflict to </w:t>
      </w:r>
      <w:r w:rsidR="007B5C03" w:rsidRPr="0042157B">
        <w:rPr>
          <w:rFonts w:cs="Times New Roman"/>
        </w:rPr>
        <w:t>increase</w:t>
      </w:r>
      <w:r w:rsidRPr="0042157B">
        <w:rPr>
          <w:rFonts w:cs="Times New Roman"/>
        </w:rPr>
        <w:t xml:space="preserve"> the likelihood of mass killings. </w:t>
      </w:r>
      <w:r w:rsidR="007B5C03" w:rsidRPr="0042157B">
        <w:rPr>
          <w:rFonts w:cs="Times New Roman"/>
        </w:rPr>
        <w:t>These</w:t>
      </w:r>
      <w:r w:rsidRPr="0042157B">
        <w:rPr>
          <w:rFonts w:cs="Times New Roman"/>
        </w:rPr>
        <w:t xml:space="preserve"> findings entail that state vulnerability is a better predictor of mass killings than the type of conflict. I test this theory by running another </w:t>
      </w:r>
      <w:r w:rsidR="007B0B43">
        <w:rPr>
          <w:rFonts w:cs="Times New Roman"/>
        </w:rPr>
        <w:t xml:space="preserve">logistic </w:t>
      </w:r>
      <w:r w:rsidRPr="0042157B">
        <w:rPr>
          <w:rFonts w:cs="Times New Roman"/>
        </w:rPr>
        <w:t xml:space="preserve">regression </w:t>
      </w:r>
      <w:r w:rsidR="007B0B43">
        <w:rPr>
          <w:rFonts w:cs="Times New Roman"/>
        </w:rPr>
        <w:t xml:space="preserve">on </w:t>
      </w:r>
      <w:r w:rsidRPr="0042157B">
        <w:rPr>
          <w:rFonts w:cs="Times New Roman"/>
        </w:rPr>
        <w:t>Anderton &amp; Carter’s (2014) model. My findings show</w:t>
      </w:r>
      <w:r w:rsidR="007B5C03" w:rsidRPr="0042157B">
        <w:rPr>
          <w:rFonts w:cs="Times New Roman"/>
        </w:rPr>
        <w:t xml:space="preserve"> that there is only one aspect of a vulnerable government that increases the </w:t>
      </w:r>
      <w:r w:rsidR="007B0B43">
        <w:rPr>
          <w:rFonts w:cs="Times New Roman"/>
        </w:rPr>
        <w:t>probability</w:t>
      </w:r>
      <w:r w:rsidR="007B5C03" w:rsidRPr="0042157B">
        <w:rPr>
          <w:rFonts w:cs="Times New Roman"/>
        </w:rPr>
        <w:t xml:space="preserve"> of </w:t>
      </w:r>
      <w:r w:rsidR="007B0B43">
        <w:rPr>
          <w:rFonts w:cs="Times New Roman"/>
        </w:rPr>
        <w:t xml:space="preserve">state-led </w:t>
      </w:r>
      <w:r w:rsidR="007B5C03" w:rsidRPr="0042157B">
        <w:rPr>
          <w:rFonts w:cs="Times New Roman"/>
        </w:rPr>
        <w:t>mass killing</w:t>
      </w:r>
      <w:r w:rsidR="007B0B43">
        <w:rPr>
          <w:rFonts w:cs="Times New Roman"/>
        </w:rPr>
        <w:t>s</w:t>
      </w:r>
      <w:r w:rsidR="00656969">
        <w:rPr>
          <w:rFonts w:cs="Times New Roman"/>
        </w:rPr>
        <w:t xml:space="preserve"> which is </w:t>
      </w:r>
      <w:r w:rsidR="007B5C03" w:rsidRPr="0042157B">
        <w:rPr>
          <w:rFonts w:cs="Times New Roman"/>
        </w:rPr>
        <w:t>new state status</w:t>
      </w:r>
      <w:r w:rsidR="00656969">
        <w:rPr>
          <w:rFonts w:cs="Times New Roman"/>
        </w:rPr>
        <w:t>. H</w:t>
      </w:r>
      <w:r w:rsidR="007B5C03" w:rsidRPr="0042157B">
        <w:rPr>
          <w:rFonts w:cs="Times New Roman"/>
        </w:rPr>
        <w:t>owever, my estimate</w:t>
      </w:r>
      <w:r w:rsidR="007B0B43">
        <w:rPr>
          <w:rFonts w:cs="Times New Roman"/>
        </w:rPr>
        <w:t xml:space="preserve">’s </w:t>
      </w:r>
      <w:r w:rsidR="007B5C03" w:rsidRPr="0042157B">
        <w:rPr>
          <w:rFonts w:cs="Times New Roman"/>
        </w:rPr>
        <w:t>confidence intervals are extremely high.</w:t>
      </w:r>
      <w:r w:rsidRPr="0042157B">
        <w:rPr>
          <w:rFonts w:cs="Times New Roman"/>
        </w:rPr>
        <w:t xml:space="preserve"> </w:t>
      </w:r>
      <w:r w:rsidR="00656969">
        <w:rPr>
          <w:rFonts w:cs="Times New Roman"/>
        </w:rPr>
        <w:t>In other words,</w:t>
      </w:r>
      <w:r w:rsidRPr="0042157B">
        <w:rPr>
          <w:rFonts w:cs="Times New Roman"/>
        </w:rPr>
        <w:t xml:space="preserve"> the association between variables is likely, but I cannot be confident about the strength of the association.  </w:t>
      </w:r>
    </w:p>
    <w:p w14:paraId="1ADCD691" w14:textId="1A24C6A0" w:rsidR="007C6452" w:rsidRPr="00656969" w:rsidRDefault="007C6452" w:rsidP="00656969">
      <w:pPr>
        <w:pStyle w:val="BodyText"/>
        <w:spacing w:line="480" w:lineRule="auto"/>
        <w:ind w:firstLine="720"/>
        <w:rPr>
          <w:rFonts w:cs="Times New Roman"/>
        </w:rPr>
      </w:pPr>
      <w:r w:rsidRPr="0042157B">
        <w:rPr>
          <w:rFonts w:cs="Times New Roman"/>
        </w:rPr>
        <w:t xml:space="preserve">I conclude that both mine and </w:t>
      </w:r>
      <w:proofErr w:type="spellStart"/>
      <w:r w:rsidRPr="0042157B">
        <w:t>Kcramric’s</w:t>
      </w:r>
      <w:proofErr w:type="spellEnd"/>
      <w:r w:rsidRPr="0042157B">
        <w:rPr>
          <w:rFonts w:cs="Times New Roman"/>
        </w:rPr>
        <w:t xml:space="preserve"> analysis failed to </w:t>
      </w:r>
      <w:r w:rsidR="007B5C03" w:rsidRPr="0042157B">
        <w:rPr>
          <w:rFonts w:cs="Times New Roman"/>
        </w:rPr>
        <w:t>consider</w:t>
      </w:r>
      <w:r w:rsidRPr="0042157B">
        <w:rPr>
          <w:rFonts w:cs="Times New Roman"/>
        </w:rPr>
        <w:t xml:space="preserve"> how</w:t>
      </w:r>
      <w:r w:rsidR="00656969">
        <w:rPr>
          <w:rFonts w:cs="Times New Roman"/>
        </w:rPr>
        <w:t xml:space="preserve"> strong</w:t>
      </w:r>
      <w:r w:rsidRPr="0042157B">
        <w:rPr>
          <w:rFonts w:cs="Times New Roman"/>
        </w:rPr>
        <w:t xml:space="preserve"> civilian support impacts the likelihood of mass killing. Adding this variable into future studies would accurately test Balch-Lindsay, </w:t>
      </w:r>
      <w:proofErr w:type="spellStart"/>
      <w:r w:rsidRPr="0042157B">
        <w:rPr>
          <w:rFonts w:cs="Times New Roman"/>
        </w:rPr>
        <w:t>Huth</w:t>
      </w:r>
      <w:proofErr w:type="spellEnd"/>
      <w:r w:rsidRPr="0042157B">
        <w:rPr>
          <w:rFonts w:cs="Times New Roman"/>
        </w:rPr>
        <w:t xml:space="preserve"> &amp; Valentino’s (2004) theory and further academic understanding of mass killings. Additionally, the dataset contained a small number of </w:t>
      </w:r>
      <w:r w:rsidRPr="0042157B">
        <w:rPr>
          <w:rFonts w:cs="Times New Roman"/>
        </w:rPr>
        <w:lastRenderedPageBreak/>
        <w:t xml:space="preserve">observations (specifically, cases of mass killings). To improve the confidence and preciseness of the estimates, I suggest increasing the number of observations by using Jay </w:t>
      </w:r>
      <w:proofErr w:type="spellStart"/>
      <w:r w:rsidRPr="0042157B">
        <w:rPr>
          <w:rFonts w:cs="Times New Roman"/>
        </w:rPr>
        <w:t>Ulfelder</w:t>
      </w:r>
      <w:proofErr w:type="spellEnd"/>
      <w:r w:rsidRPr="0042157B">
        <w:rPr>
          <w:rFonts w:cs="Times New Roman"/>
        </w:rPr>
        <w:t xml:space="preserve"> and Benjamin Valentino’s updated mass killing dataset </w:t>
      </w:r>
      <w:r w:rsidRPr="0042157B">
        <w:t xml:space="preserve">(Early Warning Project, 2014; </w:t>
      </w:r>
      <w:proofErr w:type="spellStart"/>
      <w:r w:rsidRPr="0042157B">
        <w:t>Ulfelder</w:t>
      </w:r>
      <w:proofErr w:type="spellEnd"/>
      <w:r w:rsidRPr="0042157B">
        <w:t xml:space="preserve"> &amp; Valentino, 2008; </w:t>
      </w:r>
      <w:proofErr w:type="spellStart"/>
      <w:r w:rsidRPr="0042157B">
        <w:t>Ulfelder</w:t>
      </w:r>
      <w:proofErr w:type="spellEnd"/>
      <w:r w:rsidRPr="0042157B">
        <w:t>, 2013)</w:t>
      </w:r>
      <w:r w:rsidRPr="0042157B">
        <w:rPr>
          <w:rFonts w:cs="Times New Roman"/>
        </w:rPr>
        <w:t>.</w:t>
      </w:r>
    </w:p>
    <w:p w14:paraId="0D567351" w14:textId="2520497D" w:rsidR="00744E07" w:rsidRPr="002B5A39" w:rsidRDefault="00744E07" w:rsidP="00744E07">
      <w:pPr>
        <w:pStyle w:val="BodyText"/>
        <w:spacing w:line="480" w:lineRule="auto"/>
        <w:rPr>
          <w:rFonts w:cs="Times New Roman"/>
          <w:b/>
          <w:bCs/>
        </w:rPr>
      </w:pPr>
    </w:p>
    <w:p w14:paraId="649011F6" w14:textId="77777777" w:rsidR="002B5A39" w:rsidRPr="002B5A39" w:rsidRDefault="002B5A39" w:rsidP="00BB5505">
      <w:pPr>
        <w:pStyle w:val="FirstParagraph"/>
        <w:rPr>
          <w:rFonts w:ascii="Times New Roman" w:hAnsi="Times New Roman" w:cs="Times New Roman"/>
        </w:rPr>
      </w:pPr>
    </w:p>
    <w:p w14:paraId="61FAC8C1" w14:textId="77777777" w:rsidR="002B5A39" w:rsidRPr="002B5A39" w:rsidRDefault="002B5A39" w:rsidP="00BB5505">
      <w:pPr>
        <w:pStyle w:val="FirstParagraph"/>
        <w:rPr>
          <w:rFonts w:ascii="Times New Roman" w:hAnsi="Times New Roman" w:cs="Times New Roman"/>
        </w:rPr>
      </w:pPr>
    </w:p>
    <w:p w14:paraId="7BD6F105" w14:textId="77777777" w:rsidR="002B5A39" w:rsidRPr="002B5A39" w:rsidRDefault="002B5A39" w:rsidP="00BB5505">
      <w:pPr>
        <w:pStyle w:val="FirstParagraph"/>
        <w:rPr>
          <w:rFonts w:ascii="Times New Roman" w:hAnsi="Times New Roman" w:cs="Times New Roman"/>
        </w:rPr>
      </w:pPr>
    </w:p>
    <w:p w14:paraId="3373539E" w14:textId="77777777" w:rsidR="002B5A39" w:rsidRPr="002B5A39" w:rsidRDefault="002B5A39" w:rsidP="00BB5505">
      <w:pPr>
        <w:pStyle w:val="FirstParagraph"/>
        <w:rPr>
          <w:rFonts w:ascii="Times New Roman" w:hAnsi="Times New Roman" w:cs="Times New Roman"/>
        </w:rPr>
      </w:pPr>
    </w:p>
    <w:p w14:paraId="58720044" w14:textId="77777777" w:rsidR="002B5A39" w:rsidRPr="002B5A39" w:rsidRDefault="002B5A39" w:rsidP="00BB5505">
      <w:pPr>
        <w:pStyle w:val="FirstParagraph"/>
        <w:rPr>
          <w:rFonts w:ascii="Times New Roman" w:hAnsi="Times New Roman" w:cs="Times New Roman"/>
        </w:rPr>
      </w:pPr>
    </w:p>
    <w:p w14:paraId="7944CAC0" w14:textId="77777777" w:rsidR="002B5A39" w:rsidRPr="002B5A39" w:rsidRDefault="002B5A39" w:rsidP="00BB5505">
      <w:pPr>
        <w:pStyle w:val="FirstParagraph"/>
        <w:rPr>
          <w:rFonts w:ascii="Times New Roman" w:hAnsi="Times New Roman" w:cs="Times New Roman"/>
        </w:rPr>
      </w:pPr>
    </w:p>
    <w:p w14:paraId="6389C455" w14:textId="77777777" w:rsidR="002B5A39" w:rsidRPr="002B5A39" w:rsidRDefault="002B5A39" w:rsidP="00BB5505">
      <w:pPr>
        <w:pStyle w:val="FirstParagraph"/>
        <w:rPr>
          <w:rFonts w:ascii="Times New Roman" w:hAnsi="Times New Roman" w:cs="Times New Roman"/>
        </w:rPr>
      </w:pPr>
    </w:p>
    <w:p w14:paraId="5C53FB73" w14:textId="77777777" w:rsidR="002B5A39" w:rsidRPr="002B5A39" w:rsidRDefault="002B5A39" w:rsidP="00BB5505">
      <w:pPr>
        <w:pStyle w:val="FirstParagraph"/>
        <w:rPr>
          <w:rFonts w:ascii="Times New Roman" w:hAnsi="Times New Roman" w:cs="Times New Roman"/>
        </w:rPr>
      </w:pPr>
    </w:p>
    <w:p w14:paraId="30AE44B7" w14:textId="77777777" w:rsidR="002B5A39" w:rsidRPr="002B5A39" w:rsidRDefault="002B5A39" w:rsidP="00BB5505">
      <w:pPr>
        <w:pStyle w:val="FirstParagraph"/>
        <w:rPr>
          <w:rFonts w:ascii="Times New Roman" w:hAnsi="Times New Roman" w:cs="Times New Roman"/>
        </w:rPr>
      </w:pPr>
    </w:p>
    <w:p w14:paraId="1084C932" w14:textId="77777777" w:rsidR="002B5A39" w:rsidRPr="002B5A39" w:rsidRDefault="002B5A39" w:rsidP="00BB5505">
      <w:pPr>
        <w:pStyle w:val="FirstParagraph"/>
        <w:rPr>
          <w:rFonts w:ascii="Times New Roman" w:hAnsi="Times New Roman" w:cs="Times New Roman"/>
        </w:rPr>
      </w:pPr>
    </w:p>
    <w:p w14:paraId="6AF485E4" w14:textId="77777777" w:rsidR="002B5A39" w:rsidRPr="002B5A39" w:rsidRDefault="002B5A39" w:rsidP="00BB5505">
      <w:pPr>
        <w:pStyle w:val="FirstParagraph"/>
        <w:rPr>
          <w:rFonts w:ascii="Times New Roman" w:hAnsi="Times New Roman" w:cs="Times New Roman"/>
        </w:rPr>
      </w:pPr>
    </w:p>
    <w:p w14:paraId="34788AD5" w14:textId="77777777" w:rsidR="002B5A39" w:rsidRPr="002B5A39" w:rsidRDefault="002B5A39" w:rsidP="00BB5505">
      <w:pPr>
        <w:pStyle w:val="FirstParagraph"/>
        <w:rPr>
          <w:rFonts w:ascii="Times New Roman" w:hAnsi="Times New Roman" w:cs="Times New Roman"/>
        </w:rPr>
      </w:pPr>
    </w:p>
    <w:p w14:paraId="44EF4E98" w14:textId="77777777" w:rsidR="002B5A39" w:rsidRPr="002B5A39" w:rsidRDefault="002B5A39" w:rsidP="00BB5505">
      <w:pPr>
        <w:pStyle w:val="FirstParagraph"/>
        <w:rPr>
          <w:rFonts w:ascii="Times New Roman" w:hAnsi="Times New Roman" w:cs="Times New Roman"/>
        </w:rPr>
      </w:pPr>
    </w:p>
    <w:p w14:paraId="40EA9A67" w14:textId="670CA996" w:rsidR="002B5A39" w:rsidRDefault="002B5A39" w:rsidP="00BB5505">
      <w:pPr>
        <w:pStyle w:val="FirstParagraph"/>
        <w:rPr>
          <w:rFonts w:ascii="Times New Roman" w:hAnsi="Times New Roman" w:cs="Times New Roman"/>
        </w:rPr>
      </w:pPr>
    </w:p>
    <w:p w14:paraId="6BD2DA39" w14:textId="130AAAC8" w:rsidR="001A1344" w:rsidRDefault="001A1344" w:rsidP="001A1344">
      <w:pPr>
        <w:pStyle w:val="BodyText"/>
        <w:rPr>
          <w:lang w:val="en-US" w:eastAsia="en-US" w:bidi="ar-SA"/>
        </w:rPr>
      </w:pPr>
    </w:p>
    <w:p w14:paraId="1B4667B1" w14:textId="7704AB24" w:rsidR="001A1344" w:rsidRDefault="001A1344" w:rsidP="001A1344">
      <w:pPr>
        <w:pStyle w:val="BodyText"/>
        <w:rPr>
          <w:lang w:val="en-US" w:eastAsia="en-US" w:bidi="ar-SA"/>
        </w:rPr>
      </w:pPr>
    </w:p>
    <w:p w14:paraId="09268CFA" w14:textId="26FB00E7" w:rsidR="001A1344" w:rsidRDefault="001A1344" w:rsidP="001A1344">
      <w:pPr>
        <w:pStyle w:val="BodyText"/>
        <w:rPr>
          <w:lang w:val="en-US" w:eastAsia="en-US" w:bidi="ar-SA"/>
        </w:rPr>
      </w:pPr>
    </w:p>
    <w:p w14:paraId="065E6C99" w14:textId="6F78D26A" w:rsidR="001A1344" w:rsidRDefault="001A1344" w:rsidP="001A1344">
      <w:pPr>
        <w:pStyle w:val="BodyText"/>
        <w:rPr>
          <w:lang w:val="en-US" w:eastAsia="en-US" w:bidi="ar-SA"/>
        </w:rPr>
      </w:pPr>
    </w:p>
    <w:p w14:paraId="092D2C7D" w14:textId="2510742E" w:rsidR="001A1344" w:rsidRDefault="001A1344" w:rsidP="001A1344">
      <w:pPr>
        <w:pStyle w:val="BodyText"/>
        <w:rPr>
          <w:lang w:val="en-US" w:eastAsia="en-US" w:bidi="ar-SA"/>
        </w:rPr>
      </w:pPr>
    </w:p>
    <w:p w14:paraId="0345C81B" w14:textId="77777777" w:rsidR="001A1344" w:rsidRPr="001A1344" w:rsidRDefault="001A1344" w:rsidP="001A1344">
      <w:pPr>
        <w:pStyle w:val="BodyText"/>
        <w:rPr>
          <w:lang w:val="en-US" w:eastAsia="en-US" w:bidi="ar-SA"/>
        </w:rPr>
      </w:pPr>
    </w:p>
    <w:p w14:paraId="04BD926B" w14:textId="4E92707B" w:rsidR="002B5A39" w:rsidRDefault="002B5A39" w:rsidP="00BB5505">
      <w:pPr>
        <w:pStyle w:val="FirstParagraph"/>
        <w:rPr>
          <w:rFonts w:ascii="Times New Roman" w:hAnsi="Times New Roman" w:cs="Times New Roman"/>
        </w:rPr>
      </w:pPr>
    </w:p>
    <w:p w14:paraId="62F1F766" w14:textId="77777777" w:rsidR="007B5C03" w:rsidRPr="007B5C03" w:rsidRDefault="007B5C03" w:rsidP="007B5C03">
      <w:pPr>
        <w:pStyle w:val="BodyText"/>
        <w:rPr>
          <w:lang w:val="en-US" w:eastAsia="en-US" w:bidi="ar-SA"/>
        </w:rPr>
      </w:pPr>
    </w:p>
    <w:p w14:paraId="4A5E5E88" w14:textId="0BBEA732" w:rsidR="002B5A39" w:rsidRPr="002B5A39" w:rsidRDefault="002B5A39" w:rsidP="002B5A39">
      <w:pPr>
        <w:pStyle w:val="FirstParagraph"/>
        <w:jc w:val="center"/>
        <w:rPr>
          <w:rFonts w:ascii="Times New Roman" w:hAnsi="Times New Roman" w:cs="Times New Roman"/>
          <w:b/>
          <w:bCs/>
        </w:rPr>
      </w:pPr>
      <w:r w:rsidRPr="002B5A39">
        <w:rPr>
          <w:rFonts w:ascii="Times New Roman" w:hAnsi="Times New Roman" w:cs="Times New Roman"/>
          <w:b/>
          <w:bCs/>
        </w:rPr>
        <w:lastRenderedPageBreak/>
        <w:t>References</w:t>
      </w:r>
    </w:p>
    <w:p w14:paraId="51E5745B" w14:textId="525568EE" w:rsidR="00BB5505" w:rsidRPr="002B5A39" w:rsidRDefault="00BB5505" w:rsidP="00876FD4">
      <w:pPr>
        <w:pStyle w:val="FirstParagraph"/>
        <w:spacing w:line="480" w:lineRule="auto"/>
        <w:rPr>
          <w:rFonts w:ascii="Times New Roman" w:hAnsi="Times New Roman" w:cs="Times New Roman"/>
        </w:rPr>
      </w:pPr>
      <w:r w:rsidRPr="002B5A39">
        <w:rPr>
          <w:rFonts w:ascii="Times New Roman" w:hAnsi="Times New Roman" w:cs="Times New Roman"/>
        </w:rPr>
        <w:t xml:space="preserve">Anderton, C. H., &amp; Carter, J. R. (2014). A </w:t>
      </w:r>
      <w:r w:rsidR="00E4162F">
        <w:rPr>
          <w:rFonts w:ascii="Times New Roman" w:hAnsi="Times New Roman" w:cs="Times New Roman"/>
        </w:rPr>
        <w:t>n</w:t>
      </w:r>
      <w:r w:rsidRPr="002B5A39">
        <w:rPr>
          <w:rFonts w:ascii="Times New Roman" w:hAnsi="Times New Roman" w:cs="Times New Roman"/>
        </w:rPr>
        <w:t xml:space="preserve">ew </w:t>
      </w:r>
      <w:r w:rsidR="00E4162F">
        <w:rPr>
          <w:rFonts w:ascii="Times New Roman" w:hAnsi="Times New Roman" w:cs="Times New Roman"/>
        </w:rPr>
        <w:t>l</w:t>
      </w:r>
      <w:r w:rsidRPr="002B5A39">
        <w:rPr>
          <w:rFonts w:ascii="Times New Roman" w:hAnsi="Times New Roman" w:cs="Times New Roman"/>
        </w:rPr>
        <w:t xml:space="preserve">ook at </w:t>
      </w:r>
      <w:r w:rsidR="00E4162F">
        <w:rPr>
          <w:rFonts w:ascii="Times New Roman" w:hAnsi="Times New Roman" w:cs="Times New Roman"/>
        </w:rPr>
        <w:t>w</w:t>
      </w:r>
      <w:r w:rsidRPr="002B5A39">
        <w:rPr>
          <w:rFonts w:ascii="Times New Roman" w:hAnsi="Times New Roman" w:cs="Times New Roman"/>
        </w:rPr>
        <w:t xml:space="preserve">eak </w:t>
      </w:r>
      <w:r w:rsidR="00E4162F">
        <w:rPr>
          <w:rFonts w:ascii="Times New Roman" w:hAnsi="Times New Roman" w:cs="Times New Roman"/>
        </w:rPr>
        <w:t>s</w:t>
      </w:r>
      <w:r w:rsidRPr="002B5A39">
        <w:rPr>
          <w:rFonts w:ascii="Times New Roman" w:hAnsi="Times New Roman" w:cs="Times New Roman"/>
        </w:rPr>
        <w:t xml:space="preserve">tate </w:t>
      </w:r>
      <w:r w:rsidR="00E4162F">
        <w:rPr>
          <w:rFonts w:ascii="Times New Roman" w:hAnsi="Times New Roman" w:cs="Times New Roman"/>
        </w:rPr>
        <w:t>c</w:t>
      </w:r>
      <w:r w:rsidRPr="002B5A39">
        <w:rPr>
          <w:rFonts w:ascii="Times New Roman" w:hAnsi="Times New Roman" w:cs="Times New Roman"/>
        </w:rPr>
        <w:t xml:space="preserve">onditions and </w:t>
      </w:r>
      <w:r w:rsidR="00E4162F">
        <w:rPr>
          <w:rFonts w:ascii="Times New Roman" w:hAnsi="Times New Roman" w:cs="Times New Roman"/>
        </w:rPr>
        <w:t>g</w:t>
      </w:r>
      <w:r w:rsidRPr="002B5A39">
        <w:rPr>
          <w:rFonts w:ascii="Times New Roman" w:hAnsi="Times New Roman" w:cs="Times New Roman"/>
        </w:rPr>
        <w:t xml:space="preserve">enocide </w:t>
      </w:r>
      <w:r w:rsidR="00876FD4">
        <w:rPr>
          <w:rFonts w:ascii="Times New Roman" w:hAnsi="Times New Roman" w:cs="Times New Roman"/>
        </w:rPr>
        <w:tab/>
      </w:r>
      <w:r w:rsidR="00E4162F">
        <w:rPr>
          <w:rFonts w:ascii="Times New Roman" w:hAnsi="Times New Roman" w:cs="Times New Roman"/>
        </w:rPr>
        <w:t>r</w:t>
      </w:r>
      <w:r w:rsidRPr="002B5A39">
        <w:rPr>
          <w:rFonts w:ascii="Times New Roman" w:hAnsi="Times New Roman" w:cs="Times New Roman"/>
        </w:rPr>
        <w:t xml:space="preserve">isk. </w:t>
      </w:r>
      <w:r w:rsidRPr="00E4162F">
        <w:rPr>
          <w:rFonts w:ascii="Times New Roman" w:hAnsi="Times New Roman" w:cs="Times New Roman"/>
          <w:i/>
          <w:iCs/>
        </w:rPr>
        <w:t>Peace Science and Public Policy</w:t>
      </w:r>
      <w:r w:rsidRPr="002B5A39">
        <w:rPr>
          <w:rFonts w:ascii="Times New Roman" w:hAnsi="Times New Roman" w:cs="Times New Roman"/>
        </w:rPr>
        <w:t>, 21(1), 1–36.</w:t>
      </w:r>
    </w:p>
    <w:p w14:paraId="680392C4" w14:textId="3E42F0B7" w:rsidR="007C6452" w:rsidRDefault="00BB5505" w:rsidP="007C6452">
      <w:pPr>
        <w:pStyle w:val="BodyText"/>
        <w:spacing w:line="480" w:lineRule="auto"/>
        <w:rPr>
          <w:rFonts w:cs="Times New Roman"/>
        </w:rPr>
      </w:pPr>
      <w:r w:rsidRPr="002B5A39">
        <w:rPr>
          <w:rFonts w:cs="Times New Roman"/>
        </w:rPr>
        <w:t xml:space="preserve">Balch-Lindsay, D., </w:t>
      </w:r>
      <w:proofErr w:type="spellStart"/>
      <w:r w:rsidRPr="002B5A39">
        <w:rPr>
          <w:rFonts w:cs="Times New Roman"/>
        </w:rPr>
        <w:t>Huth</w:t>
      </w:r>
      <w:proofErr w:type="spellEnd"/>
      <w:r w:rsidRPr="002B5A39">
        <w:rPr>
          <w:rFonts w:cs="Times New Roman"/>
        </w:rPr>
        <w:t xml:space="preserve">, P., &amp; Valentino B. (2004). “Draining the </w:t>
      </w:r>
      <w:r w:rsidR="00E4162F">
        <w:rPr>
          <w:rFonts w:cs="Times New Roman"/>
        </w:rPr>
        <w:t>s</w:t>
      </w:r>
      <w:r w:rsidRPr="002B5A39">
        <w:rPr>
          <w:rFonts w:cs="Times New Roman"/>
        </w:rPr>
        <w:t xml:space="preserve">ea”: Mass </w:t>
      </w:r>
      <w:r w:rsidR="00E4162F">
        <w:rPr>
          <w:rFonts w:cs="Times New Roman"/>
        </w:rPr>
        <w:t>k</w:t>
      </w:r>
      <w:r w:rsidRPr="002B5A39">
        <w:rPr>
          <w:rFonts w:cs="Times New Roman"/>
        </w:rPr>
        <w:t xml:space="preserve">illing and </w:t>
      </w:r>
      <w:r w:rsidR="00876FD4">
        <w:rPr>
          <w:rFonts w:cs="Times New Roman"/>
        </w:rPr>
        <w:tab/>
      </w:r>
      <w:r w:rsidR="00E4162F">
        <w:rPr>
          <w:rFonts w:cs="Times New Roman"/>
        </w:rPr>
        <w:t>g</w:t>
      </w:r>
      <w:r w:rsidRPr="002B5A39">
        <w:rPr>
          <w:rFonts w:cs="Times New Roman"/>
        </w:rPr>
        <w:t xml:space="preserve">uerilla </w:t>
      </w:r>
      <w:r w:rsidR="00E4162F">
        <w:rPr>
          <w:rFonts w:cs="Times New Roman"/>
        </w:rPr>
        <w:t>w</w:t>
      </w:r>
      <w:r w:rsidRPr="002B5A39">
        <w:rPr>
          <w:rFonts w:cs="Times New Roman"/>
        </w:rPr>
        <w:t xml:space="preserve">arfare. </w:t>
      </w:r>
      <w:r w:rsidRPr="00E4162F">
        <w:rPr>
          <w:rFonts w:cs="Times New Roman"/>
          <w:i/>
          <w:iCs/>
        </w:rPr>
        <w:t>International Organization</w:t>
      </w:r>
      <w:r w:rsidRPr="002B5A39">
        <w:rPr>
          <w:rFonts w:cs="Times New Roman"/>
        </w:rPr>
        <w:t>, 58(2), 375-407.</w:t>
      </w:r>
    </w:p>
    <w:p w14:paraId="6D571E3B" w14:textId="1A788807" w:rsidR="007C6452" w:rsidRPr="002B5A39" w:rsidRDefault="007C6452" w:rsidP="007C6452">
      <w:pPr>
        <w:pStyle w:val="BodyText"/>
        <w:spacing w:line="480" w:lineRule="auto"/>
        <w:ind w:left="720" w:hanging="720"/>
        <w:rPr>
          <w:rFonts w:cs="Times New Roman"/>
        </w:rPr>
      </w:pPr>
      <w:r w:rsidRPr="007C6452">
        <w:rPr>
          <w:rFonts w:cs="Times New Roman"/>
        </w:rPr>
        <w:t xml:space="preserve">Early Warning Project. (2014). Frequently </w:t>
      </w:r>
      <w:r w:rsidR="00E4162F">
        <w:rPr>
          <w:rFonts w:cs="Times New Roman"/>
        </w:rPr>
        <w:t>a</w:t>
      </w:r>
      <w:r w:rsidRPr="007C6452">
        <w:rPr>
          <w:rFonts w:cs="Times New Roman"/>
        </w:rPr>
        <w:t xml:space="preserve">sked </w:t>
      </w:r>
      <w:r w:rsidR="00E4162F">
        <w:rPr>
          <w:rFonts w:cs="Times New Roman"/>
        </w:rPr>
        <w:t>qu</w:t>
      </w:r>
      <w:r w:rsidRPr="007C6452">
        <w:rPr>
          <w:rFonts w:cs="Times New Roman"/>
        </w:rPr>
        <w:t>estions. Retrieved from https://cpgearlywarning.wordpress.com/about/frequently-asked-questions/</w:t>
      </w:r>
    </w:p>
    <w:p w14:paraId="256C41EA" w14:textId="76D42C06" w:rsidR="00BB5505" w:rsidRPr="002B5A39" w:rsidRDefault="00BB5505" w:rsidP="00876FD4">
      <w:pPr>
        <w:pStyle w:val="BodyText"/>
        <w:spacing w:line="480" w:lineRule="auto"/>
        <w:rPr>
          <w:rFonts w:cs="Times New Roman"/>
        </w:rPr>
      </w:pPr>
      <w:r w:rsidRPr="002B5A39">
        <w:rPr>
          <w:rFonts w:cs="Times New Roman"/>
        </w:rPr>
        <w:t xml:space="preserve">Finkel, E. &amp; Straus, S. (2012). Macro, </w:t>
      </w:r>
      <w:r w:rsidR="00E4162F">
        <w:rPr>
          <w:rFonts w:cs="Times New Roman"/>
        </w:rPr>
        <w:t>m</w:t>
      </w:r>
      <w:r w:rsidRPr="002B5A39">
        <w:rPr>
          <w:rFonts w:cs="Times New Roman"/>
        </w:rPr>
        <w:t xml:space="preserve">eso, and </w:t>
      </w:r>
      <w:r w:rsidR="00E4162F">
        <w:rPr>
          <w:rFonts w:cs="Times New Roman"/>
        </w:rPr>
        <w:t>m</w:t>
      </w:r>
      <w:r w:rsidRPr="002B5A39">
        <w:rPr>
          <w:rFonts w:cs="Times New Roman"/>
        </w:rPr>
        <w:t xml:space="preserve">icro </w:t>
      </w:r>
      <w:r w:rsidR="00E4162F">
        <w:rPr>
          <w:rFonts w:cs="Times New Roman"/>
        </w:rPr>
        <w:t>r</w:t>
      </w:r>
      <w:r w:rsidRPr="002B5A39">
        <w:rPr>
          <w:rFonts w:cs="Times New Roman"/>
        </w:rPr>
        <w:t xml:space="preserve">esearch on </w:t>
      </w:r>
      <w:r w:rsidR="00E4162F">
        <w:rPr>
          <w:rFonts w:cs="Times New Roman"/>
        </w:rPr>
        <w:t>g</w:t>
      </w:r>
      <w:r w:rsidRPr="002B5A39">
        <w:rPr>
          <w:rFonts w:cs="Times New Roman"/>
        </w:rPr>
        <w:t xml:space="preserve">enocide: Gains, </w:t>
      </w:r>
      <w:r w:rsidR="00876FD4">
        <w:rPr>
          <w:rFonts w:cs="Times New Roman"/>
        </w:rPr>
        <w:tab/>
      </w:r>
      <w:r w:rsidR="00E4162F">
        <w:rPr>
          <w:rFonts w:cs="Times New Roman"/>
        </w:rPr>
        <w:t>s</w:t>
      </w:r>
      <w:r w:rsidRPr="002B5A39">
        <w:rPr>
          <w:rFonts w:cs="Times New Roman"/>
        </w:rPr>
        <w:t xml:space="preserve">hortcomings, and </w:t>
      </w:r>
      <w:r w:rsidR="00E4162F">
        <w:rPr>
          <w:rFonts w:cs="Times New Roman"/>
        </w:rPr>
        <w:t>f</w:t>
      </w:r>
      <w:r w:rsidRPr="002B5A39">
        <w:rPr>
          <w:rFonts w:cs="Times New Roman"/>
        </w:rPr>
        <w:t xml:space="preserve">uture </w:t>
      </w:r>
      <w:r w:rsidR="00E4162F">
        <w:rPr>
          <w:rFonts w:cs="Times New Roman"/>
        </w:rPr>
        <w:t>a</w:t>
      </w:r>
      <w:r w:rsidRPr="002B5A39">
        <w:rPr>
          <w:rFonts w:cs="Times New Roman"/>
        </w:rPr>
        <w:t xml:space="preserve">reas of </w:t>
      </w:r>
      <w:r w:rsidR="00E4162F">
        <w:rPr>
          <w:rFonts w:cs="Times New Roman"/>
        </w:rPr>
        <w:t>i</w:t>
      </w:r>
      <w:r w:rsidRPr="002B5A39">
        <w:rPr>
          <w:rFonts w:cs="Times New Roman"/>
        </w:rPr>
        <w:t xml:space="preserve">nquiry. </w:t>
      </w:r>
      <w:r w:rsidRPr="00E4162F">
        <w:rPr>
          <w:rFonts w:cs="Times New Roman"/>
          <w:i/>
          <w:iCs/>
        </w:rPr>
        <w:t>Genocide Studies and Prevention</w:t>
      </w:r>
      <w:r w:rsidRPr="002B5A39">
        <w:rPr>
          <w:rFonts w:cs="Times New Roman"/>
        </w:rPr>
        <w:t>, 7(1), 56-67.</w:t>
      </w:r>
    </w:p>
    <w:p w14:paraId="45296E39" w14:textId="2E6D3EAD" w:rsidR="00BB5505" w:rsidRPr="002B5A39" w:rsidRDefault="00BB5505" w:rsidP="00876FD4">
      <w:pPr>
        <w:pStyle w:val="BodyText"/>
        <w:spacing w:line="480" w:lineRule="auto"/>
        <w:rPr>
          <w:rFonts w:cs="Times New Roman"/>
        </w:rPr>
      </w:pPr>
      <w:proofErr w:type="spellStart"/>
      <w:r w:rsidRPr="002B5A39">
        <w:rPr>
          <w:rFonts w:cs="Times New Roman"/>
        </w:rPr>
        <w:t>Kalyvas</w:t>
      </w:r>
      <w:proofErr w:type="spellEnd"/>
      <w:r w:rsidRPr="002B5A39">
        <w:rPr>
          <w:rFonts w:cs="Times New Roman"/>
        </w:rPr>
        <w:t xml:space="preserve">, S. N. (2006). </w:t>
      </w:r>
      <w:r w:rsidRPr="00E4162F">
        <w:rPr>
          <w:rFonts w:cs="Times New Roman"/>
          <w:i/>
          <w:iCs/>
        </w:rPr>
        <w:t xml:space="preserve">The </w:t>
      </w:r>
      <w:r w:rsidR="00E4162F">
        <w:rPr>
          <w:rFonts w:cs="Times New Roman"/>
          <w:i/>
          <w:iCs/>
        </w:rPr>
        <w:t>l</w:t>
      </w:r>
      <w:r w:rsidRPr="00E4162F">
        <w:rPr>
          <w:rFonts w:cs="Times New Roman"/>
          <w:i/>
          <w:iCs/>
        </w:rPr>
        <w:t xml:space="preserve">ogic of </w:t>
      </w:r>
      <w:r w:rsidR="00E4162F">
        <w:rPr>
          <w:rFonts w:cs="Times New Roman"/>
          <w:i/>
          <w:iCs/>
        </w:rPr>
        <w:t>vi</w:t>
      </w:r>
      <w:r w:rsidRPr="00E4162F">
        <w:rPr>
          <w:rFonts w:cs="Times New Roman"/>
          <w:i/>
          <w:iCs/>
        </w:rPr>
        <w:t xml:space="preserve">olence in </w:t>
      </w:r>
      <w:r w:rsidR="00E4162F">
        <w:rPr>
          <w:rFonts w:cs="Times New Roman"/>
          <w:i/>
          <w:iCs/>
        </w:rPr>
        <w:t>c</w:t>
      </w:r>
      <w:r w:rsidRPr="00E4162F">
        <w:rPr>
          <w:rFonts w:cs="Times New Roman"/>
          <w:i/>
          <w:iCs/>
        </w:rPr>
        <w:t xml:space="preserve">ivil </w:t>
      </w:r>
      <w:r w:rsidR="00E4162F">
        <w:rPr>
          <w:rFonts w:cs="Times New Roman"/>
          <w:i/>
          <w:iCs/>
        </w:rPr>
        <w:t>w</w:t>
      </w:r>
      <w:r w:rsidRPr="00E4162F">
        <w:rPr>
          <w:rFonts w:cs="Times New Roman"/>
          <w:i/>
          <w:iCs/>
        </w:rPr>
        <w:t>ar. Cambridge</w:t>
      </w:r>
      <w:r w:rsidR="00E4162F">
        <w:rPr>
          <w:rFonts w:cs="Times New Roman"/>
        </w:rPr>
        <w:t>.</w:t>
      </w:r>
      <w:r w:rsidRPr="002B5A39">
        <w:rPr>
          <w:rFonts w:cs="Times New Roman"/>
        </w:rPr>
        <w:t xml:space="preserve"> UK; New York, NY: </w:t>
      </w:r>
      <w:r w:rsidR="00876FD4">
        <w:rPr>
          <w:rFonts w:cs="Times New Roman"/>
        </w:rPr>
        <w:tab/>
      </w:r>
      <w:r w:rsidRPr="002B5A39">
        <w:rPr>
          <w:rFonts w:cs="Times New Roman"/>
        </w:rPr>
        <w:t>Cambridge University Press.</w:t>
      </w:r>
    </w:p>
    <w:p w14:paraId="61764DBB" w14:textId="252F924C" w:rsidR="00BB5505" w:rsidRPr="002B5A39" w:rsidRDefault="00BB5505" w:rsidP="00876FD4">
      <w:pPr>
        <w:pStyle w:val="BodyText"/>
        <w:spacing w:line="480" w:lineRule="auto"/>
        <w:rPr>
          <w:rFonts w:cs="Times New Roman"/>
        </w:rPr>
      </w:pPr>
      <w:proofErr w:type="spellStart"/>
      <w:r w:rsidRPr="002B5A39">
        <w:rPr>
          <w:rFonts w:cs="Times New Roman"/>
        </w:rPr>
        <w:t>Krain</w:t>
      </w:r>
      <w:proofErr w:type="spellEnd"/>
      <w:r w:rsidRPr="002B5A39">
        <w:rPr>
          <w:rFonts w:cs="Times New Roman"/>
        </w:rPr>
        <w:t>, M. (1997). State-</w:t>
      </w:r>
      <w:r w:rsidR="00E4162F">
        <w:rPr>
          <w:rFonts w:cs="Times New Roman"/>
        </w:rPr>
        <w:t>s</w:t>
      </w:r>
      <w:r w:rsidRPr="002B5A39">
        <w:rPr>
          <w:rFonts w:cs="Times New Roman"/>
        </w:rPr>
        <w:t xml:space="preserve">ponsored </w:t>
      </w:r>
      <w:r w:rsidR="00E4162F">
        <w:rPr>
          <w:rFonts w:cs="Times New Roman"/>
        </w:rPr>
        <w:t>m</w:t>
      </w:r>
      <w:r w:rsidRPr="002B5A39">
        <w:rPr>
          <w:rFonts w:cs="Times New Roman"/>
        </w:rPr>
        <w:t xml:space="preserve">ass </w:t>
      </w:r>
      <w:r w:rsidR="00E4162F">
        <w:rPr>
          <w:rFonts w:cs="Times New Roman"/>
        </w:rPr>
        <w:t>m</w:t>
      </w:r>
      <w:r w:rsidRPr="002B5A39">
        <w:rPr>
          <w:rFonts w:cs="Times New Roman"/>
        </w:rPr>
        <w:t xml:space="preserve">urder: The </w:t>
      </w:r>
      <w:r w:rsidR="00E4162F">
        <w:rPr>
          <w:rFonts w:cs="Times New Roman"/>
        </w:rPr>
        <w:t>o</w:t>
      </w:r>
      <w:r w:rsidRPr="002B5A39">
        <w:rPr>
          <w:rFonts w:cs="Times New Roman"/>
        </w:rPr>
        <w:t xml:space="preserve">nset and </w:t>
      </w:r>
      <w:r w:rsidR="00E4162F">
        <w:rPr>
          <w:rFonts w:cs="Times New Roman"/>
        </w:rPr>
        <w:t>s</w:t>
      </w:r>
      <w:r w:rsidRPr="002B5A39">
        <w:rPr>
          <w:rFonts w:cs="Times New Roman"/>
        </w:rPr>
        <w:t xml:space="preserve">everity of </w:t>
      </w:r>
      <w:r w:rsidR="00E4162F">
        <w:rPr>
          <w:rFonts w:cs="Times New Roman"/>
        </w:rPr>
        <w:t>g</w:t>
      </w:r>
      <w:r w:rsidRPr="002B5A39">
        <w:rPr>
          <w:rFonts w:cs="Times New Roman"/>
        </w:rPr>
        <w:t xml:space="preserve">enocides and </w:t>
      </w:r>
      <w:r w:rsidR="00876FD4">
        <w:rPr>
          <w:rFonts w:cs="Times New Roman"/>
        </w:rPr>
        <w:tab/>
      </w:r>
      <w:r w:rsidR="00E4162F">
        <w:rPr>
          <w:rFonts w:cs="Times New Roman"/>
        </w:rPr>
        <w:t>p</w:t>
      </w:r>
      <w:r w:rsidRPr="002B5A39">
        <w:rPr>
          <w:rFonts w:cs="Times New Roman"/>
        </w:rPr>
        <w:t xml:space="preserve">oliticides. </w:t>
      </w:r>
      <w:r w:rsidRPr="00E4162F">
        <w:rPr>
          <w:rFonts w:cs="Times New Roman"/>
          <w:i/>
          <w:iCs/>
        </w:rPr>
        <w:t>Journal of Conflict Resolution,</w:t>
      </w:r>
      <w:r w:rsidRPr="002B5A39">
        <w:rPr>
          <w:rFonts w:cs="Times New Roman"/>
        </w:rPr>
        <w:t xml:space="preserve"> 41(3), 331–360. </w:t>
      </w:r>
    </w:p>
    <w:p w14:paraId="1290F4A6" w14:textId="13EEA616" w:rsidR="00BB5505" w:rsidRPr="002B5A39" w:rsidRDefault="00BB5505" w:rsidP="00876FD4">
      <w:pPr>
        <w:pStyle w:val="BodyText"/>
        <w:spacing w:line="480" w:lineRule="auto"/>
        <w:rPr>
          <w:rFonts w:cs="Times New Roman"/>
        </w:rPr>
      </w:pPr>
      <w:proofErr w:type="spellStart"/>
      <w:r w:rsidRPr="002B5A39">
        <w:rPr>
          <w:rFonts w:cs="Times New Roman"/>
        </w:rPr>
        <w:t>Krcmaric</w:t>
      </w:r>
      <w:proofErr w:type="spellEnd"/>
      <w:r w:rsidRPr="002B5A39">
        <w:rPr>
          <w:rFonts w:cs="Times New Roman"/>
        </w:rPr>
        <w:t xml:space="preserve">, D. (2017). Varieties of civil War and </w:t>
      </w:r>
      <w:r w:rsidR="00E4162F">
        <w:rPr>
          <w:rFonts w:cs="Times New Roman"/>
        </w:rPr>
        <w:t>m</w:t>
      </w:r>
      <w:r w:rsidRPr="002B5A39">
        <w:rPr>
          <w:rFonts w:cs="Times New Roman"/>
        </w:rPr>
        <w:t xml:space="preserve">ass </w:t>
      </w:r>
      <w:r w:rsidR="00E4162F">
        <w:rPr>
          <w:rFonts w:cs="Times New Roman"/>
        </w:rPr>
        <w:t>k</w:t>
      </w:r>
      <w:r w:rsidRPr="002B5A39">
        <w:rPr>
          <w:rFonts w:cs="Times New Roman"/>
        </w:rPr>
        <w:t xml:space="preserve">illing: Reassessing the </w:t>
      </w:r>
      <w:r w:rsidR="00E4162F">
        <w:rPr>
          <w:rFonts w:cs="Times New Roman"/>
        </w:rPr>
        <w:t>r</w:t>
      </w:r>
      <w:r w:rsidRPr="002B5A39">
        <w:rPr>
          <w:rFonts w:cs="Times New Roman"/>
        </w:rPr>
        <w:t xml:space="preserve">elationship </w:t>
      </w:r>
      <w:r w:rsidR="00876FD4">
        <w:rPr>
          <w:rFonts w:cs="Times New Roman"/>
        </w:rPr>
        <w:tab/>
      </w:r>
      <w:r w:rsidR="00E4162F">
        <w:rPr>
          <w:rFonts w:cs="Times New Roman"/>
        </w:rPr>
        <w:t>b</w:t>
      </w:r>
      <w:r w:rsidRPr="002B5A39">
        <w:rPr>
          <w:rFonts w:cs="Times New Roman"/>
        </w:rPr>
        <w:t xml:space="preserve">etween </w:t>
      </w:r>
      <w:r w:rsidR="00E4162F">
        <w:rPr>
          <w:rFonts w:cs="Times New Roman"/>
        </w:rPr>
        <w:t>g</w:t>
      </w:r>
      <w:r w:rsidRPr="002B5A39">
        <w:rPr>
          <w:rFonts w:cs="Times New Roman"/>
        </w:rPr>
        <w:t xml:space="preserve">uerrilla </w:t>
      </w:r>
      <w:r w:rsidR="00E4162F">
        <w:rPr>
          <w:rFonts w:cs="Times New Roman"/>
        </w:rPr>
        <w:t>w</w:t>
      </w:r>
      <w:r w:rsidRPr="002B5A39">
        <w:rPr>
          <w:rFonts w:cs="Times New Roman"/>
        </w:rPr>
        <w:t xml:space="preserve">arfare and </w:t>
      </w:r>
      <w:r w:rsidR="00E4162F">
        <w:rPr>
          <w:rFonts w:cs="Times New Roman"/>
        </w:rPr>
        <w:t>c</w:t>
      </w:r>
      <w:r w:rsidRPr="002B5A39">
        <w:rPr>
          <w:rFonts w:cs="Times New Roman"/>
        </w:rPr>
        <w:t xml:space="preserve">ivilian </w:t>
      </w:r>
      <w:r w:rsidR="00E4162F">
        <w:rPr>
          <w:rFonts w:cs="Times New Roman"/>
        </w:rPr>
        <w:t>v</w:t>
      </w:r>
      <w:r w:rsidRPr="002B5A39">
        <w:rPr>
          <w:rFonts w:cs="Times New Roman"/>
        </w:rPr>
        <w:t xml:space="preserve">ictimization. </w:t>
      </w:r>
      <w:r w:rsidRPr="00E4162F">
        <w:rPr>
          <w:rFonts w:cs="Times New Roman"/>
          <w:i/>
          <w:iCs/>
        </w:rPr>
        <w:t>Journal of Peace Research</w:t>
      </w:r>
      <w:r w:rsidRPr="002B5A39">
        <w:rPr>
          <w:rFonts w:cs="Times New Roman"/>
        </w:rPr>
        <w:t xml:space="preserve">, 55(1), </w:t>
      </w:r>
      <w:r w:rsidR="00876FD4">
        <w:rPr>
          <w:rFonts w:cs="Times New Roman"/>
        </w:rPr>
        <w:tab/>
      </w:r>
      <w:r w:rsidRPr="002B5A39">
        <w:rPr>
          <w:rFonts w:cs="Times New Roman"/>
        </w:rPr>
        <w:t>18-31.</w:t>
      </w:r>
    </w:p>
    <w:p w14:paraId="35572478" w14:textId="77777777" w:rsidR="000B0365" w:rsidRDefault="00BB5505" w:rsidP="00876FD4">
      <w:pPr>
        <w:pStyle w:val="BodyText"/>
        <w:spacing w:line="480" w:lineRule="auto"/>
        <w:rPr>
          <w:rFonts w:cs="Times New Roman"/>
        </w:rPr>
      </w:pPr>
      <w:r w:rsidRPr="002B5A39">
        <w:rPr>
          <w:rFonts w:cs="Times New Roman"/>
        </w:rPr>
        <w:t xml:space="preserve">Schwartz, R. A., &amp; Straus, S. (2018). Evidence from Guatemala’s conflict archives. </w:t>
      </w:r>
      <w:r w:rsidRPr="00E4162F">
        <w:rPr>
          <w:rFonts w:cs="Times New Roman"/>
          <w:i/>
          <w:iCs/>
        </w:rPr>
        <w:t xml:space="preserve">Journal of </w:t>
      </w:r>
      <w:r w:rsidR="00876FD4" w:rsidRPr="00E4162F">
        <w:rPr>
          <w:rFonts w:cs="Times New Roman"/>
          <w:i/>
          <w:iCs/>
        </w:rPr>
        <w:tab/>
      </w:r>
      <w:r w:rsidRPr="00E4162F">
        <w:rPr>
          <w:rFonts w:cs="Times New Roman"/>
          <w:i/>
          <w:iCs/>
        </w:rPr>
        <w:t>Peace Research,</w:t>
      </w:r>
      <w:r w:rsidRPr="002B5A39">
        <w:rPr>
          <w:rFonts w:cs="Times New Roman"/>
        </w:rPr>
        <w:t xml:space="preserve"> 55(2), 222–235</w:t>
      </w:r>
      <w:r w:rsidR="00E4162F">
        <w:rPr>
          <w:rFonts w:cs="Times New Roman"/>
        </w:rPr>
        <w:t>.</w:t>
      </w:r>
    </w:p>
    <w:p w14:paraId="31A4CDAA" w14:textId="01C1C85E" w:rsidR="00BB5505" w:rsidRPr="002B5A39" w:rsidRDefault="00BB5505" w:rsidP="00876FD4">
      <w:pPr>
        <w:pStyle w:val="BodyText"/>
        <w:spacing w:line="480" w:lineRule="auto"/>
        <w:rPr>
          <w:rFonts w:cs="Times New Roman"/>
        </w:rPr>
      </w:pPr>
      <w:r w:rsidRPr="002B5A39">
        <w:rPr>
          <w:rFonts w:cs="Times New Roman"/>
        </w:rPr>
        <w:t xml:space="preserve">Straus, S. (2013). Political </w:t>
      </w:r>
      <w:r w:rsidR="00E4162F">
        <w:rPr>
          <w:rFonts w:cs="Times New Roman"/>
        </w:rPr>
        <w:t>s</w:t>
      </w:r>
      <w:r w:rsidRPr="002B5A39">
        <w:rPr>
          <w:rFonts w:cs="Times New Roman"/>
        </w:rPr>
        <w:t xml:space="preserve">cience and </w:t>
      </w:r>
      <w:r w:rsidR="00E4162F">
        <w:rPr>
          <w:rFonts w:cs="Times New Roman"/>
        </w:rPr>
        <w:t>g</w:t>
      </w:r>
      <w:r w:rsidRPr="002B5A39">
        <w:rPr>
          <w:rFonts w:cs="Times New Roman"/>
        </w:rPr>
        <w:t>enocide. In Bloxham, D., &amp; Moses, A. (1st ed.)</w:t>
      </w:r>
      <w:r w:rsidR="000B0365">
        <w:rPr>
          <w:rFonts w:cs="Times New Roman"/>
        </w:rPr>
        <w:t>,</w:t>
      </w:r>
      <w:r w:rsidRPr="002B5A39">
        <w:rPr>
          <w:rFonts w:cs="Times New Roman"/>
        </w:rPr>
        <w:t xml:space="preserve"> </w:t>
      </w:r>
      <w:r w:rsidRPr="000B0365">
        <w:rPr>
          <w:rFonts w:cs="Times New Roman"/>
          <w:i/>
          <w:iCs/>
        </w:rPr>
        <w:t xml:space="preserve">The </w:t>
      </w:r>
      <w:r w:rsidR="00876FD4" w:rsidRPr="000B0365">
        <w:rPr>
          <w:rFonts w:cs="Times New Roman"/>
          <w:i/>
          <w:iCs/>
        </w:rPr>
        <w:tab/>
      </w:r>
      <w:r w:rsidRPr="000B0365">
        <w:rPr>
          <w:rFonts w:cs="Times New Roman"/>
          <w:i/>
          <w:iCs/>
        </w:rPr>
        <w:t xml:space="preserve">Oxford </w:t>
      </w:r>
      <w:r w:rsidR="000B0365">
        <w:rPr>
          <w:rFonts w:cs="Times New Roman"/>
          <w:i/>
          <w:iCs/>
        </w:rPr>
        <w:t>h</w:t>
      </w:r>
      <w:r w:rsidRPr="000B0365">
        <w:rPr>
          <w:rFonts w:cs="Times New Roman"/>
          <w:i/>
          <w:iCs/>
        </w:rPr>
        <w:t xml:space="preserve">andbook of </w:t>
      </w:r>
      <w:r w:rsidR="000B0365">
        <w:rPr>
          <w:rFonts w:cs="Times New Roman"/>
          <w:i/>
          <w:iCs/>
        </w:rPr>
        <w:t>g</w:t>
      </w:r>
      <w:r w:rsidRPr="000B0365">
        <w:rPr>
          <w:rFonts w:cs="Times New Roman"/>
          <w:i/>
          <w:iCs/>
        </w:rPr>
        <w:t xml:space="preserve">enocide </w:t>
      </w:r>
      <w:r w:rsidR="000B0365">
        <w:rPr>
          <w:rFonts w:cs="Times New Roman"/>
          <w:i/>
          <w:iCs/>
        </w:rPr>
        <w:t>s</w:t>
      </w:r>
      <w:r w:rsidRPr="000B0365">
        <w:rPr>
          <w:rFonts w:cs="Times New Roman"/>
          <w:i/>
          <w:iCs/>
        </w:rPr>
        <w:t>tudies</w:t>
      </w:r>
      <w:r w:rsidRPr="002B5A39">
        <w:rPr>
          <w:rFonts w:cs="Times New Roman"/>
        </w:rPr>
        <w:t xml:space="preserve"> (pp. 163-181)</w:t>
      </w:r>
      <w:r w:rsidR="000B0365">
        <w:rPr>
          <w:rFonts w:cs="Times New Roman"/>
        </w:rPr>
        <w:t>.</w:t>
      </w:r>
      <w:r w:rsidRPr="002B5A39">
        <w:rPr>
          <w:rFonts w:cs="Times New Roman"/>
        </w:rPr>
        <w:t xml:space="preserve"> Oxford, UK: Oxford University</w:t>
      </w:r>
      <w:r w:rsidR="000B0365">
        <w:rPr>
          <w:rFonts w:cs="Times New Roman"/>
        </w:rPr>
        <w:t xml:space="preserve"> </w:t>
      </w:r>
      <w:r w:rsidRPr="002B5A39">
        <w:rPr>
          <w:rFonts w:cs="Times New Roman"/>
        </w:rPr>
        <w:t>Press.</w:t>
      </w:r>
    </w:p>
    <w:p w14:paraId="1A72B2E6" w14:textId="4162DD61" w:rsidR="00BB5505" w:rsidRPr="002B5A39" w:rsidRDefault="00BB5505" w:rsidP="00876FD4">
      <w:pPr>
        <w:pStyle w:val="BodyText"/>
        <w:spacing w:line="480" w:lineRule="auto"/>
        <w:rPr>
          <w:rFonts w:cs="Times New Roman"/>
        </w:rPr>
      </w:pPr>
      <w:proofErr w:type="spellStart"/>
      <w:r w:rsidRPr="002B5A39">
        <w:rPr>
          <w:rFonts w:cs="Times New Roman"/>
        </w:rPr>
        <w:t>Ulfelder</w:t>
      </w:r>
      <w:proofErr w:type="spellEnd"/>
      <w:r w:rsidRPr="002B5A39">
        <w:rPr>
          <w:rFonts w:cs="Times New Roman"/>
        </w:rPr>
        <w:t xml:space="preserve">, J., &amp; Valentino, B. (2008). Assessing </w:t>
      </w:r>
      <w:r w:rsidR="00E4162F">
        <w:rPr>
          <w:rFonts w:cs="Times New Roman"/>
        </w:rPr>
        <w:t>r</w:t>
      </w:r>
      <w:r w:rsidRPr="002B5A39">
        <w:rPr>
          <w:rFonts w:cs="Times New Roman"/>
        </w:rPr>
        <w:t xml:space="preserve">isks of </w:t>
      </w:r>
      <w:r w:rsidR="00E4162F">
        <w:rPr>
          <w:rFonts w:cs="Times New Roman"/>
        </w:rPr>
        <w:t>st</w:t>
      </w:r>
      <w:r w:rsidRPr="002B5A39">
        <w:rPr>
          <w:rFonts w:cs="Times New Roman"/>
        </w:rPr>
        <w:t>ate-</w:t>
      </w:r>
      <w:r w:rsidR="00E4162F">
        <w:rPr>
          <w:rFonts w:cs="Times New Roman"/>
        </w:rPr>
        <w:t>s</w:t>
      </w:r>
      <w:r w:rsidRPr="002B5A39">
        <w:rPr>
          <w:rFonts w:cs="Times New Roman"/>
        </w:rPr>
        <w:t xml:space="preserve">ponsored </w:t>
      </w:r>
      <w:r w:rsidR="00E4162F">
        <w:rPr>
          <w:rFonts w:cs="Times New Roman"/>
        </w:rPr>
        <w:t>m</w:t>
      </w:r>
      <w:r w:rsidRPr="002B5A39">
        <w:rPr>
          <w:rFonts w:cs="Times New Roman"/>
        </w:rPr>
        <w:t xml:space="preserve">ass </w:t>
      </w:r>
      <w:r w:rsidR="00E4162F">
        <w:rPr>
          <w:rFonts w:cs="Times New Roman"/>
        </w:rPr>
        <w:t>k</w:t>
      </w:r>
      <w:r w:rsidRPr="002B5A39">
        <w:rPr>
          <w:rFonts w:cs="Times New Roman"/>
        </w:rPr>
        <w:t xml:space="preserve">illing. </w:t>
      </w:r>
      <w:r w:rsidRPr="00E4162F">
        <w:rPr>
          <w:rFonts w:cs="Times New Roman"/>
          <w:i/>
          <w:iCs/>
        </w:rPr>
        <w:t xml:space="preserve">Social </w:t>
      </w:r>
      <w:r w:rsidR="00876FD4" w:rsidRPr="00E4162F">
        <w:rPr>
          <w:rFonts w:cs="Times New Roman"/>
          <w:i/>
          <w:iCs/>
        </w:rPr>
        <w:lastRenderedPageBreak/>
        <w:tab/>
      </w:r>
      <w:r w:rsidRPr="00E4162F">
        <w:rPr>
          <w:rFonts w:cs="Times New Roman"/>
          <w:i/>
          <w:iCs/>
        </w:rPr>
        <w:t>Science Research Network</w:t>
      </w:r>
      <w:r w:rsidRPr="002B5A39">
        <w:rPr>
          <w:rFonts w:cs="Times New Roman"/>
        </w:rPr>
        <w:t xml:space="preserve">, 1-47. </w:t>
      </w:r>
    </w:p>
    <w:p w14:paraId="3D45E79D" w14:textId="77FD7089" w:rsidR="00BB5505" w:rsidRPr="002B5A39" w:rsidRDefault="00BB5505" w:rsidP="00876FD4">
      <w:pPr>
        <w:pStyle w:val="BodyText"/>
        <w:spacing w:line="480" w:lineRule="auto"/>
        <w:rPr>
          <w:rFonts w:cs="Times New Roman"/>
        </w:rPr>
      </w:pPr>
      <w:proofErr w:type="spellStart"/>
      <w:r w:rsidRPr="002B5A39">
        <w:rPr>
          <w:rFonts w:cs="Times New Roman"/>
        </w:rPr>
        <w:t>Ulfelder</w:t>
      </w:r>
      <w:proofErr w:type="spellEnd"/>
      <w:r w:rsidRPr="002B5A39">
        <w:rPr>
          <w:rFonts w:cs="Times New Roman"/>
        </w:rPr>
        <w:t xml:space="preserve">, J. (2013). A </w:t>
      </w:r>
      <w:proofErr w:type="spellStart"/>
      <w:r w:rsidR="000B0365">
        <w:rPr>
          <w:rFonts w:cs="Times New Roman"/>
        </w:rPr>
        <w:t>m</w:t>
      </w:r>
      <w:r w:rsidRPr="002B5A39">
        <w:rPr>
          <w:rFonts w:cs="Times New Roman"/>
        </w:rPr>
        <w:t>ultimodel</w:t>
      </w:r>
      <w:proofErr w:type="spellEnd"/>
      <w:r w:rsidRPr="002B5A39">
        <w:rPr>
          <w:rFonts w:cs="Times New Roman"/>
        </w:rPr>
        <w:t xml:space="preserve"> </w:t>
      </w:r>
      <w:r w:rsidR="000B0365">
        <w:rPr>
          <w:rFonts w:cs="Times New Roman"/>
        </w:rPr>
        <w:t>e</w:t>
      </w:r>
      <w:r w:rsidRPr="002B5A39">
        <w:rPr>
          <w:rFonts w:cs="Times New Roman"/>
        </w:rPr>
        <w:t xml:space="preserve">nsemble to </w:t>
      </w:r>
      <w:r w:rsidR="000B0365">
        <w:rPr>
          <w:rFonts w:cs="Times New Roman"/>
        </w:rPr>
        <w:t>f</w:t>
      </w:r>
      <w:r w:rsidRPr="002B5A39">
        <w:rPr>
          <w:rFonts w:cs="Times New Roman"/>
        </w:rPr>
        <w:t xml:space="preserve">orecast </w:t>
      </w:r>
      <w:r w:rsidR="000B0365">
        <w:rPr>
          <w:rFonts w:cs="Times New Roman"/>
        </w:rPr>
        <w:t>o</w:t>
      </w:r>
      <w:r w:rsidRPr="002B5A39">
        <w:rPr>
          <w:rFonts w:cs="Times New Roman"/>
        </w:rPr>
        <w:t xml:space="preserve">nsets of </w:t>
      </w:r>
      <w:r w:rsidR="000B0365">
        <w:rPr>
          <w:rFonts w:cs="Times New Roman"/>
        </w:rPr>
        <w:t>s</w:t>
      </w:r>
      <w:r w:rsidRPr="002B5A39">
        <w:rPr>
          <w:rFonts w:cs="Times New Roman"/>
        </w:rPr>
        <w:t>tate</w:t>
      </w:r>
      <w:r w:rsidRPr="000B0365">
        <w:rPr>
          <w:rFonts w:cs="Times New Roman"/>
          <w:i/>
          <w:iCs/>
        </w:rPr>
        <w:t xml:space="preserve">. Social Science Research </w:t>
      </w:r>
      <w:r w:rsidR="00876FD4" w:rsidRPr="000B0365">
        <w:rPr>
          <w:rFonts w:cs="Times New Roman"/>
          <w:i/>
          <w:iCs/>
        </w:rPr>
        <w:tab/>
      </w:r>
      <w:r w:rsidRPr="000B0365">
        <w:rPr>
          <w:rFonts w:cs="Times New Roman"/>
          <w:i/>
          <w:iCs/>
        </w:rPr>
        <w:t>Network</w:t>
      </w:r>
      <w:r w:rsidRPr="002B5A39">
        <w:rPr>
          <w:rFonts w:cs="Times New Roman"/>
        </w:rPr>
        <w:t>, 1-23.</w:t>
      </w:r>
    </w:p>
    <w:p w14:paraId="3DD34581" w14:textId="2CA080C1" w:rsidR="00BB5505" w:rsidRPr="002B5A39" w:rsidRDefault="00BB5505" w:rsidP="00876FD4">
      <w:pPr>
        <w:pStyle w:val="BodyText"/>
        <w:spacing w:line="480" w:lineRule="auto"/>
        <w:rPr>
          <w:rFonts w:cs="Times New Roman"/>
        </w:rPr>
      </w:pPr>
      <w:r w:rsidRPr="002B5A39">
        <w:rPr>
          <w:rFonts w:cs="Times New Roman"/>
        </w:rPr>
        <w:t xml:space="preserve">Valentino, B. (2014). Why </w:t>
      </w:r>
      <w:r w:rsidR="000B0365">
        <w:rPr>
          <w:rFonts w:cs="Times New Roman"/>
        </w:rPr>
        <w:t>w</w:t>
      </w:r>
      <w:r w:rsidRPr="002B5A39">
        <w:rPr>
          <w:rFonts w:cs="Times New Roman"/>
        </w:rPr>
        <w:t xml:space="preserve">e </w:t>
      </w:r>
      <w:r w:rsidR="000B0365">
        <w:rPr>
          <w:rFonts w:cs="Times New Roman"/>
        </w:rPr>
        <w:t>k</w:t>
      </w:r>
      <w:r w:rsidRPr="002B5A39">
        <w:rPr>
          <w:rFonts w:cs="Times New Roman"/>
        </w:rPr>
        <w:t xml:space="preserve">ill: The </w:t>
      </w:r>
      <w:r w:rsidR="000B0365">
        <w:rPr>
          <w:rFonts w:cs="Times New Roman"/>
        </w:rPr>
        <w:t>p</w:t>
      </w:r>
      <w:r w:rsidRPr="002B5A39">
        <w:rPr>
          <w:rFonts w:cs="Times New Roman"/>
        </w:rPr>
        <w:t xml:space="preserve">olitical </w:t>
      </w:r>
      <w:r w:rsidR="000B0365">
        <w:rPr>
          <w:rFonts w:cs="Times New Roman"/>
        </w:rPr>
        <w:t>s</w:t>
      </w:r>
      <w:r w:rsidRPr="002B5A39">
        <w:rPr>
          <w:rFonts w:cs="Times New Roman"/>
        </w:rPr>
        <w:t xml:space="preserve">cience of </w:t>
      </w:r>
      <w:r w:rsidR="000B0365">
        <w:rPr>
          <w:rFonts w:cs="Times New Roman"/>
        </w:rPr>
        <w:t>p</w:t>
      </w:r>
      <w:r w:rsidRPr="002B5A39">
        <w:rPr>
          <w:rFonts w:cs="Times New Roman"/>
        </w:rPr>
        <w:t xml:space="preserve">olitical </w:t>
      </w:r>
      <w:r w:rsidR="000B0365">
        <w:rPr>
          <w:rFonts w:cs="Times New Roman"/>
        </w:rPr>
        <w:t>v</w:t>
      </w:r>
      <w:r w:rsidRPr="002B5A39">
        <w:rPr>
          <w:rFonts w:cs="Times New Roman"/>
        </w:rPr>
        <w:t xml:space="preserve">iolence </w:t>
      </w:r>
      <w:r w:rsidR="000B0365">
        <w:rPr>
          <w:rFonts w:cs="Times New Roman"/>
        </w:rPr>
        <w:t>a</w:t>
      </w:r>
      <w:r w:rsidRPr="002B5A39">
        <w:rPr>
          <w:rFonts w:cs="Times New Roman"/>
        </w:rPr>
        <w:t xml:space="preserve">gainst </w:t>
      </w:r>
      <w:r w:rsidR="000B0365">
        <w:rPr>
          <w:rFonts w:cs="Times New Roman"/>
        </w:rPr>
        <w:t>c</w:t>
      </w:r>
      <w:r w:rsidRPr="002B5A39">
        <w:rPr>
          <w:rFonts w:cs="Times New Roman"/>
        </w:rPr>
        <w:t xml:space="preserve">ivilians. </w:t>
      </w:r>
      <w:r w:rsidR="00876FD4">
        <w:rPr>
          <w:rFonts w:cs="Times New Roman"/>
        </w:rPr>
        <w:tab/>
      </w:r>
      <w:r w:rsidRPr="000B0365">
        <w:rPr>
          <w:rFonts w:cs="Times New Roman"/>
          <w:i/>
          <w:iCs/>
        </w:rPr>
        <w:t>Annual Review of Political Science</w:t>
      </w:r>
      <w:r w:rsidRPr="002B5A39">
        <w:rPr>
          <w:rFonts w:cs="Times New Roman"/>
        </w:rPr>
        <w:t>, 17(1), 89-103.</w:t>
      </w:r>
    </w:p>
    <w:p w14:paraId="1AA450A3" w14:textId="77777777" w:rsidR="002B5A39" w:rsidRPr="002B5A39" w:rsidRDefault="002B5A39" w:rsidP="00BB5505">
      <w:pPr>
        <w:pStyle w:val="Heading1"/>
        <w:rPr>
          <w:rFonts w:ascii="Times New Roman" w:hAnsi="Times New Roman" w:cs="Times New Roman"/>
          <w:color w:val="auto"/>
        </w:rPr>
      </w:pPr>
      <w:bookmarkStart w:id="3" w:name="appendix"/>
    </w:p>
    <w:p w14:paraId="78D6A2A5" w14:textId="700655F5" w:rsidR="002B5A39" w:rsidRPr="002B5A39" w:rsidRDefault="002B5A39" w:rsidP="00BB5505">
      <w:pPr>
        <w:pStyle w:val="Heading1"/>
        <w:rPr>
          <w:rFonts w:ascii="Times New Roman" w:hAnsi="Times New Roman" w:cs="Times New Roman"/>
          <w:color w:val="auto"/>
        </w:rPr>
      </w:pPr>
    </w:p>
    <w:p w14:paraId="3E1C7CEF" w14:textId="65F1AA13" w:rsidR="002B5A39" w:rsidRPr="002B5A39" w:rsidRDefault="002B5A39" w:rsidP="002B5A39">
      <w:pPr>
        <w:pStyle w:val="BodyText"/>
        <w:rPr>
          <w:rFonts w:cs="Times New Roman"/>
          <w:lang w:val="en-US" w:eastAsia="en-US" w:bidi="ar-SA"/>
        </w:rPr>
      </w:pPr>
    </w:p>
    <w:p w14:paraId="03167F29" w14:textId="5BDB967F" w:rsidR="002B5A39" w:rsidRPr="002B5A39" w:rsidRDefault="002B5A39" w:rsidP="002B5A39">
      <w:pPr>
        <w:pStyle w:val="BodyText"/>
        <w:rPr>
          <w:rFonts w:cs="Times New Roman"/>
          <w:lang w:val="en-US" w:eastAsia="en-US" w:bidi="ar-SA"/>
        </w:rPr>
      </w:pPr>
    </w:p>
    <w:p w14:paraId="12297868" w14:textId="0A338D97" w:rsidR="002B5A39" w:rsidRDefault="002B5A39" w:rsidP="002B5A39">
      <w:pPr>
        <w:pStyle w:val="BodyText"/>
        <w:rPr>
          <w:rFonts w:cs="Times New Roman"/>
          <w:lang w:val="en-US" w:eastAsia="en-US" w:bidi="ar-SA"/>
        </w:rPr>
      </w:pPr>
    </w:p>
    <w:p w14:paraId="4BA4BE8A" w14:textId="77777777" w:rsidR="00876FD4" w:rsidRDefault="00876FD4" w:rsidP="002B5A39">
      <w:pPr>
        <w:pStyle w:val="BodyText"/>
        <w:rPr>
          <w:rFonts w:cs="Times New Roman"/>
          <w:lang w:val="en-US" w:eastAsia="en-US" w:bidi="ar-SA"/>
        </w:rPr>
      </w:pPr>
    </w:p>
    <w:p w14:paraId="35970D84" w14:textId="77777777" w:rsidR="00876FD4" w:rsidRDefault="00876FD4" w:rsidP="002B5A39">
      <w:pPr>
        <w:pStyle w:val="BodyText"/>
        <w:rPr>
          <w:rFonts w:cs="Times New Roman"/>
          <w:lang w:val="en-US" w:eastAsia="en-US" w:bidi="ar-SA"/>
        </w:rPr>
      </w:pPr>
    </w:p>
    <w:p w14:paraId="7EEE3EFE" w14:textId="77777777" w:rsidR="00876FD4" w:rsidRDefault="00876FD4" w:rsidP="002B5A39">
      <w:pPr>
        <w:pStyle w:val="BodyText"/>
        <w:rPr>
          <w:rFonts w:cs="Times New Roman"/>
          <w:lang w:val="en-US" w:eastAsia="en-US" w:bidi="ar-SA"/>
        </w:rPr>
      </w:pPr>
    </w:p>
    <w:p w14:paraId="14F37F67" w14:textId="77777777" w:rsidR="00876FD4" w:rsidRDefault="00876FD4" w:rsidP="002B5A39">
      <w:pPr>
        <w:pStyle w:val="BodyText"/>
        <w:rPr>
          <w:rFonts w:cs="Times New Roman"/>
          <w:lang w:val="en-US" w:eastAsia="en-US" w:bidi="ar-SA"/>
        </w:rPr>
      </w:pPr>
    </w:p>
    <w:p w14:paraId="5C6B3FE6" w14:textId="77777777" w:rsidR="00876FD4" w:rsidRDefault="00876FD4" w:rsidP="002B5A39">
      <w:pPr>
        <w:pStyle w:val="BodyText"/>
        <w:rPr>
          <w:rFonts w:cs="Times New Roman"/>
          <w:lang w:val="en-US" w:eastAsia="en-US" w:bidi="ar-SA"/>
        </w:rPr>
      </w:pPr>
    </w:p>
    <w:p w14:paraId="197F3E36" w14:textId="77777777" w:rsidR="00876FD4" w:rsidRDefault="00876FD4" w:rsidP="002B5A39">
      <w:pPr>
        <w:pStyle w:val="BodyText"/>
        <w:rPr>
          <w:rFonts w:cs="Times New Roman"/>
          <w:lang w:val="en-US" w:eastAsia="en-US" w:bidi="ar-SA"/>
        </w:rPr>
      </w:pPr>
    </w:p>
    <w:p w14:paraId="4182676C" w14:textId="77777777" w:rsidR="00876FD4" w:rsidRDefault="00876FD4" w:rsidP="002B5A39">
      <w:pPr>
        <w:pStyle w:val="BodyText"/>
        <w:rPr>
          <w:rFonts w:cs="Times New Roman"/>
          <w:lang w:val="en-US" w:eastAsia="en-US" w:bidi="ar-SA"/>
        </w:rPr>
      </w:pPr>
    </w:p>
    <w:p w14:paraId="42C670DA" w14:textId="77777777" w:rsidR="00876FD4" w:rsidRDefault="00876FD4" w:rsidP="002B5A39">
      <w:pPr>
        <w:pStyle w:val="BodyText"/>
        <w:rPr>
          <w:rFonts w:cs="Times New Roman"/>
          <w:lang w:val="en-US" w:eastAsia="en-US" w:bidi="ar-SA"/>
        </w:rPr>
      </w:pPr>
    </w:p>
    <w:p w14:paraId="51E43422" w14:textId="77777777" w:rsidR="00876FD4" w:rsidRDefault="00876FD4" w:rsidP="002B5A39">
      <w:pPr>
        <w:pStyle w:val="BodyText"/>
        <w:rPr>
          <w:rFonts w:cs="Times New Roman"/>
          <w:lang w:val="en-US" w:eastAsia="en-US" w:bidi="ar-SA"/>
        </w:rPr>
      </w:pPr>
    </w:p>
    <w:p w14:paraId="33E88A58" w14:textId="77777777" w:rsidR="00876FD4" w:rsidRPr="002B5A39" w:rsidRDefault="00876FD4" w:rsidP="002B5A39">
      <w:pPr>
        <w:pStyle w:val="BodyText"/>
        <w:rPr>
          <w:rFonts w:cs="Times New Roman"/>
          <w:lang w:val="en-US" w:eastAsia="en-US" w:bidi="ar-SA"/>
        </w:rPr>
      </w:pPr>
    </w:p>
    <w:p w14:paraId="76CB8217" w14:textId="38E967EC" w:rsidR="002B5A39" w:rsidRDefault="002B5A39" w:rsidP="002B5A39">
      <w:pPr>
        <w:pStyle w:val="BodyText"/>
        <w:rPr>
          <w:rFonts w:cs="Times New Roman"/>
          <w:lang w:val="en-US" w:eastAsia="en-US" w:bidi="ar-SA"/>
        </w:rPr>
      </w:pPr>
    </w:p>
    <w:p w14:paraId="4AB26A60" w14:textId="77777777" w:rsidR="00876FD4" w:rsidRDefault="00876FD4" w:rsidP="002B5A39">
      <w:pPr>
        <w:pStyle w:val="BodyText"/>
        <w:rPr>
          <w:rFonts w:cs="Times New Roman"/>
          <w:lang w:val="en-US" w:eastAsia="en-US" w:bidi="ar-SA"/>
        </w:rPr>
      </w:pPr>
    </w:p>
    <w:p w14:paraId="39A7C6A9" w14:textId="77777777" w:rsidR="00876FD4" w:rsidRPr="002B5A39" w:rsidRDefault="00876FD4" w:rsidP="002B5A39">
      <w:pPr>
        <w:pStyle w:val="BodyText"/>
        <w:rPr>
          <w:rFonts w:cs="Times New Roman"/>
          <w:lang w:val="en-US" w:eastAsia="en-US" w:bidi="ar-SA"/>
        </w:rPr>
      </w:pPr>
    </w:p>
    <w:p w14:paraId="6D44929C" w14:textId="77777777" w:rsidR="002B5A39" w:rsidRPr="002B5A39" w:rsidRDefault="002B5A39" w:rsidP="002B5A39">
      <w:pPr>
        <w:pStyle w:val="BodyText"/>
        <w:rPr>
          <w:rFonts w:cs="Times New Roman"/>
          <w:lang w:val="en-US" w:eastAsia="en-US" w:bidi="ar-SA"/>
        </w:rPr>
      </w:pPr>
    </w:p>
    <w:bookmarkEnd w:id="3"/>
    <w:p w14:paraId="6D1E4D0A" w14:textId="2091B15D" w:rsidR="00BB5505" w:rsidRPr="00876FD4" w:rsidRDefault="002B5A39" w:rsidP="00876FD4">
      <w:pPr>
        <w:pStyle w:val="Heading1"/>
        <w:jc w:val="center"/>
        <w:rPr>
          <w:rFonts w:ascii="Times New Roman" w:hAnsi="Times New Roman" w:cs="Times New Roman"/>
          <w:color w:val="auto"/>
          <w:sz w:val="24"/>
          <w:szCs w:val="24"/>
        </w:rPr>
      </w:pPr>
      <w:r w:rsidRPr="00876FD4">
        <w:rPr>
          <w:rFonts w:ascii="Times New Roman" w:hAnsi="Times New Roman" w:cs="Times New Roman"/>
          <w:color w:val="auto"/>
          <w:sz w:val="24"/>
          <w:szCs w:val="24"/>
        </w:rPr>
        <w:lastRenderedPageBreak/>
        <w:t>Appendix</w:t>
      </w:r>
    </w:p>
    <w:p w14:paraId="3E7E570B" w14:textId="77777777" w:rsidR="00BB5505" w:rsidRPr="009C2A7E" w:rsidRDefault="00BB5505" w:rsidP="00BB5505">
      <w:pPr>
        <w:pStyle w:val="Heading2"/>
        <w:rPr>
          <w:rFonts w:ascii="Times New Roman" w:hAnsi="Times New Roman" w:cs="Times New Roman"/>
          <w:b w:val="0"/>
          <w:i/>
          <w:color w:val="auto"/>
          <w:sz w:val="24"/>
          <w:szCs w:val="24"/>
        </w:rPr>
      </w:pPr>
      <w:bookmarkStart w:id="4" w:name="summary-statistic"/>
      <w:r w:rsidRPr="009C2A7E">
        <w:rPr>
          <w:rFonts w:ascii="Times New Roman" w:hAnsi="Times New Roman" w:cs="Times New Roman"/>
          <w:b w:val="0"/>
          <w:i/>
          <w:color w:val="auto"/>
          <w:sz w:val="24"/>
          <w:szCs w:val="24"/>
        </w:rPr>
        <w:t>Summary Statistic</w:t>
      </w:r>
      <w:bookmarkEnd w:id="4"/>
    </w:p>
    <w:tbl>
      <w:tblPr>
        <w:tblStyle w:val="Table"/>
        <w:tblW w:w="0" w:type="auto"/>
        <w:jc w:val="center"/>
        <w:tblLayout w:type="fixed"/>
        <w:tblLook w:val="0420" w:firstRow="1" w:lastRow="0" w:firstColumn="0" w:lastColumn="0" w:noHBand="0" w:noVBand="1"/>
      </w:tblPr>
      <w:tblGrid>
        <w:gridCol w:w="1860"/>
        <w:gridCol w:w="793"/>
        <w:gridCol w:w="873"/>
        <w:gridCol w:w="704"/>
        <w:gridCol w:w="829"/>
        <w:gridCol w:w="615"/>
        <w:gridCol w:w="704"/>
        <w:gridCol w:w="615"/>
        <w:gridCol w:w="927"/>
        <w:gridCol w:w="820"/>
        <w:gridCol w:w="935"/>
      </w:tblGrid>
      <w:tr w:rsidR="00A97DD2" w14:paraId="418B8F76" w14:textId="77777777" w:rsidTr="009B1C8B">
        <w:trPr>
          <w:cantSplit/>
          <w:tblHeader/>
          <w:jc w:val="center"/>
        </w:trPr>
        <w:tc>
          <w:tcPr>
            <w:tcW w:w="186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D9B8F37" w14:textId="77777777" w:rsidR="00A97DD2" w:rsidRDefault="00A97DD2" w:rsidP="009B1C8B">
            <w:pPr>
              <w:spacing w:before="60" w:after="60"/>
              <w:ind w:left="60" w:right="60"/>
            </w:pPr>
            <w:r>
              <w:rPr>
                <w:rFonts w:ascii="Times New Roman (Body)" w:eastAsia="Times New Roman (Body)" w:hAnsi="Times New Roman (Body)" w:cs="Times New Roman (Body)"/>
                <w:color w:val="000000"/>
                <w:sz w:val="16"/>
                <w:szCs w:val="16"/>
              </w:rPr>
              <w:t>Variables</w:t>
            </w:r>
          </w:p>
        </w:tc>
        <w:tc>
          <w:tcPr>
            <w:tcW w:w="79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3D207C0"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Mean</w:t>
            </w:r>
          </w:p>
        </w:tc>
        <w:tc>
          <w:tcPr>
            <w:tcW w:w="87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B801144" w14:textId="77777777" w:rsidR="00A97DD2" w:rsidRDefault="00A97DD2" w:rsidP="009B1C8B">
            <w:pPr>
              <w:spacing w:before="60" w:after="60"/>
              <w:ind w:left="60" w:right="60"/>
              <w:jc w:val="right"/>
            </w:pPr>
            <w:proofErr w:type="spellStart"/>
            <w:r>
              <w:rPr>
                <w:rFonts w:ascii="Times New Roman (Body)" w:eastAsia="Times New Roman (Body)" w:hAnsi="Times New Roman (Body)" w:cs="Times New Roman (Body)"/>
                <w:color w:val="000000"/>
                <w:sz w:val="16"/>
                <w:szCs w:val="16"/>
              </w:rPr>
              <w:t>Std.Dev</w:t>
            </w:r>
            <w:proofErr w:type="spellEnd"/>
          </w:p>
        </w:tc>
        <w:tc>
          <w:tcPr>
            <w:tcW w:w="70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B23203E"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Q1</w:t>
            </w:r>
          </w:p>
        </w:tc>
        <w:tc>
          <w:tcPr>
            <w:tcW w:w="829"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D98A964"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Median</w:t>
            </w:r>
          </w:p>
        </w:tc>
        <w:tc>
          <w:tcPr>
            <w:tcW w:w="61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4A72403"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Q3</w:t>
            </w:r>
          </w:p>
        </w:tc>
        <w:tc>
          <w:tcPr>
            <w:tcW w:w="70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B1D7A42"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IQR</w:t>
            </w:r>
          </w:p>
        </w:tc>
        <w:tc>
          <w:tcPr>
            <w:tcW w:w="61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4E7F06C"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Min</w:t>
            </w:r>
          </w:p>
        </w:tc>
        <w:tc>
          <w:tcPr>
            <w:tcW w:w="92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0FF2CC8"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Max</w:t>
            </w:r>
          </w:p>
        </w:tc>
        <w:tc>
          <w:tcPr>
            <w:tcW w:w="82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865F4CA" w14:textId="77777777" w:rsidR="00A97DD2" w:rsidRDefault="00A97DD2" w:rsidP="009B1C8B">
            <w:pPr>
              <w:spacing w:before="60" w:after="60"/>
              <w:ind w:left="60" w:right="60"/>
              <w:jc w:val="right"/>
            </w:pPr>
            <w:proofErr w:type="spellStart"/>
            <w:proofErr w:type="gramStart"/>
            <w:r>
              <w:rPr>
                <w:rFonts w:ascii="Times New Roman (Body)" w:eastAsia="Times New Roman (Body)" w:hAnsi="Times New Roman (Body)" w:cs="Times New Roman (Body)"/>
                <w:color w:val="000000"/>
                <w:sz w:val="16"/>
                <w:szCs w:val="16"/>
              </w:rPr>
              <w:t>N.Valid</w:t>
            </w:r>
            <w:proofErr w:type="spellEnd"/>
            <w:proofErr w:type="gramEnd"/>
          </w:p>
        </w:tc>
        <w:tc>
          <w:tcPr>
            <w:tcW w:w="93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A6C8DDF" w14:textId="77777777" w:rsidR="00A97DD2" w:rsidRDefault="00A97DD2" w:rsidP="009B1C8B">
            <w:pPr>
              <w:spacing w:before="60" w:after="60"/>
              <w:ind w:left="60" w:right="60"/>
              <w:jc w:val="right"/>
            </w:pPr>
            <w:proofErr w:type="spellStart"/>
            <w:r>
              <w:rPr>
                <w:rFonts w:ascii="Times New Roman (Body)" w:eastAsia="Times New Roman (Body)" w:hAnsi="Times New Roman (Body)" w:cs="Times New Roman (Body)"/>
                <w:color w:val="000000"/>
                <w:sz w:val="16"/>
                <w:szCs w:val="16"/>
              </w:rPr>
              <w:t>Pct.Valid</w:t>
            </w:r>
            <w:proofErr w:type="spellEnd"/>
          </w:p>
        </w:tc>
      </w:tr>
      <w:tr w:rsidR="00A97DD2" w14:paraId="38D65001" w14:textId="77777777" w:rsidTr="009B1C8B">
        <w:trPr>
          <w:cantSplit/>
          <w:jc w:val="center"/>
        </w:trPr>
        <w:tc>
          <w:tcPr>
            <w:tcW w:w="1860" w:type="dxa"/>
            <w:shd w:val="clear" w:color="auto" w:fill="FFFFFF"/>
            <w:tcMar>
              <w:top w:w="0" w:type="dxa"/>
              <w:left w:w="0" w:type="dxa"/>
              <w:bottom w:w="0" w:type="dxa"/>
              <w:right w:w="0" w:type="dxa"/>
            </w:tcMar>
            <w:vAlign w:val="center"/>
          </w:tcPr>
          <w:p w14:paraId="220B677A" w14:textId="77777777" w:rsidR="00A97DD2" w:rsidRDefault="00A97DD2" w:rsidP="009B1C8B">
            <w:pPr>
              <w:spacing w:before="60" w:after="60"/>
              <w:ind w:left="60" w:right="60"/>
            </w:pPr>
            <w:r>
              <w:rPr>
                <w:rFonts w:ascii="Times New Roman (Body)" w:eastAsia="Times New Roman (Body)" w:hAnsi="Times New Roman (Body)" w:cs="Times New Roman (Body)"/>
                <w:color w:val="000000"/>
                <w:sz w:val="16"/>
                <w:szCs w:val="16"/>
              </w:rPr>
              <w:t>Anocracy</w:t>
            </w:r>
          </w:p>
        </w:tc>
        <w:tc>
          <w:tcPr>
            <w:tcW w:w="793" w:type="dxa"/>
            <w:shd w:val="clear" w:color="auto" w:fill="FFFFFF"/>
            <w:tcMar>
              <w:top w:w="0" w:type="dxa"/>
              <w:left w:w="0" w:type="dxa"/>
              <w:bottom w:w="0" w:type="dxa"/>
              <w:right w:w="0" w:type="dxa"/>
            </w:tcMar>
            <w:vAlign w:val="center"/>
          </w:tcPr>
          <w:p w14:paraId="2A8D8358"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0.33</w:t>
            </w:r>
          </w:p>
        </w:tc>
        <w:tc>
          <w:tcPr>
            <w:tcW w:w="873" w:type="dxa"/>
            <w:shd w:val="clear" w:color="auto" w:fill="FFFFFF"/>
            <w:tcMar>
              <w:top w:w="0" w:type="dxa"/>
              <w:left w:w="0" w:type="dxa"/>
              <w:bottom w:w="0" w:type="dxa"/>
              <w:right w:w="0" w:type="dxa"/>
            </w:tcMar>
            <w:vAlign w:val="center"/>
          </w:tcPr>
          <w:p w14:paraId="11F4A083"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0.47</w:t>
            </w:r>
          </w:p>
        </w:tc>
        <w:tc>
          <w:tcPr>
            <w:tcW w:w="704" w:type="dxa"/>
            <w:shd w:val="clear" w:color="auto" w:fill="FFFFFF"/>
            <w:tcMar>
              <w:top w:w="0" w:type="dxa"/>
              <w:left w:w="0" w:type="dxa"/>
              <w:bottom w:w="0" w:type="dxa"/>
              <w:right w:w="0" w:type="dxa"/>
            </w:tcMar>
            <w:vAlign w:val="center"/>
          </w:tcPr>
          <w:p w14:paraId="70BE7763"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0.00</w:t>
            </w:r>
          </w:p>
        </w:tc>
        <w:tc>
          <w:tcPr>
            <w:tcW w:w="829" w:type="dxa"/>
            <w:shd w:val="clear" w:color="auto" w:fill="FFFFFF"/>
            <w:tcMar>
              <w:top w:w="0" w:type="dxa"/>
              <w:left w:w="0" w:type="dxa"/>
              <w:bottom w:w="0" w:type="dxa"/>
              <w:right w:w="0" w:type="dxa"/>
            </w:tcMar>
            <w:vAlign w:val="center"/>
          </w:tcPr>
          <w:p w14:paraId="55F6FAD6"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0.00</w:t>
            </w:r>
          </w:p>
        </w:tc>
        <w:tc>
          <w:tcPr>
            <w:tcW w:w="615" w:type="dxa"/>
            <w:shd w:val="clear" w:color="auto" w:fill="FFFFFF"/>
            <w:tcMar>
              <w:top w:w="0" w:type="dxa"/>
              <w:left w:w="0" w:type="dxa"/>
              <w:bottom w:w="0" w:type="dxa"/>
              <w:right w:w="0" w:type="dxa"/>
            </w:tcMar>
            <w:vAlign w:val="center"/>
          </w:tcPr>
          <w:p w14:paraId="7F01D6E7"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1.0</w:t>
            </w:r>
          </w:p>
        </w:tc>
        <w:tc>
          <w:tcPr>
            <w:tcW w:w="704" w:type="dxa"/>
            <w:shd w:val="clear" w:color="auto" w:fill="FFFFFF"/>
            <w:tcMar>
              <w:top w:w="0" w:type="dxa"/>
              <w:left w:w="0" w:type="dxa"/>
              <w:bottom w:w="0" w:type="dxa"/>
              <w:right w:w="0" w:type="dxa"/>
            </w:tcMar>
            <w:vAlign w:val="center"/>
          </w:tcPr>
          <w:p w14:paraId="049E6318"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1.00</w:t>
            </w:r>
          </w:p>
        </w:tc>
        <w:tc>
          <w:tcPr>
            <w:tcW w:w="615" w:type="dxa"/>
            <w:shd w:val="clear" w:color="auto" w:fill="FFFFFF"/>
            <w:tcMar>
              <w:top w:w="0" w:type="dxa"/>
              <w:left w:w="0" w:type="dxa"/>
              <w:bottom w:w="0" w:type="dxa"/>
              <w:right w:w="0" w:type="dxa"/>
            </w:tcMar>
            <w:vAlign w:val="center"/>
          </w:tcPr>
          <w:p w14:paraId="4B4C36E8"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0.00</w:t>
            </w:r>
          </w:p>
        </w:tc>
        <w:tc>
          <w:tcPr>
            <w:tcW w:w="927" w:type="dxa"/>
            <w:shd w:val="clear" w:color="auto" w:fill="FFFFFF"/>
            <w:tcMar>
              <w:top w:w="0" w:type="dxa"/>
              <w:left w:w="0" w:type="dxa"/>
              <w:bottom w:w="0" w:type="dxa"/>
              <w:right w:w="0" w:type="dxa"/>
            </w:tcMar>
            <w:vAlign w:val="center"/>
          </w:tcPr>
          <w:p w14:paraId="45E33C0C"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1.00</w:t>
            </w:r>
          </w:p>
        </w:tc>
        <w:tc>
          <w:tcPr>
            <w:tcW w:w="820" w:type="dxa"/>
            <w:shd w:val="clear" w:color="auto" w:fill="FFFFFF"/>
            <w:tcMar>
              <w:top w:w="0" w:type="dxa"/>
              <w:left w:w="0" w:type="dxa"/>
              <w:bottom w:w="0" w:type="dxa"/>
              <w:right w:w="0" w:type="dxa"/>
            </w:tcMar>
            <w:vAlign w:val="center"/>
          </w:tcPr>
          <w:p w14:paraId="39836310"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798</w:t>
            </w:r>
          </w:p>
        </w:tc>
        <w:tc>
          <w:tcPr>
            <w:tcW w:w="935" w:type="dxa"/>
            <w:shd w:val="clear" w:color="auto" w:fill="FFFFFF"/>
            <w:tcMar>
              <w:top w:w="0" w:type="dxa"/>
              <w:left w:w="0" w:type="dxa"/>
              <w:bottom w:w="0" w:type="dxa"/>
              <w:right w:w="0" w:type="dxa"/>
            </w:tcMar>
            <w:vAlign w:val="center"/>
          </w:tcPr>
          <w:p w14:paraId="007C3A54"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87</w:t>
            </w:r>
          </w:p>
        </w:tc>
      </w:tr>
      <w:tr w:rsidR="00A97DD2" w14:paraId="0864EF13" w14:textId="77777777" w:rsidTr="009B1C8B">
        <w:trPr>
          <w:cantSplit/>
          <w:jc w:val="center"/>
        </w:trPr>
        <w:tc>
          <w:tcPr>
            <w:tcW w:w="1860" w:type="dxa"/>
            <w:shd w:val="clear" w:color="auto" w:fill="FFFFFF"/>
            <w:tcMar>
              <w:top w:w="0" w:type="dxa"/>
              <w:left w:w="0" w:type="dxa"/>
              <w:bottom w:w="0" w:type="dxa"/>
              <w:right w:w="0" w:type="dxa"/>
            </w:tcMar>
            <w:vAlign w:val="center"/>
          </w:tcPr>
          <w:p w14:paraId="10C805A4" w14:textId="77777777" w:rsidR="00A97DD2" w:rsidRDefault="00A97DD2" w:rsidP="009B1C8B">
            <w:pPr>
              <w:spacing w:before="60" w:after="60"/>
              <w:ind w:left="60" w:right="60"/>
            </w:pPr>
            <w:r>
              <w:rPr>
                <w:rFonts w:ascii="Times New Roman (Body)" w:eastAsia="Times New Roman (Body)" w:hAnsi="Times New Roman (Body)" w:cs="Times New Roman (Body)"/>
                <w:color w:val="000000"/>
                <w:sz w:val="16"/>
                <w:szCs w:val="16"/>
              </w:rPr>
              <w:t>Cold War Period</w:t>
            </w:r>
          </w:p>
        </w:tc>
        <w:tc>
          <w:tcPr>
            <w:tcW w:w="793" w:type="dxa"/>
            <w:shd w:val="clear" w:color="auto" w:fill="FFFFFF"/>
            <w:tcMar>
              <w:top w:w="0" w:type="dxa"/>
              <w:left w:w="0" w:type="dxa"/>
              <w:bottom w:w="0" w:type="dxa"/>
              <w:right w:w="0" w:type="dxa"/>
            </w:tcMar>
            <w:vAlign w:val="center"/>
          </w:tcPr>
          <w:p w14:paraId="648D2A42"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0.56</w:t>
            </w:r>
          </w:p>
        </w:tc>
        <w:tc>
          <w:tcPr>
            <w:tcW w:w="873" w:type="dxa"/>
            <w:shd w:val="clear" w:color="auto" w:fill="FFFFFF"/>
            <w:tcMar>
              <w:top w:w="0" w:type="dxa"/>
              <w:left w:w="0" w:type="dxa"/>
              <w:bottom w:w="0" w:type="dxa"/>
              <w:right w:w="0" w:type="dxa"/>
            </w:tcMar>
            <w:vAlign w:val="center"/>
          </w:tcPr>
          <w:p w14:paraId="169B2356"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0.50</w:t>
            </w:r>
          </w:p>
        </w:tc>
        <w:tc>
          <w:tcPr>
            <w:tcW w:w="704" w:type="dxa"/>
            <w:shd w:val="clear" w:color="auto" w:fill="FFFFFF"/>
            <w:tcMar>
              <w:top w:w="0" w:type="dxa"/>
              <w:left w:w="0" w:type="dxa"/>
              <w:bottom w:w="0" w:type="dxa"/>
              <w:right w:w="0" w:type="dxa"/>
            </w:tcMar>
            <w:vAlign w:val="center"/>
          </w:tcPr>
          <w:p w14:paraId="58A7494C"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0.00</w:t>
            </w:r>
          </w:p>
        </w:tc>
        <w:tc>
          <w:tcPr>
            <w:tcW w:w="829" w:type="dxa"/>
            <w:shd w:val="clear" w:color="auto" w:fill="FFFFFF"/>
            <w:tcMar>
              <w:top w:w="0" w:type="dxa"/>
              <w:left w:w="0" w:type="dxa"/>
              <w:bottom w:w="0" w:type="dxa"/>
              <w:right w:w="0" w:type="dxa"/>
            </w:tcMar>
            <w:vAlign w:val="center"/>
          </w:tcPr>
          <w:p w14:paraId="24B3C526"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1.00</w:t>
            </w:r>
          </w:p>
        </w:tc>
        <w:tc>
          <w:tcPr>
            <w:tcW w:w="615" w:type="dxa"/>
            <w:shd w:val="clear" w:color="auto" w:fill="FFFFFF"/>
            <w:tcMar>
              <w:top w:w="0" w:type="dxa"/>
              <w:left w:w="0" w:type="dxa"/>
              <w:bottom w:w="0" w:type="dxa"/>
              <w:right w:w="0" w:type="dxa"/>
            </w:tcMar>
            <w:vAlign w:val="center"/>
          </w:tcPr>
          <w:p w14:paraId="1F9F02CC"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1.0</w:t>
            </w:r>
          </w:p>
        </w:tc>
        <w:tc>
          <w:tcPr>
            <w:tcW w:w="704" w:type="dxa"/>
            <w:shd w:val="clear" w:color="auto" w:fill="FFFFFF"/>
            <w:tcMar>
              <w:top w:w="0" w:type="dxa"/>
              <w:left w:w="0" w:type="dxa"/>
              <w:bottom w:w="0" w:type="dxa"/>
              <w:right w:w="0" w:type="dxa"/>
            </w:tcMar>
            <w:vAlign w:val="center"/>
          </w:tcPr>
          <w:p w14:paraId="323B043B"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1.00</w:t>
            </w:r>
          </w:p>
        </w:tc>
        <w:tc>
          <w:tcPr>
            <w:tcW w:w="615" w:type="dxa"/>
            <w:shd w:val="clear" w:color="auto" w:fill="FFFFFF"/>
            <w:tcMar>
              <w:top w:w="0" w:type="dxa"/>
              <w:left w:w="0" w:type="dxa"/>
              <w:bottom w:w="0" w:type="dxa"/>
              <w:right w:w="0" w:type="dxa"/>
            </w:tcMar>
            <w:vAlign w:val="center"/>
          </w:tcPr>
          <w:p w14:paraId="1D1E2726"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0.00</w:t>
            </w:r>
          </w:p>
        </w:tc>
        <w:tc>
          <w:tcPr>
            <w:tcW w:w="927" w:type="dxa"/>
            <w:shd w:val="clear" w:color="auto" w:fill="FFFFFF"/>
            <w:tcMar>
              <w:top w:w="0" w:type="dxa"/>
              <w:left w:w="0" w:type="dxa"/>
              <w:bottom w:w="0" w:type="dxa"/>
              <w:right w:w="0" w:type="dxa"/>
            </w:tcMar>
            <w:vAlign w:val="center"/>
          </w:tcPr>
          <w:p w14:paraId="28D09CDF"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1.00</w:t>
            </w:r>
          </w:p>
        </w:tc>
        <w:tc>
          <w:tcPr>
            <w:tcW w:w="820" w:type="dxa"/>
            <w:shd w:val="clear" w:color="auto" w:fill="FFFFFF"/>
            <w:tcMar>
              <w:top w:w="0" w:type="dxa"/>
              <w:left w:w="0" w:type="dxa"/>
              <w:bottom w:w="0" w:type="dxa"/>
              <w:right w:w="0" w:type="dxa"/>
            </w:tcMar>
            <w:vAlign w:val="center"/>
          </w:tcPr>
          <w:p w14:paraId="661ED619"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842</w:t>
            </w:r>
          </w:p>
        </w:tc>
        <w:tc>
          <w:tcPr>
            <w:tcW w:w="935" w:type="dxa"/>
            <w:shd w:val="clear" w:color="auto" w:fill="FFFFFF"/>
            <w:tcMar>
              <w:top w:w="0" w:type="dxa"/>
              <w:left w:w="0" w:type="dxa"/>
              <w:bottom w:w="0" w:type="dxa"/>
              <w:right w:w="0" w:type="dxa"/>
            </w:tcMar>
            <w:vAlign w:val="center"/>
          </w:tcPr>
          <w:p w14:paraId="48087B09"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92</w:t>
            </w:r>
          </w:p>
        </w:tc>
      </w:tr>
      <w:tr w:rsidR="00A97DD2" w14:paraId="257E3845" w14:textId="77777777" w:rsidTr="009B1C8B">
        <w:trPr>
          <w:cantSplit/>
          <w:jc w:val="center"/>
        </w:trPr>
        <w:tc>
          <w:tcPr>
            <w:tcW w:w="1860" w:type="dxa"/>
            <w:shd w:val="clear" w:color="auto" w:fill="FFFFFF"/>
            <w:tcMar>
              <w:top w:w="0" w:type="dxa"/>
              <w:left w:w="0" w:type="dxa"/>
              <w:bottom w:w="0" w:type="dxa"/>
              <w:right w:w="0" w:type="dxa"/>
            </w:tcMar>
            <w:vAlign w:val="center"/>
          </w:tcPr>
          <w:p w14:paraId="23346779" w14:textId="77777777" w:rsidR="00A97DD2" w:rsidRDefault="00A97DD2" w:rsidP="009B1C8B">
            <w:pPr>
              <w:spacing w:before="60" w:after="60"/>
              <w:ind w:left="60" w:right="60"/>
            </w:pPr>
            <w:r>
              <w:rPr>
                <w:rFonts w:ascii="Times New Roman (Body)" w:eastAsia="Times New Roman (Body)" w:hAnsi="Times New Roman (Body)" w:cs="Times New Roman (Body)"/>
                <w:color w:val="000000"/>
                <w:sz w:val="16"/>
                <w:szCs w:val="16"/>
              </w:rPr>
              <w:t>Conventional War</w:t>
            </w:r>
          </w:p>
        </w:tc>
        <w:tc>
          <w:tcPr>
            <w:tcW w:w="793" w:type="dxa"/>
            <w:shd w:val="clear" w:color="auto" w:fill="FFFFFF"/>
            <w:tcMar>
              <w:top w:w="0" w:type="dxa"/>
              <w:left w:w="0" w:type="dxa"/>
              <w:bottom w:w="0" w:type="dxa"/>
              <w:right w:w="0" w:type="dxa"/>
            </w:tcMar>
            <w:vAlign w:val="center"/>
          </w:tcPr>
          <w:p w14:paraId="2C724FF2"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0.13</w:t>
            </w:r>
          </w:p>
        </w:tc>
        <w:tc>
          <w:tcPr>
            <w:tcW w:w="873" w:type="dxa"/>
            <w:shd w:val="clear" w:color="auto" w:fill="FFFFFF"/>
            <w:tcMar>
              <w:top w:w="0" w:type="dxa"/>
              <w:left w:w="0" w:type="dxa"/>
              <w:bottom w:w="0" w:type="dxa"/>
              <w:right w:w="0" w:type="dxa"/>
            </w:tcMar>
            <w:vAlign w:val="center"/>
          </w:tcPr>
          <w:p w14:paraId="3871B93A"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0.34</w:t>
            </w:r>
          </w:p>
        </w:tc>
        <w:tc>
          <w:tcPr>
            <w:tcW w:w="704" w:type="dxa"/>
            <w:shd w:val="clear" w:color="auto" w:fill="FFFFFF"/>
            <w:tcMar>
              <w:top w:w="0" w:type="dxa"/>
              <w:left w:w="0" w:type="dxa"/>
              <w:bottom w:w="0" w:type="dxa"/>
              <w:right w:w="0" w:type="dxa"/>
            </w:tcMar>
            <w:vAlign w:val="center"/>
          </w:tcPr>
          <w:p w14:paraId="7DDBB664"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0.00</w:t>
            </w:r>
          </w:p>
        </w:tc>
        <w:tc>
          <w:tcPr>
            <w:tcW w:w="829" w:type="dxa"/>
            <w:shd w:val="clear" w:color="auto" w:fill="FFFFFF"/>
            <w:tcMar>
              <w:top w:w="0" w:type="dxa"/>
              <w:left w:w="0" w:type="dxa"/>
              <w:bottom w:w="0" w:type="dxa"/>
              <w:right w:w="0" w:type="dxa"/>
            </w:tcMar>
            <w:vAlign w:val="center"/>
          </w:tcPr>
          <w:p w14:paraId="70F10FBD"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0.00</w:t>
            </w:r>
          </w:p>
        </w:tc>
        <w:tc>
          <w:tcPr>
            <w:tcW w:w="615" w:type="dxa"/>
            <w:shd w:val="clear" w:color="auto" w:fill="FFFFFF"/>
            <w:tcMar>
              <w:top w:w="0" w:type="dxa"/>
              <w:left w:w="0" w:type="dxa"/>
              <w:bottom w:w="0" w:type="dxa"/>
              <w:right w:w="0" w:type="dxa"/>
            </w:tcMar>
            <w:vAlign w:val="center"/>
          </w:tcPr>
          <w:p w14:paraId="6AF5B7C6"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0.0</w:t>
            </w:r>
          </w:p>
        </w:tc>
        <w:tc>
          <w:tcPr>
            <w:tcW w:w="704" w:type="dxa"/>
            <w:shd w:val="clear" w:color="auto" w:fill="FFFFFF"/>
            <w:tcMar>
              <w:top w:w="0" w:type="dxa"/>
              <w:left w:w="0" w:type="dxa"/>
              <w:bottom w:w="0" w:type="dxa"/>
              <w:right w:w="0" w:type="dxa"/>
            </w:tcMar>
            <w:vAlign w:val="center"/>
          </w:tcPr>
          <w:p w14:paraId="6F981958"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0.00</w:t>
            </w:r>
          </w:p>
        </w:tc>
        <w:tc>
          <w:tcPr>
            <w:tcW w:w="615" w:type="dxa"/>
            <w:shd w:val="clear" w:color="auto" w:fill="FFFFFF"/>
            <w:tcMar>
              <w:top w:w="0" w:type="dxa"/>
              <w:left w:w="0" w:type="dxa"/>
              <w:bottom w:w="0" w:type="dxa"/>
              <w:right w:w="0" w:type="dxa"/>
            </w:tcMar>
            <w:vAlign w:val="center"/>
          </w:tcPr>
          <w:p w14:paraId="39112CE5"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0.00</w:t>
            </w:r>
          </w:p>
        </w:tc>
        <w:tc>
          <w:tcPr>
            <w:tcW w:w="927" w:type="dxa"/>
            <w:shd w:val="clear" w:color="auto" w:fill="FFFFFF"/>
            <w:tcMar>
              <w:top w:w="0" w:type="dxa"/>
              <w:left w:w="0" w:type="dxa"/>
              <w:bottom w:w="0" w:type="dxa"/>
              <w:right w:w="0" w:type="dxa"/>
            </w:tcMar>
            <w:vAlign w:val="center"/>
          </w:tcPr>
          <w:p w14:paraId="62F424A2"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1.00</w:t>
            </w:r>
          </w:p>
        </w:tc>
        <w:tc>
          <w:tcPr>
            <w:tcW w:w="820" w:type="dxa"/>
            <w:shd w:val="clear" w:color="auto" w:fill="FFFFFF"/>
            <w:tcMar>
              <w:top w:w="0" w:type="dxa"/>
              <w:left w:w="0" w:type="dxa"/>
              <w:bottom w:w="0" w:type="dxa"/>
              <w:right w:w="0" w:type="dxa"/>
            </w:tcMar>
            <w:vAlign w:val="center"/>
          </w:tcPr>
          <w:p w14:paraId="4B2E33B7"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902</w:t>
            </w:r>
          </w:p>
        </w:tc>
        <w:tc>
          <w:tcPr>
            <w:tcW w:w="935" w:type="dxa"/>
            <w:shd w:val="clear" w:color="auto" w:fill="FFFFFF"/>
            <w:tcMar>
              <w:top w:w="0" w:type="dxa"/>
              <w:left w:w="0" w:type="dxa"/>
              <w:bottom w:w="0" w:type="dxa"/>
              <w:right w:w="0" w:type="dxa"/>
            </w:tcMar>
            <w:vAlign w:val="center"/>
          </w:tcPr>
          <w:p w14:paraId="4682DDA7"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99</w:t>
            </w:r>
          </w:p>
        </w:tc>
      </w:tr>
      <w:tr w:rsidR="00A97DD2" w14:paraId="7A92CFC4" w14:textId="77777777" w:rsidTr="009B1C8B">
        <w:trPr>
          <w:cantSplit/>
          <w:jc w:val="center"/>
        </w:trPr>
        <w:tc>
          <w:tcPr>
            <w:tcW w:w="1860" w:type="dxa"/>
            <w:shd w:val="clear" w:color="auto" w:fill="FFFFFF"/>
            <w:tcMar>
              <w:top w:w="0" w:type="dxa"/>
              <w:left w:w="0" w:type="dxa"/>
              <w:bottom w:w="0" w:type="dxa"/>
              <w:right w:w="0" w:type="dxa"/>
            </w:tcMar>
            <w:vAlign w:val="center"/>
          </w:tcPr>
          <w:p w14:paraId="7641786B" w14:textId="77777777" w:rsidR="00A97DD2" w:rsidRDefault="00A97DD2" w:rsidP="009B1C8B">
            <w:pPr>
              <w:spacing w:before="60" w:after="60"/>
              <w:ind w:left="60" w:right="60"/>
            </w:pPr>
            <w:r>
              <w:rPr>
                <w:rFonts w:ascii="Times New Roman (Body)" w:eastAsia="Times New Roman (Body)" w:hAnsi="Times New Roman (Body)" w:cs="Times New Roman (Body)"/>
                <w:color w:val="000000"/>
                <w:sz w:val="16"/>
                <w:szCs w:val="16"/>
              </w:rPr>
              <w:t>Ethnic Polarization</w:t>
            </w:r>
          </w:p>
        </w:tc>
        <w:tc>
          <w:tcPr>
            <w:tcW w:w="793" w:type="dxa"/>
            <w:shd w:val="clear" w:color="auto" w:fill="FFFFFF"/>
            <w:tcMar>
              <w:top w:w="0" w:type="dxa"/>
              <w:left w:w="0" w:type="dxa"/>
              <w:bottom w:w="0" w:type="dxa"/>
              <w:right w:w="0" w:type="dxa"/>
            </w:tcMar>
            <w:vAlign w:val="center"/>
          </w:tcPr>
          <w:p w14:paraId="48B59A68"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0.57</w:t>
            </w:r>
          </w:p>
        </w:tc>
        <w:tc>
          <w:tcPr>
            <w:tcW w:w="873" w:type="dxa"/>
            <w:shd w:val="clear" w:color="auto" w:fill="FFFFFF"/>
            <w:tcMar>
              <w:top w:w="0" w:type="dxa"/>
              <w:left w:w="0" w:type="dxa"/>
              <w:bottom w:w="0" w:type="dxa"/>
              <w:right w:w="0" w:type="dxa"/>
            </w:tcMar>
            <w:vAlign w:val="center"/>
          </w:tcPr>
          <w:p w14:paraId="79F1533B"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0.19</w:t>
            </w:r>
          </w:p>
        </w:tc>
        <w:tc>
          <w:tcPr>
            <w:tcW w:w="704" w:type="dxa"/>
            <w:shd w:val="clear" w:color="auto" w:fill="FFFFFF"/>
            <w:tcMar>
              <w:top w:w="0" w:type="dxa"/>
              <w:left w:w="0" w:type="dxa"/>
              <w:bottom w:w="0" w:type="dxa"/>
              <w:right w:w="0" w:type="dxa"/>
            </w:tcMar>
            <w:vAlign w:val="center"/>
          </w:tcPr>
          <w:p w14:paraId="3A12FB44"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0.39</w:t>
            </w:r>
          </w:p>
        </w:tc>
        <w:tc>
          <w:tcPr>
            <w:tcW w:w="829" w:type="dxa"/>
            <w:shd w:val="clear" w:color="auto" w:fill="FFFFFF"/>
            <w:tcMar>
              <w:top w:w="0" w:type="dxa"/>
              <w:left w:w="0" w:type="dxa"/>
              <w:bottom w:w="0" w:type="dxa"/>
              <w:right w:w="0" w:type="dxa"/>
            </w:tcMar>
            <w:vAlign w:val="center"/>
          </w:tcPr>
          <w:p w14:paraId="053E2ADC"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0.57</w:t>
            </w:r>
          </w:p>
        </w:tc>
        <w:tc>
          <w:tcPr>
            <w:tcW w:w="615" w:type="dxa"/>
            <w:shd w:val="clear" w:color="auto" w:fill="FFFFFF"/>
            <w:tcMar>
              <w:top w:w="0" w:type="dxa"/>
              <w:left w:w="0" w:type="dxa"/>
              <w:bottom w:w="0" w:type="dxa"/>
              <w:right w:w="0" w:type="dxa"/>
            </w:tcMar>
            <w:vAlign w:val="center"/>
          </w:tcPr>
          <w:p w14:paraId="3CFEF484"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0.7</w:t>
            </w:r>
          </w:p>
        </w:tc>
        <w:tc>
          <w:tcPr>
            <w:tcW w:w="704" w:type="dxa"/>
            <w:shd w:val="clear" w:color="auto" w:fill="FFFFFF"/>
            <w:tcMar>
              <w:top w:w="0" w:type="dxa"/>
              <w:left w:w="0" w:type="dxa"/>
              <w:bottom w:w="0" w:type="dxa"/>
              <w:right w:w="0" w:type="dxa"/>
            </w:tcMar>
            <w:vAlign w:val="center"/>
          </w:tcPr>
          <w:p w14:paraId="1BF74771"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0.31</w:t>
            </w:r>
          </w:p>
        </w:tc>
        <w:tc>
          <w:tcPr>
            <w:tcW w:w="615" w:type="dxa"/>
            <w:shd w:val="clear" w:color="auto" w:fill="FFFFFF"/>
            <w:tcMar>
              <w:top w:w="0" w:type="dxa"/>
              <w:left w:w="0" w:type="dxa"/>
              <w:bottom w:w="0" w:type="dxa"/>
              <w:right w:w="0" w:type="dxa"/>
            </w:tcMar>
            <w:vAlign w:val="center"/>
          </w:tcPr>
          <w:p w14:paraId="787C8B92"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0.02</w:t>
            </w:r>
          </w:p>
        </w:tc>
        <w:tc>
          <w:tcPr>
            <w:tcW w:w="927" w:type="dxa"/>
            <w:shd w:val="clear" w:color="auto" w:fill="FFFFFF"/>
            <w:tcMar>
              <w:top w:w="0" w:type="dxa"/>
              <w:left w:w="0" w:type="dxa"/>
              <w:bottom w:w="0" w:type="dxa"/>
              <w:right w:w="0" w:type="dxa"/>
            </w:tcMar>
            <w:vAlign w:val="center"/>
          </w:tcPr>
          <w:p w14:paraId="5D0351DB"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0.95</w:t>
            </w:r>
          </w:p>
        </w:tc>
        <w:tc>
          <w:tcPr>
            <w:tcW w:w="820" w:type="dxa"/>
            <w:shd w:val="clear" w:color="auto" w:fill="FFFFFF"/>
            <w:tcMar>
              <w:top w:w="0" w:type="dxa"/>
              <w:left w:w="0" w:type="dxa"/>
              <w:bottom w:w="0" w:type="dxa"/>
              <w:right w:w="0" w:type="dxa"/>
            </w:tcMar>
            <w:vAlign w:val="center"/>
          </w:tcPr>
          <w:p w14:paraId="63681519"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796</w:t>
            </w:r>
          </w:p>
        </w:tc>
        <w:tc>
          <w:tcPr>
            <w:tcW w:w="935" w:type="dxa"/>
            <w:shd w:val="clear" w:color="auto" w:fill="FFFFFF"/>
            <w:tcMar>
              <w:top w:w="0" w:type="dxa"/>
              <w:left w:w="0" w:type="dxa"/>
              <w:bottom w:w="0" w:type="dxa"/>
              <w:right w:w="0" w:type="dxa"/>
            </w:tcMar>
            <w:vAlign w:val="center"/>
          </w:tcPr>
          <w:p w14:paraId="2AFE586B"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87</w:t>
            </w:r>
          </w:p>
        </w:tc>
      </w:tr>
      <w:tr w:rsidR="00A97DD2" w14:paraId="122FECE6" w14:textId="77777777" w:rsidTr="009B1C8B">
        <w:trPr>
          <w:cantSplit/>
          <w:jc w:val="center"/>
        </w:trPr>
        <w:tc>
          <w:tcPr>
            <w:tcW w:w="1860" w:type="dxa"/>
            <w:shd w:val="clear" w:color="auto" w:fill="FFFFFF"/>
            <w:tcMar>
              <w:top w:w="0" w:type="dxa"/>
              <w:left w:w="0" w:type="dxa"/>
              <w:bottom w:w="0" w:type="dxa"/>
              <w:right w:w="0" w:type="dxa"/>
            </w:tcMar>
            <w:vAlign w:val="center"/>
          </w:tcPr>
          <w:p w14:paraId="6D399CAB" w14:textId="77777777" w:rsidR="00A97DD2" w:rsidRDefault="00A97DD2" w:rsidP="009B1C8B">
            <w:pPr>
              <w:spacing w:before="60" w:after="60"/>
              <w:ind w:left="60" w:right="60"/>
            </w:pPr>
            <w:r>
              <w:rPr>
                <w:rFonts w:ascii="Times New Roman (Body)" w:eastAsia="Times New Roman (Body)" w:hAnsi="Times New Roman (Body)" w:cs="Times New Roman (Body)"/>
                <w:color w:val="000000"/>
                <w:sz w:val="16"/>
                <w:szCs w:val="16"/>
              </w:rPr>
              <w:t>Exclusionary Ideology</w:t>
            </w:r>
          </w:p>
        </w:tc>
        <w:tc>
          <w:tcPr>
            <w:tcW w:w="793" w:type="dxa"/>
            <w:shd w:val="clear" w:color="auto" w:fill="FFFFFF"/>
            <w:tcMar>
              <w:top w:w="0" w:type="dxa"/>
              <w:left w:w="0" w:type="dxa"/>
              <w:bottom w:w="0" w:type="dxa"/>
              <w:right w:w="0" w:type="dxa"/>
            </w:tcMar>
            <w:vAlign w:val="center"/>
          </w:tcPr>
          <w:p w14:paraId="563C3FBC"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0.11</w:t>
            </w:r>
          </w:p>
        </w:tc>
        <w:tc>
          <w:tcPr>
            <w:tcW w:w="873" w:type="dxa"/>
            <w:shd w:val="clear" w:color="auto" w:fill="FFFFFF"/>
            <w:tcMar>
              <w:top w:w="0" w:type="dxa"/>
              <w:left w:w="0" w:type="dxa"/>
              <w:bottom w:w="0" w:type="dxa"/>
              <w:right w:w="0" w:type="dxa"/>
            </w:tcMar>
            <w:vAlign w:val="center"/>
          </w:tcPr>
          <w:p w14:paraId="6065F3A0"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0.32</w:t>
            </w:r>
          </w:p>
        </w:tc>
        <w:tc>
          <w:tcPr>
            <w:tcW w:w="704" w:type="dxa"/>
            <w:shd w:val="clear" w:color="auto" w:fill="FFFFFF"/>
            <w:tcMar>
              <w:top w:w="0" w:type="dxa"/>
              <w:left w:w="0" w:type="dxa"/>
              <w:bottom w:w="0" w:type="dxa"/>
              <w:right w:w="0" w:type="dxa"/>
            </w:tcMar>
            <w:vAlign w:val="center"/>
          </w:tcPr>
          <w:p w14:paraId="42402348"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0.00</w:t>
            </w:r>
          </w:p>
        </w:tc>
        <w:tc>
          <w:tcPr>
            <w:tcW w:w="829" w:type="dxa"/>
            <w:shd w:val="clear" w:color="auto" w:fill="FFFFFF"/>
            <w:tcMar>
              <w:top w:w="0" w:type="dxa"/>
              <w:left w:w="0" w:type="dxa"/>
              <w:bottom w:w="0" w:type="dxa"/>
              <w:right w:w="0" w:type="dxa"/>
            </w:tcMar>
            <w:vAlign w:val="center"/>
          </w:tcPr>
          <w:p w14:paraId="3196590C"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0.00</w:t>
            </w:r>
          </w:p>
        </w:tc>
        <w:tc>
          <w:tcPr>
            <w:tcW w:w="615" w:type="dxa"/>
            <w:shd w:val="clear" w:color="auto" w:fill="FFFFFF"/>
            <w:tcMar>
              <w:top w:w="0" w:type="dxa"/>
              <w:left w:w="0" w:type="dxa"/>
              <w:bottom w:w="0" w:type="dxa"/>
              <w:right w:w="0" w:type="dxa"/>
            </w:tcMar>
            <w:vAlign w:val="center"/>
          </w:tcPr>
          <w:p w14:paraId="6FE2FDAB"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0.0</w:t>
            </w:r>
          </w:p>
        </w:tc>
        <w:tc>
          <w:tcPr>
            <w:tcW w:w="704" w:type="dxa"/>
            <w:shd w:val="clear" w:color="auto" w:fill="FFFFFF"/>
            <w:tcMar>
              <w:top w:w="0" w:type="dxa"/>
              <w:left w:w="0" w:type="dxa"/>
              <w:bottom w:w="0" w:type="dxa"/>
              <w:right w:w="0" w:type="dxa"/>
            </w:tcMar>
            <w:vAlign w:val="center"/>
          </w:tcPr>
          <w:p w14:paraId="722A80EE"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0.00</w:t>
            </w:r>
          </w:p>
        </w:tc>
        <w:tc>
          <w:tcPr>
            <w:tcW w:w="615" w:type="dxa"/>
            <w:shd w:val="clear" w:color="auto" w:fill="FFFFFF"/>
            <w:tcMar>
              <w:top w:w="0" w:type="dxa"/>
              <w:left w:w="0" w:type="dxa"/>
              <w:bottom w:w="0" w:type="dxa"/>
              <w:right w:w="0" w:type="dxa"/>
            </w:tcMar>
            <w:vAlign w:val="center"/>
          </w:tcPr>
          <w:p w14:paraId="63A11562"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0.00</w:t>
            </w:r>
          </w:p>
        </w:tc>
        <w:tc>
          <w:tcPr>
            <w:tcW w:w="927" w:type="dxa"/>
            <w:shd w:val="clear" w:color="auto" w:fill="FFFFFF"/>
            <w:tcMar>
              <w:top w:w="0" w:type="dxa"/>
              <w:left w:w="0" w:type="dxa"/>
              <w:bottom w:w="0" w:type="dxa"/>
              <w:right w:w="0" w:type="dxa"/>
            </w:tcMar>
            <w:vAlign w:val="center"/>
          </w:tcPr>
          <w:p w14:paraId="35BE323C"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1.00</w:t>
            </w:r>
          </w:p>
        </w:tc>
        <w:tc>
          <w:tcPr>
            <w:tcW w:w="820" w:type="dxa"/>
            <w:shd w:val="clear" w:color="auto" w:fill="FFFFFF"/>
            <w:tcMar>
              <w:top w:w="0" w:type="dxa"/>
              <w:left w:w="0" w:type="dxa"/>
              <w:bottom w:w="0" w:type="dxa"/>
              <w:right w:w="0" w:type="dxa"/>
            </w:tcMar>
            <w:vAlign w:val="center"/>
          </w:tcPr>
          <w:p w14:paraId="5C99F545"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913</w:t>
            </w:r>
          </w:p>
        </w:tc>
        <w:tc>
          <w:tcPr>
            <w:tcW w:w="935" w:type="dxa"/>
            <w:shd w:val="clear" w:color="auto" w:fill="FFFFFF"/>
            <w:tcMar>
              <w:top w:w="0" w:type="dxa"/>
              <w:left w:w="0" w:type="dxa"/>
              <w:bottom w:w="0" w:type="dxa"/>
              <w:right w:w="0" w:type="dxa"/>
            </w:tcMar>
            <w:vAlign w:val="center"/>
          </w:tcPr>
          <w:p w14:paraId="1963513A"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100</w:t>
            </w:r>
          </w:p>
        </w:tc>
      </w:tr>
      <w:tr w:rsidR="00A97DD2" w14:paraId="3EF14978" w14:textId="77777777" w:rsidTr="009B1C8B">
        <w:trPr>
          <w:cantSplit/>
          <w:jc w:val="center"/>
        </w:trPr>
        <w:tc>
          <w:tcPr>
            <w:tcW w:w="1860" w:type="dxa"/>
            <w:shd w:val="clear" w:color="auto" w:fill="FFFFFF"/>
            <w:tcMar>
              <w:top w:w="0" w:type="dxa"/>
              <w:left w:w="0" w:type="dxa"/>
              <w:bottom w:w="0" w:type="dxa"/>
              <w:right w:w="0" w:type="dxa"/>
            </w:tcMar>
            <w:vAlign w:val="center"/>
          </w:tcPr>
          <w:p w14:paraId="539FEA54" w14:textId="77777777" w:rsidR="00A97DD2" w:rsidRDefault="00A97DD2" w:rsidP="009B1C8B">
            <w:pPr>
              <w:spacing w:before="60" w:after="60"/>
              <w:ind w:left="60" w:right="60"/>
            </w:pPr>
            <w:r>
              <w:rPr>
                <w:rFonts w:ascii="Times New Roman (Body)" w:eastAsia="Times New Roman (Body)" w:hAnsi="Times New Roman (Body)" w:cs="Times New Roman (Body)"/>
                <w:color w:val="000000"/>
                <w:sz w:val="16"/>
                <w:szCs w:val="16"/>
              </w:rPr>
              <w:t>Democracy</w:t>
            </w:r>
          </w:p>
        </w:tc>
        <w:tc>
          <w:tcPr>
            <w:tcW w:w="793" w:type="dxa"/>
            <w:shd w:val="clear" w:color="auto" w:fill="FFFFFF"/>
            <w:tcMar>
              <w:top w:w="0" w:type="dxa"/>
              <w:left w:w="0" w:type="dxa"/>
              <w:bottom w:w="0" w:type="dxa"/>
              <w:right w:w="0" w:type="dxa"/>
            </w:tcMar>
            <w:vAlign w:val="center"/>
          </w:tcPr>
          <w:p w14:paraId="38ED69E3"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0.40</w:t>
            </w:r>
          </w:p>
        </w:tc>
        <w:tc>
          <w:tcPr>
            <w:tcW w:w="873" w:type="dxa"/>
            <w:shd w:val="clear" w:color="auto" w:fill="FFFFFF"/>
            <w:tcMar>
              <w:top w:w="0" w:type="dxa"/>
              <w:left w:w="0" w:type="dxa"/>
              <w:bottom w:w="0" w:type="dxa"/>
              <w:right w:w="0" w:type="dxa"/>
            </w:tcMar>
            <w:vAlign w:val="center"/>
          </w:tcPr>
          <w:p w14:paraId="07040D59"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0.49</w:t>
            </w:r>
          </w:p>
        </w:tc>
        <w:tc>
          <w:tcPr>
            <w:tcW w:w="704" w:type="dxa"/>
            <w:shd w:val="clear" w:color="auto" w:fill="FFFFFF"/>
            <w:tcMar>
              <w:top w:w="0" w:type="dxa"/>
              <w:left w:w="0" w:type="dxa"/>
              <w:bottom w:w="0" w:type="dxa"/>
              <w:right w:w="0" w:type="dxa"/>
            </w:tcMar>
            <w:vAlign w:val="center"/>
          </w:tcPr>
          <w:p w14:paraId="4180C7AE"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0.00</w:t>
            </w:r>
          </w:p>
        </w:tc>
        <w:tc>
          <w:tcPr>
            <w:tcW w:w="829" w:type="dxa"/>
            <w:shd w:val="clear" w:color="auto" w:fill="FFFFFF"/>
            <w:tcMar>
              <w:top w:w="0" w:type="dxa"/>
              <w:left w:w="0" w:type="dxa"/>
              <w:bottom w:w="0" w:type="dxa"/>
              <w:right w:w="0" w:type="dxa"/>
            </w:tcMar>
            <w:vAlign w:val="center"/>
          </w:tcPr>
          <w:p w14:paraId="04792878"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0.00</w:t>
            </w:r>
          </w:p>
        </w:tc>
        <w:tc>
          <w:tcPr>
            <w:tcW w:w="615" w:type="dxa"/>
            <w:shd w:val="clear" w:color="auto" w:fill="FFFFFF"/>
            <w:tcMar>
              <w:top w:w="0" w:type="dxa"/>
              <w:left w:w="0" w:type="dxa"/>
              <w:bottom w:w="0" w:type="dxa"/>
              <w:right w:w="0" w:type="dxa"/>
            </w:tcMar>
            <w:vAlign w:val="center"/>
          </w:tcPr>
          <w:p w14:paraId="3712374C"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1.0</w:t>
            </w:r>
          </w:p>
        </w:tc>
        <w:tc>
          <w:tcPr>
            <w:tcW w:w="704" w:type="dxa"/>
            <w:shd w:val="clear" w:color="auto" w:fill="FFFFFF"/>
            <w:tcMar>
              <w:top w:w="0" w:type="dxa"/>
              <w:left w:w="0" w:type="dxa"/>
              <w:bottom w:w="0" w:type="dxa"/>
              <w:right w:w="0" w:type="dxa"/>
            </w:tcMar>
            <w:vAlign w:val="center"/>
          </w:tcPr>
          <w:p w14:paraId="50E01ED2"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1.00</w:t>
            </w:r>
          </w:p>
        </w:tc>
        <w:tc>
          <w:tcPr>
            <w:tcW w:w="615" w:type="dxa"/>
            <w:shd w:val="clear" w:color="auto" w:fill="FFFFFF"/>
            <w:tcMar>
              <w:top w:w="0" w:type="dxa"/>
              <w:left w:w="0" w:type="dxa"/>
              <w:bottom w:w="0" w:type="dxa"/>
              <w:right w:w="0" w:type="dxa"/>
            </w:tcMar>
            <w:vAlign w:val="center"/>
          </w:tcPr>
          <w:p w14:paraId="410B51AE"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0.00</w:t>
            </w:r>
          </w:p>
        </w:tc>
        <w:tc>
          <w:tcPr>
            <w:tcW w:w="927" w:type="dxa"/>
            <w:shd w:val="clear" w:color="auto" w:fill="FFFFFF"/>
            <w:tcMar>
              <w:top w:w="0" w:type="dxa"/>
              <w:left w:w="0" w:type="dxa"/>
              <w:bottom w:w="0" w:type="dxa"/>
              <w:right w:w="0" w:type="dxa"/>
            </w:tcMar>
            <w:vAlign w:val="center"/>
          </w:tcPr>
          <w:p w14:paraId="6A494F8F"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1.00</w:t>
            </w:r>
          </w:p>
        </w:tc>
        <w:tc>
          <w:tcPr>
            <w:tcW w:w="820" w:type="dxa"/>
            <w:shd w:val="clear" w:color="auto" w:fill="FFFFFF"/>
            <w:tcMar>
              <w:top w:w="0" w:type="dxa"/>
              <w:left w:w="0" w:type="dxa"/>
              <w:bottom w:w="0" w:type="dxa"/>
              <w:right w:w="0" w:type="dxa"/>
            </w:tcMar>
            <w:vAlign w:val="center"/>
          </w:tcPr>
          <w:p w14:paraId="197E0881"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837</w:t>
            </w:r>
          </w:p>
        </w:tc>
        <w:tc>
          <w:tcPr>
            <w:tcW w:w="935" w:type="dxa"/>
            <w:shd w:val="clear" w:color="auto" w:fill="FFFFFF"/>
            <w:tcMar>
              <w:top w:w="0" w:type="dxa"/>
              <w:left w:w="0" w:type="dxa"/>
              <w:bottom w:w="0" w:type="dxa"/>
              <w:right w:w="0" w:type="dxa"/>
            </w:tcMar>
            <w:vAlign w:val="center"/>
          </w:tcPr>
          <w:p w14:paraId="1318F164"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92</w:t>
            </w:r>
          </w:p>
        </w:tc>
      </w:tr>
      <w:tr w:rsidR="00A97DD2" w14:paraId="4ED356A2" w14:textId="77777777" w:rsidTr="009B1C8B">
        <w:trPr>
          <w:cantSplit/>
          <w:jc w:val="center"/>
        </w:trPr>
        <w:tc>
          <w:tcPr>
            <w:tcW w:w="1860" w:type="dxa"/>
            <w:shd w:val="clear" w:color="auto" w:fill="FFFFFF"/>
            <w:tcMar>
              <w:top w:w="0" w:type="dxa"/>
              <w:left w:w="0" w:type="dxa"/>
              <w:bottom w:w="0" w:type="dxa"/>
              <w:right w:w="0" w:type="dxa"/>
            </w:tcMar>
            <w:vAlign w:val="center"/>
          </w:tcPr>
          <w:p w14:paraId="499C46A7" w14:textId="77777777" w:rsidR="00A97DD2" w:rsidRDefault="00A97DD2" w:rsidP="009B1C8B">
            <w:pPr>
              <w:spacing w:before="60" w:after="60"/>
              <w:ind w:left="60" w:right="60"/>
            </w:pPr>
            <w:r>
              <w:rPr>
                <w:rFonts w:ascii="Times New Roman (Body)" w:eastAsia="Times New Roman (Body)" w:hAnsi="Times New Roman (Body)" w:cs="Times New Roman (Body)"/>
                <w:color w:val="000000"/>
                <w:sz w:val="16"/>
                <w:szCs w:val="16"/>
              </w:rPr>
              <w:t>Conflict intensity</w:t>
            </w:r>
          </w:p>
        </w:tc>
        <w:tc>
          <w:tcPr>
            <w:tcW w:w="793" w:type="dxa"/>
            <w:shd w:val="clear" w:color="auto" w:fill="FFFFFF"/>
            <w:tcMar>
              <w:top w:w="0" w:type="dxa"/>
              <w:left w:w="0" w:type="dxa"/>
              <w:bottom w:w="0" w:type="dxa"/>
              <w:right w:w="0" w:type="dxa"/>
            </w:tcMar>
            <w:vAlign w:val="center"/>
          </w:tcPr>
          <w:p w14:paraId="0B4F4824"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1.37</w:t>
            </w:r>
          </w:p>
        </w:tc>
        <w:tc>
          <w:tcPr>
            <w:tcW w:w="873" w:type="dxa"/>
            <w:shd w:val="clear" w:color="auto" w:fill="FFFFFF"/>
            <w:tcMar>
              <w:top w:w="0" w:type="dxa"/>
              <w:left w:w="0" w:type="dxa"/>
              <w:bottom w:w="0" w:type="dxa"/>
              <w:right w:w="0" w:type="dxa"/>
            </w:tcMar>
            <w:vAlign w:val="center"/>
          </w:tcPr>
          <w:p w14:paraId="7B8F4DE3"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0.48</w:t>
            </w:r>
          </w:p>
        </w:tc>
        <w:tc>
          <w:tcPr>
            <w:tcW w:w="704" w:type="dxa"/>
            <w:shd w:val="clear" w:color="auto" w:fill="FFFFFF"/>
            <w:tcMar>
              <w:top w:w="0" w:type="dxa"/>
              <w:left w:w="0" w:type="dxa"/>
              <w:bottom w:w="0" w:type="dxa"/>
              <w:right w:w="0" w:type="dxa"/>
            </w:tcMar>
            <w:vAlign w:val="center"/>
          </w:tcPr>
          <w:p w14:paraId="43AC023D"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1.00</w:t>
            </w:r>
          </w:p>
        </w:tc>
        <w:tc>
          <w:tcPr>
            <w:tcW w:w="829" w:type="dxa"/>
            <w:shd w:val="clear" w:color="auto" w:fill="FFFFFF"/>
            <w:tcMar>
              <w:top w:w="0" w:type="dxa"/>
              <w:left w:w="0" w:type="dxa"/>
              <w:bottom w:w="0" w:type="dxa"/>
              <w:right w:w="0" w:type="dxa"/>
            </w:tcMar>
            <w:vAlign w:val="center"/>
          </w:tcPr>
          <w:p w14:paraId="38DEB2E8"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1.00</w:t>
            </w:r>
          </w:p>
        </w:tc>
        <w:tc>
          <w:tcPr>
            <w:tcW w:w="615" w:type="dxa"/>
            <w:shd w:val="clear" w:color="auto" w:fill="FFFFFF"/>
            <w:tcMar>
              <w:top w:w="0" w:type="dxa"/>
              <w:left w:w="0" w:type="dxa"/>
              <w:bottom w:w="0" w:type="dxa"/>
              <w:right w:w="0" w:type="dxa"/>
            </w:tcMar>
            <w:vAlign w:val="center"/>
          </w:tcPr>
          <w:p w14:paraId="52823277"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2.0</w:t>
            </w:r>
          </w:p>
        </w:tc>
        <w:tc>
          <w:tcPr>
            <w:tcW w:w="704" w:type="dxa"/>
            <w:shd w:val="clear" w:color="auto" w:fill="FFFFFF"/>
            <w:tcMar>
              <w:top w:w="0" w:type="dxa"/>
              <w:left w:w="0" w:type="dxa"/>
              <w:bottom w:w="0" w:type="dxa"/>
              <w:right w:w="0" w:type="dxa"/>
            </w:tcMar>
            <w:vAlign w:val="center"/>
          </w:tcPr>
          <w:p w14:paraId="67D6E44E"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1.00</w:t>
            </w:r>
          </w:p>
        </w:tc>
        <w:tc>
          <w:tcPr>
            <w:tcW w:w="615" w:type="dxa"/>
            <w:shd w:val="clear" w:color="auto" w:fill="FFFFFF"/>
            <w:tcMar>
              <w:top w:w="0" w:type="dxa"/>
              <w:left w:w="0" w:type="dxa"/>
              <w:bottom w:w="0" w:type="dxa"/>
              <w:right w:w="0" w:type="dxa"/>
            </w:tcMar>
            <w:vAlign w:val="center"/>
          </w:tcPr>
          <w:p w14:paraId="3A0185D0"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1.00</w:t>
            </w:r>
          </w:p>
        </w:tc>
        <w:tc>
          <w:tcPr>
            <w:tcW w:w="927" w:type="dxa"/>
            <w:shd w:val="clear" w:color="auto" w:fill="FFFFFF"/>
            <w:tcMar>
              <w:top w:w="0" w:type="dxa"/>
              <w:left w:w="0" w:type="dxa"/>
              <w:bottom w:w="0" w:type="dxa"/>
              <w:right w:w="0" w:type="dxa"/>
            </w:tcMar>
            <w:vAlign w:val="center"/>
          </w:tcPr>
          <w:p w14:paraId="6777519B"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2.00</w:t>
            </w:r>
          </w:p>
        </w:tc>
        <w:tc>
          <w:tcPr>
            <w:tcW w:w="820" w:type="dxa"/>
            <w:shd w:val="clear" w:color="auto" w:fill="FFFFFF"/>
            <w:tcMar>
              <w:top w:w="0" w:type="dxa"/>
              <w:left w:w="0" w:type="dxa"/>
              <w:bottom w:w="0" w:type="dxa"/>
              <w:right w:w="0" w:type="dxa"/>
            </w:tcMar>
            <w:vAlign w:val="center"/>
          </w:tcPr>
          <w:p w14:paraId="6782875D"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913</w:t>
            </w:r>
          </w:p>
        </w:tc>
        <w:tc>
          <w:tcPr>
            <w:tcW w:w="935" w:type="dxa"/>
            <w:shd w:val="clear" w:color="auto" w:fill="FFFFFF"/>
            <w:tcMar>
              <w:top w:w="0" w:type="dxa"/>
              <w:left w:w="0" w:type="dxa"/>
              <w:bottom w:w="0" w:type="dxa"/>
              <w:right w:w="0" w:type="dxa"/>
            </w:tcMar>
            <w:vAlign w:val="center"/>
          </w:tcPr>
          <w:p w14:paraId="158FF5BF"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100</w:t>
            </w:r>
          </w:p>
        </w:tc>
      </w:tr>
      <w:tr w:rsidR="00A97DD2" w14:paraId="61092C6C" w14:textId="77777777" w:rsidTr="009B1C8B">
        <w:trPr>
          <w:cantSplit/>
          <w:jc w:val="center"/>
        </w:trPr>
        <w:tc>
          <w:tcPr>
            <w:tcW w:w="1860" w:type="dxa"/>
            <w:shd w:val="clear" w:color="auto" w:fill="FFFFFF"/>
            <w:tcMar>
              <w:top w:w="0" w:type="dxa"/>
              <w:left w:w="0" w:type="dxa"/>
              <w:bottom w:w="0" w:type="dxa"/>
              <w:right w:w="0" w:type="dxa"/>
            </w:tcMar>
            <w:vAlign w:val="center"/>
          </w:tcPr>
          <w:p w14:paraId="1CAF722D" w14:textId="77777777" w:rsidR="00A97DD2" w:rsidRDefault="00A97DD2" w:rsidP="009B1C8B">
            <w:pPr>
              <w:spacing w:before="60" w:after="60"/>
              <w:ind w:left="60" w:right="60"/>
            </w:pPr>
            <w:r>
              <w:rPr>
                <w:rFonts w:ascii="Times New Roman (Body)" w:eastAsia="Times New Roman (Body)" w:hAnsi="Times New Roman (Body)" w:cs="Times New Roman (Body)"/>
                <w:color w:val="000000"/>
                <w:sz w:val="16"/>
                <w:szCs w:val="16"/>
              </w:rPr>
              <w:t>Guerrilla Warfare</w:t>
            </w:r>
          </w:p>
        </w:tc>
        <w:tc>
          <w:tcPr>
            <w:tcW w:w="793" w:type="dxa"/>
            <w:shd w:val="clear" w:color="auto" w:fill="FFFFFF"/>
            <w:tcMar>
              <w:top w:w="0" w:type="dxa"/>
              <w:left w:w="0" w:type="dxa"/>
              <w:bottom w:w="0" w:type="dxa"/>
              <w:right w:w="0" w:type="dxa"/>
            </w:tcMar>
            <w:vAlign w:val="center"/>
          </w:tcPr>
          <w:p w14:paraId="11BBDC5A"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0.84</w:t>
            </w:r>
          </w:p>
        </w:tc>
        <w:tc>
          <w:tcPr>
            <w:tcW w:w="873" w:type="dxa"/>
            <w:shd w:val="clear" w:color="auto" w:fill="FFFFFF"/>
            <w:tcMar>
              <w:top w:w="0" w:type="dxa"/>
              <w:left w:w="0" w:type="dxa"/>
              <w:bottom w:w="0" w:type="dxa"/>
              <w:right w:w="0" w:type="dxa"/>
            </w:tcMar>
            <w:vAlign w:val="center"/>
          </w:tcPr>
          <w:p w14:paraId="6F011E6B"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0.37</w:t>
            </w:r>
          </w:p>
        </w:tc>
        <w:tc>
          <w:tcPr>
            <w:tcW w:w="704" w:type="dxa"/>
            <w:shd w:val="clear" w:color="auto" w:fill="FFFFFF"/>
            <w:tcMar>
              <w:top w:w="0" w:type="dxa"/>
              <w:left w:w="0" w:type="dxa"/>
              <w:bottom w:w="0" w:type="dxa"/>
              <w:right w:w="0" w:type="dxa"/>
            </w:tcMar>
            <w:vAlign w:val="center"/>
          </w:tcPr>
          <w:p w14:paraId="18F8D1C7"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1.00</w:t>
            </w:r>
          </w:p>
        </w:tc>
        <w:tc>
          <w:tcPr>
            <w:tcW w:w="829" w:type="dxa"/>
            <w:shd w:val="clear" w:color="auto" w:fill="FFFFFF"/>
            <w:tcMar>
              <w:top w:w="0" w:type="dxa"/>
              <w:left w:w="0" w:type="dxa"/>
              <w:bottom w:w="0" w:type="dxa"/>
              <w:right w:w="0" w:type="dxa"/>
            </w:tcMar>
            <w:vAlign w:val="center"/>
          </w:tcPr>
          <w:p w14:paraId="1C949025"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1.00</w:t>
            </w:r>
          </w:p>
        </w:tc>
        <w:tc>
          <w:tcPr>
            <w:tcW w:w="615" w:type="dxa"/>
            <w:shd w:val="clear" w:color="auto" w:fill="FFFFFF"/>
            <w:tcMar>
              <w:top w:w="0" w:type="dxa"/>
              <w:left w:w="0" w:type="dxa"/>
              <w:bottom w:w="0" w:type="dxa"/>
              <w:right w:w="0" w:type="dxa"/>
            </w:tcMar>
            <w:vAlign w:val="center"/>
          </w:tcPr>
          <w:p w14:paraId="0A6A8E8C"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1.0</w:t>
            </w:r>
          </w:p>
        </w:tc>
        <w:tc>
          <w:tcPr>
            <w:tcW w:w="704" w:type="dxa"/>
            <w:shd w:val="clear" w:color="auto" w:fill="FFFFFF"/>
            <w:tcMar>
              <w:top w:w="0" w:type="dxa"/>
              <w:left w:w="0" w:type="dxa"/>
              <w:bottom w:w="0" w:type="dxa"/>
              <w:right w:w="0" w:type="dxa"/>
            </w:tcMar>
            <w:vAlign w:val="center"/>
          </w:tcPr>
          <w:p w14:paraId="34EB3FB1"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0.00</w:t>
            </w:r>
          </w:p>
        </w:tc>
        <w:tc>
          <w:tcPr>
            <w:tcW w:w="615" w:type="dxa"/>
            <w:shd w:val="clear" w:color="auto" w:fill="FFFFFF"/>
            <w:tcMar>
              <w:top w:w="0" w:type="dxa"/>
              <w:left w:w="0" w:type="dxa"/>
              <w:bottom w:w="0" w:type="dxa"/>
              <w:right w:w="0" w:type="dxa"/>
            </w:tcMar>
            <w:vAlign w:val="center"/>
          </w:tcPr>
          <w:p w14:paraId="3FF730EF"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0.00</w:t>
            </w:r>
          </w:p>
        </w:tc>
        <w:tc>
          <w:tcPr>
            <w:tcW w:w="927" w:type="dxa"/>
            <w:shd w:val="clear" w:color="auto" w:fill="FFFFFF"/>
            <w:tcMar>
              <w:top w:w="0" w:type="dxa"/>
              <w:left w:w="0" w:type="dxa"/>
              <w:bottom w:w="0" w:type="dxa"/>
              <w:right w:w="0" w:type="dxa"/>
            </w:tcMar>
            <w:vAlign w:val="center"/>
          </w:tcPr>
          <w:p w14:paraId="091D0D2E"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1.00</w:t>
            </w:r>
          </w:p>
        </w:tc>
        <w:tc>
          <w:tcPr>
            <w:tcW w:w="820" w:type="dxa"/>
            <w:shd w:val="clear" w:color="auto" w:fill="FFFFFF"/>
            <w:tcMar>
              <w:top w:w="0" w:type="dxa"/>
              <w:left w:w="0" w:type="dxa"/>
              <w:bottom w:w="0" w:type="dxa"/>
              <w:right w:w="0" w:type="dxa"/>
            </w:tcMar>
            <w:vAlign w:val="center"/>
          </w:tcPr>
          <w:p w14:paraId="3A8F54B5"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902</w:t>
            </w:r>
          </w:p>
        </w:tc>
        <w:tc>
          <w:tcPr>
            <w:tcW w:w="935" w:type="dxa"/>
            <w:shd w:val="clear" w:color="auto" w:fill="FFFFFF"/>
            <w:tcMar>
              <w:top w:w="0" w:type="dxa"/>
              <w:left w:w="0" w:type="dxa"/>
              <w:bottom w:w="0" w:type="dxa"/>
              <w:right w:w="0" w:type="dxa"/>
            </w:tcMar>
            <w:vAlign w:val="center"/>
          </w:tcPr>
          <w:p w14:paraId="27B18A08"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99</w:t>
            </w:r>
          </w:p>
        </w:tc>
      </w:tr>
      <w:tr w:rsidR="00A97DD2" w14:paraId="33ECB75E" w14:textId="77777777" w:rsidTr="009B1C8B">
        <w:trPr>
          <w:cantSplit/>
          <w:jc w:val="center"/>
        </w:trPr>
        <w:tc>
          <w:tcPr>
            <w:tcW w:w="1860" w:type="dxa"/>
            <w:shd w:val="clear" w:color="auto" w:fill="FFFFFF"/>
            <w:tcMar>
              <w:top w:w="0" w:type="dxa"/>
              <w:left w:w="0" w:type="dxa"/>
              <w:bottom w:w="0" w:type="dxa"/>
              <w:right w:w="0" w:type="dxa"/>
            </w:tcMar>
            <w:vAlign w:val="center"/>
          </w:tcPr>
          <w:p w14:paraId="37FA0B12" w14:textId="77777777" w:rsidR="00A97DD2" w:rsidRDefault="00A97DD2" w:rsidP="009B1C8B">
            <w:pPr>
              <w:spacing w:before="60" w:after="60"/>
              <w:ind w:left="60" w:right="60"/>
            </w:pPr>
            <w:r>
              <w:rPr>
                <w:rFonts w:ascii="Times New Roman (Body)" w:eastAsia="Times New Roman (Body)" w:hAnsi="Times New Roman (Body)" w:cs="Times New Roman (Body)"/>
                <w:color w:val="000000"/>
                <w:sz w:val="16"/>
                <w:szCs w:val="16"/>
              </w:rPr>
              <w:t>New State Status</w:t>
            </w:r>
          </w:p>
        </w:tc>
        <w:tc>
          <w:tcPr>
            <w:tcW w:w="793" w:type="dxa"/>
            <w:shd w:val="clear" w:color="auto" w:fill="FFFFFF"/>
            <w:tcMar>
              <w:top w:w="0" w:type="dxa"/>
              <w:left w:w="0" w:type="dxa"/>
              <w:bottom w:w="0" w:type="dxa"/>
              <w:right w:w="0" w:type="dxa"/>
            </w:tcMar>
            <w:vAlign w:val="center"/>
          </w:tcPr>
          <w:p w14:paraId="0E87713B"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0.05</w:t>
            </w:r>
          </w:p>
        </w:tc>
        <w:tc>
          <w:tcPr>
            <w:tcW w:w="873" w:type="dxa"/>
            <w:shd w:val="clear" w:color="auto" w:fill="FFFFFF"/>
            <w:tcMar>
              <w:top w:w="0" w:type="dxa"/>
              <w:left w:w="0" w:type="dxa"/>
              <w:bottom w:w="0" w:type="dxa"/>
              <w:right w:w="0" w:type="dxa"/>
            </w:tcMar>
            <w:vAlign w:val="center"/>
          </w:tcPr>
          <w:p w14:paraId="7D0FA70B"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0.23</w:t>
            </w:r>
          </w:p>
        </w:tc>
        <w:tc>
          <w:tcPr>
            <w:tcW w:w="704" w:type="dxa"/>
            <w:shd w:val="clear" w:color="auto" w:fill="FFFFFF"/>
            <w:tcMar>
              <w:top w:w="0" w:type="dxa"/>
              <w:left w:w="0" w:type="dxa"/>
              <w:bottom w:w="0" w:type="dxa"/>
              <w:right w:w="0" w:type="dxa"/>
            </w:tcMar>
            <w:vAlign w:val="center"/>
          </w:tcPr>
          <w:p w14:paraId="5C883D31"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0.00</w:t>
            </w:r>
          </w:p>
        </w:tc>
        <w:tc>
          <w:tcPr>
            <w:tcW w:w="829" w:type="dxa"/>
            <w:shd w:val="clear" w:color="auto" w:fill="FFFFFF"/>
            <w:tcMar>
              <w:top w:w="0" w:type="dxa"/>
              <w:left w:w="0" w:type="dxa"/>
              <w:bottom w:w="0" w:type="dxa"/>
              <w:right w:w="0" w:type="dxa"/>
            </w:tcMar>
            <w:vAlign w:val="center"/>
          </w:tcPr>
          <w:p w14:paraId="71A065BA"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0.00</w:t>
            </w:r>
          </w:p>
        </w:tc>
        <w:tc>
          <w:tcPr>
            <w:tcW w:w="615" w:type="dxa"/>
            <w:shd w:val="clear" w:color="auto" w:fill="FFFFFF"/>
            <w:tcMar>
              <w:top w:w="0" w:type="dxa"/>
              <w:left w:w="0" w:type="dxa"/>
              <w:bottom w:w="0" w:type="dxa"/>
              <w:right w:w="0" w:type="dxa"/>
            </w:tcMar>
            <w:vAlign w:val="center"/>
          </w:tcPr>
          <w:p w14:paraId="316B841C"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0.0</w:t>
            </w:r>
          </w:p>
        </w:tc>
        <w:tc>
          <w:tcPr>
            <w:tcW w:w="704" w:type="dxa"/>
            <w:shd w:val="clear" w:color="auto" w:fill="FFFFFF"/>
            <w:tcMar>
              <w:top w:w="0" w:type="dxa"/>
              <w:left w:w="0" w:type="dxa"/>
              <w:bottom w:w="0" w:type="dxa"/>
              <w:right w:w="0" w:type="dxa"/>
            </w:tcMar>
            <w:vAlign w:val="center"/>
          </w:tcPr>
          <w:p w14:paraId="04B8039D"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0.00</w:t>
            </w:r>
          </w:p>
        </w:tc>
        <w:tc>
          <w:tcPr>
            <w:tcW w:w="615" w:type="dxa"/>
            <w:shd w:val="clear" w:color="auto" w:fill="FFFFFF"/>
            <w:tcMar>
              <w:top w:w="0" w:type="dxa"/>
              <w:left w:w="0" w:type="dxa"/>
              <w:bottom w:w="0" w:type="dxa"/>
              <w:right w:w="0" w:type="dxa"/>
            </w:tcMar>
            <w:vAlign w:val="center"/>
          </w:tcPr>
          <w:p w14:paraId="226F3E8E"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0.00</w:t>
            </w:r>
          </w:p>
        </w:tc>
        <w:tc>
          <w:tcPr>
            <w:tcW w:w="927" w:type="dxa"/>
            <w:shd w:val="clear" w:color="auto" w:fill="FFFFFF"/>
            <w:tcMar>
              <w:top w:w="0" w:type="dxa"/>
              <w:left w:w="0" w:type="dxa"/>
              <w:bottom w:w="0" w:type="dxa"/>
              <w:right w:w="0" w:type="dxa"/>
            </w:tcMar>
            <w:vAlign w:val="center"/>
          </w:tcPr>
          <w:p w14:paraId="20BFA0FC"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1.00</w:t>
            </w:r>
          </w:p>
        </w:tc>
        <w:tc>
          <w:tcPr>
            <w:tcW w:w="820" w:type="dxa"/>
            <w:shd w:val="clear" w:color="auto" w:fill="FFFFFF"/>
            <w:tcMar>
              <w:top w:w="0" w:type="dxa"/>
              <w:left w:w="0" w:type="dxa"/>
              <w:bottom w:w="0" w:type="dxa"/>
              <w:right w:w="0" w:type="dxa"/>
            </w:tcMar>
            <w:vAlign w:val="center"/>
          </w:tcPr>
          <w:p w14:paraId="728F9D64"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842</w:t>
            </w:r>
          </w:p>
        </w:tc>
        <w:tc>
          <w:tcPr>
            <w:tcW w:w="935" w:type="dxa"/>
            <w:shd w:val="clear" w:color="auto" w:fill="FFFFFF"/>
            <w:tcMar>
              <w:top w:w="0" w:type="dxa"/>
              <w:left w:w="0" w:type="dxa"/>
              <w:bottom w:w="0" w:type="dxa"/>
              <w:right w:w="0" w:type="dxa"/>
            </w:tcMar>
            <w:vAlign w:val="center"/>
          </w:tcPr>
          <w:p w14:paraId="0A95E7DD"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92</w:t>
            </w:r>
          </w:p>
        </w:tc>
      </w:tr>
      <w:tr w:rsidR="00A97DD2" w14:paraId="69DBE367" w14:textId="77777777" w:rsidTr="009B1C8B">
        <w:trPr>
          <w:cantSplit/>
          <w:jc w:val="center"/>
        </w:trPr>
        <w:tc>
          <w:tcPr>
            <w:tcW w:w="1860" w:type="dxa"/>
            <w:shd w:val="clear" w:color="auto" w:fill="FFFFFF"/>
            <w:tcMar>
              <w:top w:w="0" w:type="dxa"/>
              <w:left w:w="0" w:type="dxa"/>
              <w:bottom w:w="0" w:type="dxa"/>
              <w:right w:w="0" w:type="dxa"/>
            </w:tcMar>
            <w:vAlign w:val="center"/>
          </w:tcPr>
          <w:p w14:paraId="1B435FD3" w14:textId="77777777" w:rsidR="00A97DD2" w:rsidRDefault="00A97DD2" w:rsidP="009B1C8B">
            <w:pPr>
              <w:spacing w:before="60" w:after="60"/>
              <w:ind w:left="60" w:right="60"/>
            </w:pPr>
            <w:r>
              <w:rPr>
                <w:rFonts w:ascii="Times New Roman (Body)" w:eastAsia="Times New Roman (Body)" w:hAnsi="Times New Roman (Body)" w:cs="Times New Roman (Body)"/>
                <w:color w:val="000000"/>
                <w:sz w:val="16"/>
                <w:szCs w:val="16"/>
              </w:rPr>
              <w:t>Population</w:t>
            </w:r>
          </w:p>
        </w:tc>
        <w:tc>
          <w:tcPr>
            <w:tcW w:w="793" w:type="dxa"/>
            <w:shd w:val="clear" w:color="auto" w:fill="FFFFFF"/>
            <w:tcMar>
              <w:top w:w="0" w:type="dxa"/>
              <w:left w:w="0" w:type="dxa"/>
              <w:bottom w:w="0" w:type="dxa"/>
              <w:right w:w="0" w:type="dxa"/>
            </w:tcMar>
            <w:vAlign w:val="center"/>
          </w:tcPr>
          <w:p w14:paraId="02BFF0DB"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153.38</w:t>
            </w:r>
          </w:p>
        </w:tc>
        <w:tc>
          <w:tcPr>
            <w:tcW w:w="873" w:type="dxa"/>
            <w:shd w:val="clear" w:color="auto" w:fill="FFFFFF"/>
            <w:tcMar>
              <w:top w:w="0" w:type="dxa"/>
              <w:left w:w="0" w:type="dxa"/>
              <w:bottom w:w="0" w:type="dxa"/>
              <w:right w:w="0" w:type="dxa"/>
            </w:tcMar>
            <w:vAlign w:val="center"/>
          </w:tcPr>
          <w:p w14:paraId="1887B4D0"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317.83</w:t>
            </w:r>
          </w:p>
        </w:tc>
        <w:tc>
          <w:tcPr>
            <w:tcW w:w="704" w:type="dxa"/>
            <w:shd w:val="clear" w:color="auto" w:fill="FFFFFF"/>
            <w:tcMar>
              <w:top w:w="0" w:type="dxa"/>
              <w:left w:w="0" w:type="dxa"/>
              <w:bottom w:w="0" w:type="dxa"/>
              <w:right w:w="0" w:type="dxa"/>
            </w:tcMar>
            <w:vAlign w:val="center"/>
          </w:tcPr>
          <w:p w14:paraId="29304C55"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6.50</w:t>
            </w:r>
          </w:p>
        </w:tc>
        <w:tc>
          <w:tcPr>
            <w:tcW w:w="829" w:type="dxa"/>
            <w:shd w:val="clear" w:color="auto" w:fill="FFFFFF"/>
            <w:tcMar>
              <w:top w:w="0" w:type="dxa"/>
              <w:left w:w="0" w:type="dxa"/>
              <w:bottom w:w="0" w:type="dxa"/>
              <w:right w:w="0" w:type="dxa"/>
            </w:tcMar>
            <w:vAlign w:val="center"/>
          </w:tcPr>
          <w:p w14:paraId="3CED2F46"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19.16</w:t>
            </w:r>
          </w:p>
        </w:tc>
        <w:tc>
          <w:tcPr>
            <w:tcW w:w="615" w:type="dxa"/>
            <w:shd w:val="clear" w:color="auto" w:fill="FFFFFF"/>
            <w:tcMar>
              <w:top w:w="0" w:type="dxa"/>
              <w:left w:w="0" w:type="dxa"/>
              <w:bottom w:w="0" w:type="dxa"/>
              <w:right w:w="0" w:type="dxa"/>
            </w:tcMar>
            <w:vAlign w:val="center"/>
          </w:tcPr>
          <w:p w14:paraId="723B5476"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61.9</w:t>
            </w:r>
          </w:p>
        </w:tc>
        <w:tc>
          <w:tcPr>
            <w:tcW w:w="704" w:type="dxa"/>
            <w:shd w:val="clear" w:color="auto" w:fill="FFFFFF"/>
            <w:tcMar>
              <w:top w:w="0" w:type="dxa"/>
              <w:left w:w="0" w:type="dxa"/>
              <w:bottom w:w="0" w:type="dxa"/>
              <w:right w:w="0" w:type="dxa"/>
            </w:tcMar>
            <w:vAlign w:val="center"/>
          </w:tcPr>
          <w:p w14:paraId="6924305F"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55.18</w:t>
            </w:r>
          </w:p>
        </w:tc>
        <w:tc>
          <w:tcPr>
            <w:tcW w:w="615" w:type="dxa"/>
            <w:shd w:val="clear" w:color="auto" w:fill="FFFFFF"/>
            <w:tcMar>
              <w:top w:w="0" w:type="dxa"/>
              <w:left w:w="0" w:type="dxa"/>
              <w:bottom w:w="0" w:type="dxa"/>
              <w:right w:w="0" w:type="dxa"/>
            </w:tcMar>
            <w:vAlign w:val="center"/>
          </w:tcPr>
          <w:p w14:paraId="2C608FF1"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0.55</w:t>
            </w:r>
          </w:p>
        </w:tc>
        <w:tc>
          <w:tcPr>
            <w:tcW w:w="927" w:type="dxa"/>
            <w:shd w:val="clear" w:color="auto" w:fill="FFFFFF"/>
            <w:tcMar>
              <w:top w:w="0" w:type="dxa"/>
              <w:left w:w="0" w:type="dxa"/>
              <w:bottom w:w="0" w:type="dxa"/>
              <w:right w:w="0" w:type="dxa"/>
            </w:tcMar>
            <w:vAlign w:val="center"/>
          </w:tcPr>
          <w:p w14:paraId="0F7EEBD1"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1,140.57</w:t>
            </w:r>
          </w:p>
        </w:tc>
        <w:tc>
          <w:tcPr>
            <w:tcW w:w="820" w:type="dxa"/>
            <w:shd w:val="clear" w:color="auto" w:fill="FFFFFF"/>
            <w:tcMar>
              <w:top w:w="0" w:type="dxa"/>
              <w:left w:w="0" w:type="dxa"/>
              <w:bottom w:w="0" w:type="dxa"/>
              <w:right w:w="0" w:type="dxa"/>
            </w:tcMar>
            <w:vAlign w:val="center"/>
          </w:tcPr>
          <w:p w14:paraId="13296D8C"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850</w:t>
            </w:r>
          </w:p>
        </w:tc>
        <w:tc>
          <w:tcPr>
            <w:tcW w:w="935" w:type="dxa"/>
            <w:shd w:val="clear" w:color="auto" w:fill="FFFFFF"/>
            <w:tcMar>
              <w:top w:w="0" w:type="dxa"/>
              <w:left w:w="0" w:type="dxa"/>
              <w:bottom w:w="0" w:type="dxa"/>
              <w:right w:w="0" w:type="dxa"/>
            </w:tcMar>
            <w:vAlign w:val="center"/>
          </w:tcPr>
          <w:p w14:paraId="375C4550"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93</w:t>
            </w:r>
          </w:p>
        </w:tc>
      </w:tr>
      <w:tr w:rsidR="00A97DD2" w14:paraId="6B607E07" w14:textId="77777777" w:rsidTr="009B1C8B">
        <w:trPr>
          <w:cantSplit/>
          <w:jc w:val="center"/>
        </w:trPr>
        <w:tc>
          <w:tcPr>
            <w:tcW w:w="1860" w:type="dxa"/>
            <w:shd w:val="clear" w:color="auto" w:fill="FFFFFF"/>
            <w:tcMar>
              <w:top w:w="0" w:type="dxa"/>
              <w:left w:w="0" w:type="dxa"/>
              <w:bottom w:w="0" w:type="dxa"/>
              <w:right w:w="0" w:type="dxa"/>
            </w:tcMar>
            <w:vAlign w:val="center"/>
          </w:tcPr>
          <w:p w14:paraId="33AFE25A" w14:textId="77777777" w:rsidR="00A97DD2" w:rsidRDefault="00A97DD2" w:rsidP="009B1C8B">
            <w:pPr>
              <w:spacing w:before="60" w:after="60"/>
              <w:ind w:left="60" w:right="60"/>
            </w:pPr>
            <w:r>
              <w:rPr>
                <w:rFonts w:ascii="Times New Roman (Body)" w:eastAsia="Times New Roman (Body)" w:hAnsi="Times New Roman (Body)" w:cs="Times New Roman (Body)"/>
                <w:color w:val="000000"/>
                <w:sz w:val="16"/>
                <w:szCs w:val="16"/>
              </w:rPr>
              <w:t>Development</w:t>
            </w:r>
          </w:p>
        </w:tc>
        <w:tc>
          <w:tcPr>
            <w:tcW w:w="793" w:type="dxa"/>
            <w:shd w:val="clear" w:color="auto" w:fill="FFFFFF"/>
            <w:tcMar>
              <w:top w:w="0" w:type="dxa"/>
              <w:left w:w="0" w:type="dxa"/>
              <w:bottom w:w="0" w:type="dxa"/>
              <w:right w:w="0" w:type="dxa"/>
            </w:tcMar>
            <w:vAlign w:val="center"/>
          </w:tcPr>
          <w:p w14:paraId="7D8B5ACD"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3.61</w:t>
            </w:r>
          </w:p>
        </w:tc>
        <w:tc>
          <w:tcPr>
            <w:tcW w:w="873" w:type="dxa"/>
            <w:shd w:val="clear" w:color="auto" w:fill="FFFFFF"/>
            <w:tcMar>
              <w:top w:w="0" w:type="dxa"/>
              <w:left w:w="0" w:type="dxa"/>
              <w:bottom w:w="0" w:type="dxa"/>
              <w:right w:w="0" w:type="dxa"/>
            </w:tcMar>
            <w:vAlign w:val="center"/>
          </w:tcPr>
          <w:p w14:paraId="66276EF2"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4.41</w:t>
            </w:r>
          </w:p>
        </w:tc>
        <w:tc>
          <w:tcPr>
            <w:tcW w:w="704" w:type="dxa"/>
            <w:shd w:val="clear" w:color="auto" w:fill="FFFFFF"/>
            <w:tcMar>
              <w:top w:w="0" w:type="dxa"/>
              <w:left w:w="0" w:type="dxa"/>
              <w:bottom w:w="0" w:type="dxa"/>
              <w:right w:w="0" w:type="dxa"/>
            </w:tcMar>
            <w:vAlign w:val="center"/>
          </w:tcPr>
          <w:p w14:paraId="11D81927"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0.96</w:t>
            </w:r>
          </w:p>
        </w:tc>
        <w:tc>
          <w:tcPr>
            <w:tcW w:w="829" w:type="dxa"/>
            <w:shd w:val="clear" w:color="auto" w:fill="FFFFFF"/>
            <w:tcMar>
              <w:top w:w="0" w:type="dxa"/>
              <w:left w:w="0" w:type="dxa"/>
              <w:bottom w:w="0" w:type="dxa"/>
              <w:right w:w="0" w:type="dxa"/>
            </w:tcMar>
            <w:vAlign w:val="center"/>
          </w:tcPr>
          <w:p w14:paraId="2A499B7A"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1.92</w:t>
            </w:r>
          </w:p>
        </w:tc>
        <w:tc>
          <w:tcPr>
            <w:tcW w:w="615" w:type="dxa"/>
            <w:shd w:val="clear" w:color="auto" w:fill="FFFFFF"/>
            <w:tcMar>
              <w:top w:w="0" w:type="dxa"/>
              <w:left w:w="0" w:type="dxa"/>
              <w:bottom w:w="0" w:type="dxa"/>
              <w:right w:w="0" w:type="dxa"/>
            </w:tcMar>
            <w:vAlign w:val="center"/>
          </w:tcPr>
          <w:p w14:paraId="64DE5489"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4.6</w:t>
            </w:r>
          </w:p>
        </w:tc>
        <w:tc>
          <w:tcPr>
            <w:tcW w:w="704" w:type="dxa"/>
            <w:shd w:val="clear" w:color="auto" w:fill="FFFFFF"/>
            <w:tcMar>
              <w:top w:w="0" w:type="dxa"/>
              <w:left w:w="0" w:type="dxa"/>
              <w:bottom w:w="0" w:type="dxa"/>
              <w:right w:w="0" w:type="dxa"/>
            </w:tcMar>
            <w:vAlign w:val="center"/>
          </w:tcPr>
          <w:p w14:paraId="405DF4F8"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3.67</w:t>
            </w:r>
          </w:p>
        </w:tc>
        <w:tc>
          <w:tcPr>
            <w:tcW w:w="615" w:type="dxa"/>
            <w:shd w:val="clear" w:color="auto" w:fill="FFFFFF"/>
            <w:tcMar>
              <w:top w:w="0" w:type="dxa"/>
              <w:left w:w="0" w:type="dxa"/>
              <w:bottom w:w="0" w:type="dxa"/>
              <w:right w:w="0" w:type="dxa"/>
            </w:tcMar>
            <w:vAlign w:val="center"/>
          </w:tcPr>
          <w:p w14:paraId="6F8BA8D4"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0.18</w:t>
            </w:r>
          </w:p>
        </w:tc>
        <w:tc>
          <w:tcPr>
            <w:tcW w:w="927" w:type="dxa"/>
            <w:shd w:val="clear" w:color="auto" w:fill="FFFFFF"/>
            <w:tcMar>
              <w:top w:w="0" w:type="dxa"/>
              <w:left w:w="0" w:type="dxa"/>
              <w:bottom w:w="0" w:type="dxa"/>
              <w:right w:w="0" w:type="dxa"/>
            </w:tcMar>
            <w:vAlign w:val="center"/>
          </w:tcPr>
          <w:p w14:paraId="5BD8CBF1"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25.64</w:t>
            </w:r>
          </w:p>
        </w:tc>
        <w:tc>
          <w:tcPr>
            <w:tcW w:w="820" w:type="dxa"/>
            <w:shd w:val="clear" w:color="auto" w:fill="FFFFFF"/>
            <w:tcMar>
              <w:top w:w="0" w:type="dxa"/>
              <w:left w:w="0" w:type="dxa"/>
              <w:bottom w:w="0" w:type="dxa"/>
              <w:right w:w="0" w:type="dxa"/>
            </w:tcMar>
            <w:vAlign w:val="center"/>
          </w:tcPr>
          <w:p w14:paraId="2714D15E"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804</w:t>
            </w:r>
          </w:p>
        </w:tc>
        <w:tc>
          <w:tcPr>
            <w:tcW w:w="935" w:type="dxa"/>
            <w:shd w:val="clear" w:color="auto" w:fill="FFFFFF"/>
            <w:tcMar>
              <w:top w:w="0" w:type="dxa"/>
              <w:left w:w="0" w:type="dxa"/>
              <w:bottom w:w="0" w:type="dxa"/>
              <w:right w:w="0" w:type="dxa"/>
            </w:tcMar>
            <w:vAlign w:val="center"/>
          </w:tcPr>
          <w:p w14:paraId="64B0BD71"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88</w:t>
            </w:r>
          </w:p>
        </w:tc>
      </w:tr>
      <w:tr w:rsidR="00A97DD2" w14:paraId="43F9E96B" w14:textId="77777777" w:rsidTr="009B1C8B">
        <w:trPr>
          <w:cantSplit/>
          <w:jc w:val="center"/>
        </w:trPr>
        <w:tc>
          <w:tcPr>
            <w:tcW w:w="1860" w:type="dxa"/>
            <w:shd w:val="clear" w:color="auto" w:fill="FFFFFF"/>
            <w:tcMar>
              <w:top w:w="0" w:type="dxa"/>
              <w:left w:w="0" w:type="dxa"/>
              <w:bottom w:w="0" w:type="dxa"/>
              <w:right w:w="0" w:type="dxa"/>
            </w:tcMar>
            <w:vAlign w:val="center"/>
          </w:tcPr>
          <w:p w14:paraId="6FCFB48C" w14:textId="77777777" w:rsidR="00A97DD2" w:rsidRDefault="00A97DD2" w:rsidP="009B1C8B">
            <w:pPr>
              <w:spacing w:before="60" w:after="60"/>
              <w:ind w:left="60" w:right="60"/>
            </w:pPr>
            <w:r>
              <w:rPr>
                <w:rFonts w:ascii="Times New Roman (Body)" w:eastAsia="Times New Roman (Body)" w:hAnsi="Times New Roman (Body)" w:cs="Times New Roman (Body)"/>
                <w:color w:val="000000"/>
                <w:sz w:val="16"/>
                <w:szCs w:val="16"/>
              </w:rPr>
              <w:t>SNC Warfare</w:t>
            </w:r>
          </w:p>
        </w:tc>
        <w:tc>
          <w:tcPr>
            <w:tcW w:w="793" w:type="dxa"/>
            <w:shd w:val="clear" w:color="auto" w:fill="FFFFFF"/>
            <w:tcMar>
              <w:top w:w="0" w:type="dxa"/>
              <w:left w:w="0" w:type="dxa"/>
              <w:bottom w:w="0" w:type="dxa"/>
              <w:right w:w="0" w:type="dxa"/>
            </w:tcMar>
            <w:vAlign w:val="center"/>
          </w:tcPr>
          <w:p w14:paraId="0E4E4F2E"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0.03</w:t>
            </w:r>
          </w:p>
        </w:tc>
        <w:tc>
          <w:tcPr>
            <w:tcW w:w="873" w:type="dxa"/>
            <w:shd w:val="clear" w:color="auto" w:fill="FFFFFF"/>
            <w:tcMar>
              <w:top w:w="0" w:type="dxa"/>
              <w:left w:w="0" w:type="dxa"/>
              <w:bottom w:w="0" w:type="dxa"/>
              <w:right w:w="0" w:type="dxa"/>
            </w:tcMar>
            <w:vAlign w:val="center"/>
          </w:tcPr>
          <w:p w14:paraId="6D4055F9"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0.16</w:t>
            </w:r>
          </w:p>
        </w:tc>
        <w:tc>
          <w:tcPr>
            <w:tcW w:w="704" w:type="dxa"/>
            <w:shd w:val="clear" w:color="auto" w:fill="FFFFFF"/>
            <w:tcMar>
              <w:top w:w="0" w:type="dxa"/>
              <w:left w:w="0" w:type="dxa"/>
              <w:bottom w:w="0" w:type="dxa"/>
              <w:right w:w="0" w:type="dxa"/>
            </w:tcMar>
            <w:vAlign w:val="center"/>
          </w:tcPr>
          <w:p w14:paraId="582F2F7C"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0.00</w:t>
            </w:r>
          </w:p>
        </w:tc>
        <w:tc>
          <w:tcPr>
            <w:tcW w:w="829" w:type="dxa"/>
            <w:shd w:val="clear" w:color="auto" w:fill="FFFFFF"/>
            <w:tcMar>
              <w:top w:w="0" w:type="dxa"/>
              <w:left w:w="0" w:type="dxa"/>
              <w:bottom w:w="0" w:type="dxa"/>
              <w:right w:w="0" w:type="dxa"/>
            </w:tcMar>
            <w:vAlign w:val="center"/>
          </w:tcPr>
          <w:p w14:paraId="253D95F8"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0.00</w:t>
            </w:r>
          </w:p>
        </w:tc>
        <w:tc>
          <w:tcPr>
            <w:tcW w:w="615" w:type="dxa"/>
            <w:shd w:val="clear" w:color="auto" w:fill="FFFFFF"/>
            <w:tcMar>
              <w:top w:w="0" w:type="dxa"/>
              <w:left w:w="0" w:type="dxa"/>
              <w:bottom w:w="0" w:type="dxa"/>
              <w:right w:w="0" w:type="dxa"/>
            </w:tcMar>
            <w:vAlign w:val="center"/>
          </w:tcPr>
          <w:p w14:paraId="46AF107A"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0.0</w:t>
            </w:r>
          </w:p>
        </w:tc>
        <w:tc>
          <w:tcPr>
            <w:tcW w:w="704" w:type="dxa"/>
            <w:shd w:val="clear" w:color="auto" w:fill="FFFFFF"/>
            <w:tcMar>
              <w:top w:w="0" w:type="dxa"/>
              <w:left w:w="0" w:type="dxa"/>
              <w:bottom w:w="0" w:type="dxa"/>
              <w:right w:w="0" w:type="dxa"/>
            </w:tcMar>
            <w:vAlign w:val="center"/>
          </w:tcPr>
          <w:p w14:paraId="4517F9CD"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0.00</w:t>
            </w:r>
          </w:p>
        </w:tc>
        <w:tc>
          <w:tcPr>
            <w:tcW w:w="615" w:type="dxa"/>
            <w:shd w:val="clear" w:color="auto" w:fill="FFFFFF"/>
            <w:tcMar>
              <w:top w:w="0" w:type="dxa"/>
              <w:left w:w="0" w:type="dxa"/>
              <w:bottom w:w="0" w:type="dxa"/>
              <w:right w:w="0" w:type="dxa"/>
            </w:tcMar>
            <w:vAlign w:val="center"/>
          </w:tcPr>
          <w:p w14:paraId="43D71360"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0.00</w:t>
            </w:r>
          </w:p>
        </w:tc>
        <w:tc>
          <w:tcPr>
            <w:tcW w:w="927" w:type="dxa"/>
            <w:shd w:val="clear" w:color="auto" w:fill="FFFFFF"/>
            <w:tcMar>
              <w:top w:w="0" w:type="dxa"/>
              <w:left w:w="0" w:type="dxa"/>
              <w:bottom w:w="0" w:type="dxa"/>
              <w:right w:w="0" w:type="dxa"/>
            </w:tcMar>
            <w:vAlign w:val="center"/>
          </w:tcPr>
          <w:p w14:paraId="2D0F24EA"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1.00</w:t>
            </w:r>
          </w:p>
        </w:tc>
        <w:tc>
          <w:tcPr>
            <w:tcW w:w="820" w:type="dxa"/>
            <w:shd w:val="clear" w:color="auto" w:fill="FFFFFF"/>
            <w:tcMar>
              <w:top w:w="0" w:type="dxa"/>
              <w:left w:w="0" w:type="dxa"/>
              <w:bottom w:w="0" w:type="dxa"/>
              <w:right w:w="0" w:type="dxa"/>
            </w:tcMar>
            <w:vAlign w:val="center"/>
          </w:tcPr>
          <w:p w14:paraId="3907F315"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902</w:t>
            </w:r>
          </w:p>
        </w:tc>
        <w:tc>
          <w:tcPr>
            <w:tcW w:w="935" w:type="dxa"/>
            <w:shd w:val="clear" w:color="auto" w:fill="FFFFFF"/>
            <w:tcMar>
              <w:top w:w="0" w:type="dxa"/>
              <w:left w:w="0" w:type="dxa"/>
              <w:bottom w:w="0" w:type="dxa"/>
              <w:right w:w="0" w:type="dxa"/>
            </w:tcMar>
            <w:vAlign w:val="center"/>
          </w:tcPr>
          <w:p w14:paraId="010550D0"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99</w:t>
            </w:r>
          </w:p>
        </w:tc>
      </w:tr>
      <w:tr w:rsidR="00A97DD2" w14:paraId="5DDFC2EC" w14:textId="77777777" w:rsidTr="009B1C8B">
        <w:trPr>
          <w:cantSplit/>
          <w:jc w:val="center"/>
        </w:trPr>
        <w:tc>
          <w:tcPr>
            <w:tcW w:w="1860" w:type="dxa"/>
            <w:shd w:val="clear" w:color="auto" w:fill="FFFFFF"/>
            <w:tcMar>
              <w:top w:w="0" w:type="dxa"/>
              <w:left w:w="0" w:type="dxa"/>
              <w:bottom w:w="0" w:type="dxa"/>
              <w:right w:w="0" w:type="dxa"/>
            </w:tcMar>
            <w:vAlign w:val="center"/>
          </w:tcPr>
          <w:p w14:paraId="657C8E01" w14:textId="77777777" w:rsidR="00A97DD2" w:rsidRDefault="00A97DD2" w:rsidP="009B1C8B">
            <w:pPr>
              <w:spacing w:before="60" w:after="60"/>
              <w:ind w:left="60" w:right="60"/>
            </w:pPr>
            <w:r>
              <w:rPr>
                <w:rFonts w:ascii="Times New Roman (Body)" w:eastAsia="Times New Roman (Body)" w:hAnsi="Times New Roman (Body)" w:cs="Times New Roman (Body)"/>
                <w:color w:val="000000"/>
                <w:sz w:val="16"/>
                <w:szCs w:val="16"/>
              </w:rPr>
              <w:t>Mass Killing</w:t>
            </w:r>
          </w:p>
        </w:tc>
        <w:tc>
          <w:tcPr>
            <w:tcW w:w="793" w:type="dxa"/>
            <w:shd w:val="clear" w:color="auto" w:fill="FFFFFF"/>
            <w:tcMar>
              <w:top w:w="0" w:type="dxa"/>
              <w:left w:w="0" w:type="dxa"/>
              <w:bottom w:w="0" w:type="dxa"/>
              <w:right w:w="0" w:type="dxa"/>
            </w:tcMar>
            <w:vAlign w:val="center"/>
          </w:tcPr>
          <w:p w14:paraId="7660A363"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0.05</w:t>
            </w:r>
          </w:p>
        </w:tc>
        <w:tc>
          <w:tcPr>
            <w:tcW w:w="873" w:type="dxa"/>
            <w:shd w:val="clear" w:color="auto" w:fill="FFFFFF"/>
            <w:tcMar>
              <w:top w:w="0" w:type="dxa"/>
              <w:left w:w="0" w:type="dxa"/>
              <w:bottom w:w="0" w:type="dxa"/>
              <w:right w:w="0" w:type="dxa"/>
            </w:tcMar>
            <w:vAlign w:val="center"/>
          </w:tcPr>
          <w:p w14:paraId="746903CC"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0.22</w:t>
            </w:r>
          </w:p>
        </w:tc>
        <w:tc>
          <w:tcPr>
            <w:tcW w:w="704" w:type="dxa"/>
            <w:shd w:val="clear" w:color="auto" w:fill="FFFFFF"/>
            <w:tcMar>
              <w:top w:w="0" w:type="dxa"/>
              <w:left w:w="0" w:type="dxa"/>
              <w:bottom w:w="0" w:type="dxa"/>
              <w:right w:w="0" w:type="dxa"/>
            </w:tcMar>
            <w:vAlign w:val="center"/>
          </w:tcPr>
          <w:p w14:paraId="7BC3AC9B"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0.00</w:t>
            </w:r>
          </w:p>
        </w:tc>
        <w:tc>
          <w:tcPr>
            <w:tcW w:w="829" w:type="dxa"/>
            <w:shd w:val="clear" w:color="auto" w:fill="FFFFFF"/>
            <w:tcMar>
              <w:top w:w="0" w:type="dxa"/>
              <w:left w:w="0" w:type="dxa"/>
              <w:bottom w:w="0" w:type="dxa"/>
              <w:right w:w="0" w:type="dxa"/>
            </w:tcMar>
            <w:vAlign w:val="center"/>
          </w:tcPr>
          <w:p w14:paraId="1CC1AE1F"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0.00</w:t>
            </w:r>
          </w:p>
        </w:tc>
        <w:tc>
          <w:tcPr>
            <w:tcW w:w="615" w:type="dxa"/>
            <w:shd w:val="clear" w:color="auto" w:fill="FFFFFF"/>
            <w:tcMar>
              <w:top w:w="0" w:type="dxa"/>
              <w:left w:w="0" w:type="dxa"/>
              <w:bottom w:w="0" w:type="dxa"/>
              <w:right w:w="0" w:type="dxa"/>
            </w:tcMar>
            <w:vAlign w:val="center"/>
          </w:tcPr>
          <w:p w14:paraId="4D419FD2"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0.0</w:t>
            </w:r>
          </w:p>
        </w:tc>
        <w:tc>
          <w:tcPr>
            <w:tcW w:w="704" w:type="dxa"/>
            <w:shd w:val="clear" w:color="auto" w:fill="FFFFFF"/>
            <w:tcMar>
              <w:top w:w="0" w:type="dxa"/>
              <w:left w:w="0" w:type="dxa"/>
              <w:bottom w:w="0" w:type="dxa"/>
              <w:right w:w="0" w:type="dxa"/>
            </w:tcMar>
            <w:vAlign w:val="center"/>
          </w:tcPr>
          <w:p w14:paraId="699D1CD8"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0.00</w:t>
            </w:r>
          </w:p>
        </w:tc>
        <w:tc>
          <w:tcPr>
            <w:tcW w:w="615" w:type="dxa"/>
            <w:shd w:val="clear" w:color="auto" w:fill="FFFFFF"/>
            <w:tcMar>
              <w:top w:w="0" w:type="dxa"/>
              <w:left w:w="0" w:type="dxa"/>
              <w:bottom w:w="0" w:type="dxa"/>
              <w:right w:w="0" w:type="dxa"/>
            </w:tcMar>
            <w:vAlign w:val="center"/>
          </w:tcPr>
          <w:p w14:paraId="4B687757"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0.00</w:t>
            </w:r>
          </w:p>
        </w:tc>
        <w:tc>
          <w:tcPr>
            <w:tcW w:w="927" w:type="dxa"/>
            <w:shd w:val="clear" w:color="auto" w:fill="FFFFFF"/>
            <w:tcMar>
              <w:top w:w="0" w:type="dxa"/>
              <w:left w:w="0" w:type="dxa"/>
              <w:bottom w:w="0" w:type="dxa"/>
              <w:right w:w="0" w:type="dxa"/>
            </w:tcMar>
            <w:vAlign w:val="center"/>
          </w:tcPr>
          <w:p w14:paraId="01B71B87"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1.00</w:t>
            </w:r>
          </w:p>
        </w:tc>
        <w:tc>
          <w:tcPr>
            <w:tcW w:w="820" w:type="dxa"/>
            <w:shd w:val="clear" w:color="auto" w:fill="FFFFFF"/>
            <w:tcMar>
              <w:top w:w="0" w:type="dxa"/>
              <w:left w:w="0" w:type="dxa"/>
              <w:bottom w:w="0" w:type="dxa"/>
              <w:right w:w="0" w:type="dxa"/>
            </w:tcMar>
            <w:vAlign w:val="center"/>
          </w:tcPr>
          <w:p w14:paraId="68A7B221"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842</w:t>
            </w:r>
          </w:p>
        </w:tc>
        <w:tc>
          <w:tcPr>
            <w:tcW w:w="935" w:type="dxa"/>
            <w:shd w:val="clear" w:color="auto" w:fill="FFFFFF"/>
            <w:tcMar>
              <w:top w:w="0" w:type="dxa"/>
              <w:left w:w="0" w:type="dxa"/>
              <w:bottom w:w="0" w:type="dxa"/>
              <w:right w:w="0" w:type="dxa"/>
            </w:tcMar>
            <w:vAlign w:val="center"/>
          </w:tcPr>
          <w:p w14:paraId="04697CA7"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92</w:t>
            </w:r>
          </w:p>
        </w:tc>
      </w:tr>
      <w:tr w:rsidR="00A97DD2" w14:paraId="0CA2C87C" w14:textId="77777777" w:rsidTr="009B1C8B">
        <w:trPr>
          <w:cantSplit/>
          <w:jc w:val="center"/>
        </w:trPr>
        <w:tc>
          <w:tcPr>
            <w:tcW w:w="1860" w:type="dxa"/>
            <w:shd w:val="clear" w:color="auto" w:fill="FFFFFF"/>
            <w:tcMar>
              <w:top w:w="0" w:type="dxa"/>
              <w:left w:w="0" w:type="dxa"/>
              <w:bottom w:w="0" w:type="dxa"/>
              <w:right w:w="0" w:type="dxa"/>
            </w:tcMar>
            <w:vAlign w:val="center"/>
          </w:tcPr>
          <w:p w14:paraId="6C45B0AC" w14:textId="77777777" w:rsidR="00A97DD2" w:rsidRDefault="00A97DD2" w:rsidP="009B1C8B">
            <w:pPr>
              <w:spacing w:before="60" w:after="60"/>
              <w:ind w:left="60" w:right="60"/>
            </w:pPr>
            <w:r>
              <w:rPr>
                <w:rFonts w:ascii="Times New Roman (Body)" w:eastAsia="Times New Roman (Body)" w:hAnsi="Times New Roman (Body)" w:cs="Times New Roman (Body)"/>
                <w:color w:val="000000"/>
                <w:sz w:val="16"/>
                <w:szCs w:val="16"/>
              </w:rPr>
              <w:t>Territorial Motive</w:t>
            </w:r>
          </w:p>
        </w:tc>
        <w:tc>
          <w:tcPr>
            <w:tcW w:w="793" w:type="dxa"/>
            <w:shd w:val="clear" w:color="auto" w:fill="FFFFFF"/>
            <w:tcMar>
              <w:top w:w="0" w:type="dxa"/>
              <w:left w:w="0" w:type="dxa"/>
              <w:bottom w:w="0" w:type="dxa"/>
              <w:right w:w="0" w:type="dxa"/>
            </w:tcMar>
            <w:vAlign w:val="center"/>
          </w:tcPr>
          <w:p w14:paraId="4897A7A0"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0.46</w:t>
            </w:r>
          </w:p>
        </w:tc>
        <w:tc>
          <w:tcPr>
            <w:tcW w:w="873" w:type="dxa"/>
            <w:shd w:val="clear" w:color="auto" w:fill="FFFFFF"/>
            <w:tcMar>
              <w:top w:w="0" w:type="dxa"/>
              <w:left w:w="0" w:type="dxa"/>
              <w:bottom w:w="0" w:type="dxa"/>
              <w:right w:w="0" w:type="dxa"/>
            </w:tcMar>
            <w:vAlign w:val="center"/>
          </w:tcPr>
          <w:p w14:paraId="7D0689C0"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0.50</w:t>
            </w:r>
          </w:p>
        </w:tc>
        <w:tc>
          <w:tcPr>
            <w:tcW w:w="704" w:type="dxa"/>
            <w:shd w:val="clear" w:color="auto" w:fill="FFFFFF"/>
            <w:tcMar>
              <w:top w:w="0" w:type="dxa"/>
              <w:left w:w="0" w:type="dxa"/>
              <w:bottom w:w="0" w:type="dxa"/>
              <w:right w:w="0" w:type="dxa"/>
            </w:tcMar>
            <w:vAlign w:val="center"/>
          </w:tcPr>
          <w:p w14:paraId="7EDF88C7"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0.00</w:t>
            </w:r>
          </w:p>
        </w:tc>
        <w:tc>
          <w:tcPr>
            <w:tcW w:w="829" w:type="dxa"/>
            <w:shd w:val="clear" w:color="auto" w:fill="FFFFFF"/>
            <w:tcMar>
              <w:top w:w="0" w:type="dxa"/>
              <w:left w:w="0" w:type="dxa"/>
              <w:bottom w:w="0" w:type="dxa"/>
              <w:right w:w="0" w:type="dxa"/>
            </w:tcMar>
            <w:vAlign w:val="center"/>
          </w:tcPr>
          <w:p w14:paraId="608F2836"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0.00</w:t>
            </w:r>
          </w:p>
        </w:tc>
        <w:tc>
          <w:tcPr>
            <w:tcW w:w="615" w:type="dxa"/>
            <w:shd w:val="clear" w:color="auto" w:fill="FFFFFF"/>
            <w:tcMar>
              <w:top w:w="0" w:type="dxa"/>
              <w:left w:w="0" w:type="dxa"/>
              <w:bottom w:w="0" w:type="dxa"/>
              <w:right w:w="0" w:type="dxa"/>
            </w:tcMar>
            <w:vAlign w:val="center"/>
          </w:tcPr>
          <w:p w14:paraId="6F068B70"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1.0</w:t>
            </w:r>
          </w:p>
        </w:tc>
        <w:tc>
          <w:tcPr>
            <w:tcW w:w="704" w:type="dxa"/>
            <w:shd w:val="clear" w:color="auto" w:fill="FFFFFF"/>
            <w:tcMar>
              <w:top w:w="0" w:type="dxa"/>
              <w:left w:w="0" w:type="dxa"/>
              <w:bottom w:w="0" w:type="dxa"/>
              <w:right w:w="0" w:type="dxa"/>
            </w:tcMar>
            <w:vAlign w:val="center"/>
          </w:tcPr>
          <w:p w14:paraId="69203023"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1.00</w:t>
            </w:r>
          </w:p>
        </w:tc>
        <w:tc>
          <w:tcPr>
            <w:tcW w:w="615" w:type="dxa"/>
            <w:shd w:val="clear" w:color="auto" w:fill="FFFFFF"/>
            <w:tcMar>
              <w:top w:w="0" w:type="dxa"/>
              <w:left w:w="0" w:type="dxa"/>
              <w:bottom w:w="0" w:type="dxa"/>
              <w:right w:w="0" w:type="dxa"/>
            </w:tcMar>
            <w:vAlign w:val="center"/>
          </w:tcPr>
          <w:p w14:paraId="12E390A6"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0.00</w:t>
            </w:r>
          </w:p>
        </w:tc>
        <w:tc>
          <w:tcPr>
            <w:tcW w:w="927" w:type="dxa"/>
            <w:shd w:val="clear" w:color="auto" w:fill="FFFFFF"/>
            <w:tcMar>
              <w:top w:w="0" w:type="dxa"/>
              <w:left w:w="0" w:type="dxa"/>
              <w:bottom w:w="0" w:type="dxa"/>
              <w:right w:w="0" w:type="dxa"/>
            </w:tcMar>
            <w:vAlign w:val="center"/>
          </w:tcPr>
          <w:p w14:paraId="3F30F34A"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1.00</w:t>
            </w:r>
          </w:p>
        </w:tc>
        <w:tc>
          <w:tcPr>
            <w:tcW w:w="820" w:type="dxa"/>
            <w:shd w:val="clear" w:color="auto" w:fill="FFFFFF"/>
            <w:tcMar>
              <w:top w:w="0" w:type="dxa"/>
              <w:left w:w="0" w:type="dxa"/>
              <w:bottom w:w="0" w:type="dxa"/>
              <w:right w:w="0" w:type="dxa"/>
            </w:tcMar>
            <w:vAlign w:val="center"/>
          </w:tcPr>
          <w:p w14:paraId="53F2468F"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913</w:t>
            </w:r>
          </w:p>
        </w:tc>
        <w:tc>
          <w:tcPr>
            <w:tcW w:w="935" w:type="dxa"/>
            <w:shd w:val="clear" w:color="auto" w:fill="FFFFFF"/>
            <w:tcMar>
              <w:top w:w="0" w:type="dxa"/>
              <w:left w:w="0" w:type="dxa"/>
              <w:bottom w:w="0" w:type="dxa"/>
              <w:right w:w="0" w:type="dxa"/>
            </w:tcMar>
            <w:vAlign w:val="center"/>
          </w:tcPr>
          <w:p w14:paraId="1089AC47"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100</w:t>
            </w:r>
          </w:p>
        </w:tc>
      </w:tr>
      <w:tr w:rsidR="00A97DD2" w14:paraId="30DBDFC1" w14:textId="77777777" w:rsidTr="009B1C8B">
        <w:trPr>
          <w:cantSplit/>
          <w:jc w:val="center"/>
        </w:trPr>
        <w:tc>
          <w:tcPr>
            <w:tcW w:w="1860" w:type="dxa"/>
            <w:shd w:val="clear" w:color="auto" w:fill="FFFFFF"/>
            <w:tcMar>
              <w:top w:w="0" w:type="dxa"/>
              <w:left w:w="0" w:type="dxa"/>
              <w:bottom w:w="0" w:type="dxa"/>
              <w:right w:w="0" w:type="dxa"/>
            </w:tcMar>
            <w:vAlign w:val="center"/>
          </w:tcPr>
          <w:p w14:paraId="5BF1E25C" w14:textId="77777777" w:rsidR="00A97DD2" w:rsidRDefault="00A97DD2" w:rsidP="009B1C8B">
            <w:pPr>
              <w:spacing w:before="60" w:after="60"/>
              <w:ind w:left="60" w:right="60"/>
            </w:pPr>
            <w:r>
              <w:rPr>
                <w:rFonts w:ascii="Times New Roman (Body)" w:eastAsia="Times New Roman (Body)" w:hAnsi="Times New Roman (Body)" w:cs="Times New Roman (Body)"/>
                <w:color w:val="000000"/>
                <w:sz w:val="16"/>
                <w:szCs w:val="16"/>
              </w:rPr>
              <w:t>Threat</w:t>
            </w:r>
          </w:p>
        </w:tc>
        <w:tc>
          <w:tcPr>
            <w:tcW w:w="793" w:type="dxa"/>
            <w:shd w:val="clear" w:color="auto" w:fill="FFFFFF"/>
            <w:tcMar>
              <w:top w:w="0" w:type="dxa"/>
              <w:left w:w="0" w:type="dxa"/>
              <w:bottom w:w="0" w:type="dxa"/>
              <w:right w:w="0" w:type="dxa"/>
            </w:tcMar>
            <w:vAlign w:val="center"/>
          </w:tcPr>
          <w:p w14:paraId="6985CECB"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1.94</w:t>
            </w:r>
          </w:p>
        </w:tc>
        <w:tc>
          <w:tcPr>
            <w:tcW w:w="873" w:type="dxa"/>
            <w:shd w:val="clear" w:color="auto" w:fill="FFFFFF"/>
            <w:tcMar>
              <w:top w:w="0" w:type="dxa"/>
              <w:left w:w="0" w:type="dxa"/>
              <w:bottom w:w="0" w:type="dxa"/>
              <w:right w:w="0" w:type="dxa"/>
            </w:tcMar>
            <w:vAlign w:val="center"/>
          </w:tcPr>
          <w:p w14:paraId="4D5B26C0"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1.32</w:t>
            </w:r>
          </w:p>
        </w:tc>
        <w:tc>
          <w:tcPr>
            <w:tcW w:w="704" w:type="dxa"/>
            <w:shd w:val="clear" w:color="auto" w:fill="FFFFFF"/>
            <w:tcMar>
              <w:top w:w="0" w:type="dxa"/>
              <w:left w:w="0" w:type="dxa"/>
              <w:bottom w:w="0" w:type="dxa"/>
              <w:right w:w="0" w:type="dxa"/>
            </w:tcMar>
            <w:vAlign w:val="center"/>
          </w:tcPr>
          <w:p w14:paraId="3CEA67E5"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1.00</w:t>
            </w:r>
          </w:p>
        </w:tc>
        <w:tc>
          <w:tcPr>
            <w:tcW w:w="829" w:type="dxa"/>
            <w:shd w:val="clear" w:color="auto" w:fill="FFFFFF"/>
            <w:tcMar>
              <w:top w:w="0" w:type="dxa"/>
              <w:left w:w="0" w:type="dxa"/>
              <w:bottom w:w="0" w:type="dxa"/>
              <w:right w:w="0" w:type="dxa"/>
            </w:tcMar>
            <w:vAlign w:val="center"/>
          </w:tcPr>
          <w:p w14:paraId="07A0955C"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2.00</w:t>
            </w:r>
          </w:p>
        </w:tc>
        <w:tc>
          <w:tcPr>
            <w:tcW w:w="615" w:type="dxa"/>
            <w:shd w:val="clear" w:color="auto" w:fill="FFFFFF"/>
            <w:tcMar>
              <w:top w:w="0" w:type="dxa"/>
              <w:left w:w="0" w:type="dxa"/>
              <w:bottom w:w="0" w:type="dxa"/>
              <w:right w:w="0" w:type="dxa"/>
            </w:tcMar>
            <w:vAlign w:val="center"/>
          </w:tcPr>
          <w:p w14:paraId="368EA3BE"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3.0</w:t>
            </w:r>
          </w:p>
        </w:tc>
        <w:tc>
          <w:tcPr>
            <w:tcW w:w="704" w:type="dxa"/>
            <w:shd w:val="clear" w:color="auto" w:fill="FFFFFF"/>
            <w:tcMar>
              <w:top w:w="0" w:type="dxa"/>
              <w:left w:w="0" w:type="dxa"/>
              <w:bottom w:w="0" w:type="dxa"/>
              <w:right w:w="0" w:type="dxa"/>
            </w:tcMar>
            <w:vAlign w:val="center"/>
          </w:tcPr>
          <w:p w14:paraId="192C8824"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2.00</w:t>
            </w:r>
          </w:p>
        </w:tc>
        <w:tc>
          <w:tcPr>
            <w:tcW w:w="615" w:type="dxa"/>
            <w:shd w:val="clear" w:color="auto" w:fill="FFFFFF"/>
            <w:tcMar>
              <w:top w:w="0" w:type="dxa"/>
              <w:left w:w="0" w:type="dxa"/>
              <w:bottom w:w="0" w:type="dxa"/>
              <w:right w:w="0" w:type="dxa"/>
            </w:tcMar>
            <w:vAlign w:val="center"/>
          </w:tcPr>
          <w:p w14:paraId="5C6F97EE"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0.00</w:t>
            </w:r>
          </w:p>
        </w:tc>
        <w:tc>
          <w:tcPr>
            <w:tcW w:w="927" w:type="dxa"/>
            <w:shd w:val="clear" w:color="auto" w:fill="FFFFFF"/>
            <w:tcMar>
              <w:top w:w="0" w:type="dxa"/>
              <w:left w:w="0" w:type="dxa"/>
              <w:bottom w:w="0" w:type="dxa"/>
              <w:right w:w="0" w:type="dxa"/>
            </w:tcMar>
            <w:vAlign w:val="center"/>
          </w:tcPr>
          <w:p w14:paraId="402470E9"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4.00</w:t>
            </w:r>
          </w:p>
        </w:tc>
        <w:tc>
          <w:tcPr>
            <w:tcW w:w="820" w:type="dxa"/>
            <w:shd w:val="clear" w:color="auto" w:fill="FFFFFF"/>
            <w:tcMar>
              <w:top w:w="0" w:type="dxa"/>
              <w:left w:w="0" w:type="dxa"/>
              <w:bottom w:w="0" w:type="dxa"/>
              <w:right w:w="0" w:type="dxa"/>
            </w:tcMar>
            <w:vAlign w:val="center"/>
          </w:tcPr>
          <w:p w14:paraId="510C6041"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803</w:t>
            </w:r>
          </w:p>
        </w:tc>
        <w:tc>
          <w:tcPr>
            <w:tcW w:w="935" w:type="dxa"/>
            <w:shd w:val="clear" w:color="auto" w:fill="FFFFFF"/>
            <w:tcMar>
              <w:top w:w="0" w:type="dxa"/>
              <w:left w:w="0" w:type="dxa"/>
              <w:bottom w:w="0" w:type="dxa"/>
              <w:right w:w="0" w:type="dxa"/>
            </w:tcMar>
            <w:vAlign w:val="center"/>
          </w:tcPr>
          <w:p w14:paraId="62D56DA3"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88</w:t>
            </w:r>
          </w:p>
        </w:tc>
      </w:tr>
      <w:tr w:rsidR="00A97DD2" w14:paraId="7A5A1FEC" w14:textId="77777777" w:rsidTr="009B1C8B">
        <w:trPr>
          <w:cantSplit/>
          <w:jc w:val="center"/>
        </w:trPr>
        <w:tc>
          <w:tcPr>
            <w:tcW w:w="1860" w:type="dxa"/>
            <w:tcBorders>
              <w:bottom w:val="single" w:sz="16" w:space="0" w:color="000000"/>
            </w:tcBorders>
            <w:shd w:val="clear" w:color="auto" w:fill="FFFFFF"/>
            <w:tcMar>
              <w:top w:w="0" w:type="dxa"/>
              <w:left w:w="0" w:type="dxa"/>
              <w:bottom w:w="0" w:type="dxa"/>
              <w:right w:w="0" w:type="dxa"/>
            </w:tcMar>
            <w:vAlign w:val="center"/>
          </w:tcPr>
          <w:p w14:paraId="7E23CB46" w14:textId="77777777" w:rsidR="00A97DD2" w:rsidRDefault="00A97DD2" w:rsidP="009B1C8B">
            <w:pPr>
              <w:spacing w:before="60" w:after="60"/>
              <w:ind w:left="60" w:right="60"/>
            </w:pPr>
            <w:r>
              <w:rPr>
                <w:rFonts w:ascii="Times New Roman (Body)" w:eastAsia="Times New Roman (Body)" w:hAnsi="Times New Roman (Body)" w:cs="Times New Roman (Body)"/>
                <w:color w:val="000000"/>
                <w:sz w:val="16"/>
                <w:szCs w:val="16"/>
              </w:rPr>
              <w:t>Trade Openness</w:t>
            </w:r>
          </w:p>
        </w:tc>
        <w:tc>
          <w:tcPr>
            <w:tcW w:w="793" w:type="dxa"/>
            <w:tcBorders>
              <w:bottom w:val="single" w:sz="16" w:space="0" w:color="000000"/>
            </w:tcBorders>
            <w:shd w:val="clear" w:color="auto" w:fill="FFFFFF"/>
            <w:tcMar>
              <w:top w:w="0" w:type="dxa"/>
              <w:left w:w="0" w:type="dxa"/>
              <w:bottom w:w="0" w:type="dxa"/>
              <w:right w:w="0" w:type="dxa"/>
            </w:tcMar>
            <w:vAlign w:val="center"/>
          </w:tcPr>
          <w:p w14:paraId="3E3A264E"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40.07</w:t>
            </w:r>
          </w:p>
        </w:tc>
        <w:tc>
          <w:tcPr>
            <w:tcW w:w="873" w:type="dxa"/>
            <w:tcBorders>
              <w:bottom w:val="single" w:sz="16" w:space="0" w:color="000000"/>
            </w:tcBorders>
            <w:shd w:val="clear" w:color="auto" w:fill="FFFFFF"/>
            <w:tcMar>
              <w:top w:w="0" w:type="dxa"/>
              <w:left w:w="0" w:type="dxa"/>
              <w:bottom w:w="0" w:type="dxa"/>
              <w:right w:w="0" w:type="dxa"/>
            </w:tcMar>
            <w:vAlign w:val="center"/>
          </w:tcPr>
          <w:p w14:paraId="57DC4B23"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34.80</w:t>
            </w:r>
          </w:p>
        </w:tc>
        <w:tc>
          <w:tcPr>
            <w:tcW w:w="704" w:type="dxa"/>
            <w:tcBorders>
              <w:bottom w:val="single" w:sz="16" w:space="0" w:color="000000"/>
            </w:tcBorders>
            <w:shd w:val="clear" w:color="auto" w:fill="FFFFFF"/>
            <w:tcMar>
              <w:top w:w="0" w:type="dxa"/>
              <w:left w:w="0" w:type="dxa"/>
              <w:bottom w:w="0" w:type="dxa"/>
              <w:right w:w="0" w:type="dxa"/>
            </w:tcMar>
            <w:vAlign w:val="center"/>
          </w:tcPr>
          <w:p w14:paraId="393B5E86"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21.68</w:t>
            </w:r>
          </w:p>
        </w:tc>
        <w:tc>
          <w:tcPr>
            <w:tcW w:w="829" w:type="dxa"/>
            <w:tcBorders>
              <w:bottom w:val="single" w:sz="16" w:space="0" w:color="000000"/>
            </w:tcBorders>
            <w:shd w:val="clear" w:color="auto" w:fill="FFFFFF"/>
            <w:tcMar>
              <w:top w:w="0" w:type="dxa"/>
              <w:left w:w="0" w:type="dxa"/>
              <w:bottom w:w="0" w:type="dxa"/>
              <w:right w:w="0" w:type="dxa"/>
            </w:tcMar>
            <w:vAlign w:val="center"/>
          </w:tcPr>
          <w:p w14:paraId="35A6083B"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33.50</w:t>
            </w:r>
          </w:p>
        </w:tc>
        <w:tc>
          <w:tcPr>
            <w:tcW w:w="615" w:type="dxa"/>
            <w:tcBorders>
              <w:bottom w:val="single" w:sz="16" w:space="0" w:color="000000"/>
            </w:tcBorders>
            <w:shd w:val="clear" w:color="auto" w:fill="FFFFFF"/>
            <w:tcMar>
              <w:top w:w="0" w:type="dxa"/>
              <w:left w:w="0" w:type="dxa"/>
              <w:bottom w:w="0" w:type="dxa"/>
              <w:right w:w="0" w:type="dxa"/>
            </w:tcMar>
            <w:vAlign w:val="center"/>
          </w:tcPr>
          <w:p w14:paraId="3D969933"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48.5</w:t>
            </w:r>
          </w:p>
        </w:tc>
        <w:tc>
          <w:tcPr>
            <w:tcW w:w="704" w:type="dxa"/>
            <w:tcBorders>
              <w:bottom w:val="single" w:sz="16" w:space="0" w:color="000000"/>
            </w:tcBorders>
            <w:shd w:val="clear" w:color="auto" w:fill="FFFFFF"/>
            <w:tcMar>
              <w:top w:w="0" w:type="dxa"/>
              <w:left w:w="0" w:type="dxa"/>
              <w:bottom w:w="0" w:type="dxa"/>
              <w:right w:w="0" w:type="dxa"/>
            </w:tcMar>
            <w:vAlign w:val="center"/>
          </w:tcPr>
          <w:p w14:paraId="5580043B"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26.71</w:t>
            </w:r>
          </w:p>
        </w:tc>
        <w:tc>
          <w:tcPr>
            <w:tcW w:w="615" w:type="dxa"/>
            <w:tcBorders>
              <w:bottom w:val="single" w:sz="16" w:space="0" w:color="000000"/>
            </w:tcBorders>
            <w:shd w:val="clear" w:color="auto" w:fill="FFFFFF"/>
            <w:tcMar>
              <w:top w:w="0" w:type="dxa"/>
              <w:left w:w="0" w:type="dxa"/>
              <w:bottom w:w="0" w:type="dxa"/>
              <w:right w:w="0" w:type="dxa"/>
            </w:tcMar>
            <w:vAlign w:val="center"/>
          </w:tcPr>
          <w:p w14:paraId="2B2F28F2"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4.95</w:t>
            </w:r>
          </w:p>
        </w:tc>
        <w:tc>
          <w:tcPr>
            <w:tcW w:w="927" w:type="dxa"/>
            <w:tcBorders>
              <w:bottom w:val="single" w:sz="16" w:space="0" w:color="000000"/>
            </w:tcBorders>
            <w:shd w:val="clear" w:color="auto" w:fill="FFFFFF"/>
            <w:tcMar>
              <w:top w:w="0" w:type="dxa"/>
              <w:left w:w="0" w:type="dxa"/>
              <w:bottom w:w="0" w:type="dxa"/>
              <w:right w:w="0" w:type="dxa"/>
            </w:tcMar>
            <w:vAlign w:val="center"/>
          </w:tcPr>
          <w:p w14:paraId="4B4299C4"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619.70</w:t>
            </w:r>
          </w:p>
        </w:tc>
        <w:tc>
          <w:tcPr>
            <w:tcW w:w="820" w:type="dxa"/>
            <w:tcBorders>
              <w:bottom w:val="single" w:sz="16" w:space="0" w:color="000000"/>
            </w:tcBorders>
            <w:shd w:val="clear" w:color="auto" w:fill="FFFFFF"/>
            <w:tcMar>
              <w:top w:w="0" w:type="dxa"/>
              <w:left w:w="0" w:type="dxa"/>
              <w:bottom w:w="0" w:type="dxa"/>
              <w:right w:w="0" w:type="dxa"/>
            </w:tcMar>
            <w:vAlign w:val="center"/>
          </w:tcPr>
          <w:p w14:paraId="5511C37A"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724</w:t>
            </w:r>
          </w:p>
        </w:tc>
        <w:tc>
          <w:tcPr>
            <w:tcW w:w="935" w:type="dxa"/>
            <w:tcBorders>
              <w:bottom w:val="single" w:sz="16" w:space="0" w:color="000000"/>
            </w:tcBorders>
            <w:shd w:val="clear" w:color="auto" w:fill="FFFFFF"/>
            <w:tcMar>
              <w:top w:w="0" w:type="dxa"/>
              <w:left w:w="0" w:type="dxa"/>
              <w:bottom w:w="0" w:type="dxa"/>
              <w:right w:w="0" w:type="dxa"/>
            </w:tcMar>
            <w:vAlign w:val="center"/>
          </w:tcPr>
          <w:p w14:paraId="2584FFE8" w14:textId="77777777" w:rsidR="00A97DD2" w:rsidRDefault="00A97DD2" w:rsidP="009B1C8B">
            <w:pPr>
              <w:spacing w:before="60" w:after="60"/>
              <w:ind w:left="60" w:right="60"/>
              <w:jc w:val="right"/>
            </w:pPr>
            <w:r>
              <w:rPr>
                <w:rFonts w:ascii="Times New Roman (Body)" w:eastAsia="Times New Roman (Body)" w:hAnsi="Times New Roman (Body)" w:cs="Times New Roman (Body)"/>
                <w:color w:val="000000"/>
                <w:sz w:val="16"/>
                <w:szCs w:val="16"/>
              </w:rPr>
              <w:t>79</w:t>
            </w:r>
          </w:p>
        </w:tc>
      </w:tr>
    </w:tbl>
    <w:p w14:paraId="6E87AD39" w14:textId="77777777" w:rsidR="00A97DD2" w:rsidRDefault="00A97DD2" w:rsidP="00A97DD2"/>
    <w:p w14:paraId="1FDDDB51" w14:textId="77777777" w:rsidR="00A97DD2" w:rsidRPr="002B5A39" w:rsidRDefault="00A97DD2" w:rsidP="00A97DD2">
      <w:pPr>
        <w:rPr>
          <w:rFonts w:ascii="Times New Roman" w:hAnsi="Times New Roman" w:cs="Times New Roman"/>
        </w:rPr>
      </w:pPr>
    </w:p>
    <w:p w14:paraId="1D337796" w14:textId="77777777" w:rsidR="00A97DD2" w:rsidRPr="00BB5505" w:rsidRDefault="00A97DD2" w:rsidP="00A97DD2">
      <w:pPr>
        <w:ind w:left="720" w:hanging="720"/>
        <w:rPr>
          <w:rFonts w:ascii="Times New Roman" w:hAnsi="Times New Roman" w:cs="Times New Roman"/>
          <w:bCs/>
          <w:shd w:val="clear" w:color="auto" w:fill="FFFFFF"/>
        </w:rPr>
      </w:pPr>
    </w:p>
    <w:p w14:paraId="5EA58DB7" w14:textId="228B3B9D" w:rsidR="006A6C82" w:rsidRPr="00BB5505" w:rsidRDefault="006A6C82" w:rsidP="00D477B8">
      <w:pPr>
        <w:ind w:left="720" w:hanging="720"/>
        <w:rPr>
          <w:rFonts w:ascii="Times New Roman" w:hAnsi="Times New Roman" w:cs="Times New Roman"/>
          <w:bCs/>
          <w:shd w:val="clear" w:color="auto" w:fill="FFFFFF"/>
        </w:rPr>
      </w:pPr>
    </w:p>
    <w:sectPr w:rsidR="006A6C82" w:rsidRPr="00BB5505" w:rsidSect="00CE1CD9">
      <w:headerReference w:type="even" r:id="rId12"/>
      <w:headerReference w:type="default" r:id="rId13"/>
      <w:headerReference w:type="firs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A68033" w14:textId="77777777" w:rsidR="003A044E" w:rsidRDefault="003A044E" w:rsidP="003E6BC6">
      <w:r>
        <w:separator/>
      </w:r>
    </w:p>
  </w:endnote>
  <w:endnote w:type="continuationSeparator" w:id="0">
    <w:p w14:paraId="4B831F8B" w14:textId="77777777" w:rsidR="003A044E" w:rsidRDefault="003A044E" w:rsidP="003E6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Body)">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F87FC4" w14:textId="77777777" w:rsidR="003A044E" w:rsidRDefault="003A044E" w:rsidP="003E6BC6">
      <w:r>
        <w:separator/>
      </w:r>
    </w:p>
  </w:footnote>
  <w:footnote w:type="continuationSeparator" w:id="0">
    <w:p w14:paraId="18DC8DA1" w14:textId="77777777" w:rsidR="003A044E" w:rsidRDefault="003A044E" w:rsidP="003E6BC6">
      <w:r>
        <w:continuationSeparator/>
      </w:r>
    </w:p>
  </w:footnote>
  <w:footnote w:id="1">
    <w:p w14:paraId="27A53E16" w14:textId="77777777" w:rsidR="007C6452" w:rsidRPr="002B5A39" w:rsidRDefault="007C6452" w:rsidP="00BB5505">
      <w:pPr>
        <w:pStyle w:val="FootnoteText"/>
      </w:pPr>
      <w:r w:rsidRPr="002B5A39">
        <w:rPr>
          <w:rStyle w:val="FootnoteReference"/>
        </w:rPr>
        <w:footnoteRef/>
      </w:r>
      <w:r w:rsidRPr="002B5A39">
        <w:t xml:space="preserve"> It should be noted that the summary statistics for all the variables used in the analysis will be presented in the appendix. Additionally, the tests conducted to check the models’ assumptions are presented in the R script file’s first chunk of code.</w:t>
      </w:r>
    </w:p>
  </w:footnote>
  <w:footnote w:id="2">
    <w:p w14:paraId="094BA3E4" w14:textId="77777777" w:rsidR="007C6452" w:rsidRPr="002B5A39" w:rsidRDefault="007C6452" w:rsidP="00BB5505">
      <w:pPr>
        <w:pStyle w:val="FootnoteText"/>
      </w:pPr>
      <w:r w:rsidRPr="002B5A39">
        <w:rPr>
          <w:rStyle w:val="FootnoteReference"/>
        </w:rPr>
        <w:footnoteRef/>
      </w:r>
      <w:r w:rsidRPr="002B5A39">
        <w:t xml:space="preserve"> An odds ratio measures the level of association between the dependent and independent variables. Odds ratios indicate the odds that a result will occur given a specific exposure versus the odds that a result will occur without the exposure. Essentially, it compares the odds between an event happening versus an event not happening. An odds ratio score of 1 means that the treatment has no real effect on the variable. An odds ratio score greater than 1 suggests that the treatment does increase the odds of that outcome. An odds ratio less than 1 insinuates that the treatment decreases the odds of a specific outcome.</w:t>
      </w:r>
    </w:p>
  </w:footnote>
  <w:footnote w:id="3">
    <w:p w14:paraId="35DB29C3" w14:textId="62BFB39F" w:rsidR="007C6452" w:rsidRDefault="007C6452" w:rsidP="00BB5505">
      <w:pPr>
        <w:pStyle w:val="FootnoteText"/>
      </w:pPr>
      <w:r w:rsidRPr="002B5A39">
        <w:rPr>
          <w:rStyle w:val="FootnoteReference"/>
        </w:rPr>
        <w:footnoteRef/>
      </w:r>
      <w:r w:rsidRPr="002B5A39">
        <w:t xml:space="preserve"> I merged an updated version of Jay </w:t>
      </w:r>
      <w:proofErr w:type="spellStart"/>
      <w:r w:rsidRPr="002B5A39">
        <w:t>Ulfelder</w:t>
      </w:r>
      <w:proofErr w:type="spellEnd"/>
      <w:r w:rsidRPr="002B5A39">
        <w:t xml:space="preserve"> and Benjamin Valentin</w:t>
      </w:r>
      <w:r>
        <w:t>o</w:t>
      </w:r>
      <w:r w:rsidRPr="002B5A39">
        <w:t xml:space="preserve">’s mass killing dataset with </w:t>
      </w:r>
      <w:proofErr w:type="spellStart"/>
      <w:r w:rsidRPr="002B5A39">
        <w:t>Krcmaric’s</w:t>
      </w:r>
      <w:proofErr w:type="spellEnd"/>
      <w:r w:rsidRPr="002B5A39">
        <w:t xml:space="preserve"> dataset to make sure I had the correct variables to test Anderton and Carter’s model. This allowed me to measure threat, anocracy, new state status, and state discrimination (Early Warning Project, 2014; </w:t>
      </w:r>
      <w:proofErr w:type="spellStart"/>
      <w:r w:rsidRPr="002B5A39">
        <w:t>Ulfelder</w:t>
      </w:r>
      <w:proofErr w:type="spellEnd"/>
      <w:r w:rsidRPr="002B5A39">
        <w:t xml:space="preserve"> &amp; Valentino, 2008; </w:t>
      </w:r>
      <w:proofErr w:type="spellStart"/>
      <w:r w:rsidRPr="002B5A39">
        <w:t>Ulfelder</w:t>
      </w:r>
      <w:proofErr w:type="spellEnd"/>
      <w:r w:rsidRPr="002B5A39">
        <w:t>, 2013).</w:t>
      </w:r>
    </w:p>
  </w:footnote>
  <w:footnote w:id="4">
    <w:p w14:paraId="33DDDFB4" w14:textId="77777777" w:rsidR="007C6452" w:rsidRDefault="007C6452" w:rsidP="00BB5505">
      <w:pPr>
        <w:pStyle w:val="FootnoteText"/>
      </w:pPr>
      <w:r w:rsidRPr="002B5A39">
        <w:rPr>
          <w:rStyle w:val="FootnoteReference"/>
        </w:rPr>
        <w:footnoteRef/>
      </w:r>
      <w:r w:rsidRPr="002B5A39">
        <w:t xml:space="preserve"> I decided to use a binary variable instead copy what Anderton and Carter did in their model. They recoded the polity score variable to a 0-20 scale (Anderton &amp; Carter, 2014, p.16). When running the regression, they make the variable a polynomial. I stuck with the binary variable because it did not substantially change the results, and the standard error was smaller than the polynomial variable. Essentially, I was able to be more confident about the preciseness of my estimates.</w:t>
      </w:r>
    </w:p>
  </w:footnote>
  <w:footnote w:id="5">
    <w:p w14:paraId="61DBC944" w14:textId="77777777" w:rsidR="007C6452" w:rsidRDefault="007C6452" w:rsidP="00BB5505">
      <w:pPr>
        <w:pStyle w:val="FootnoteText"/>
      </w:pPr>
      <w:r>
        <w:rPr>
          <w:rStyle w:val="FootnoteReference"/>
        </w:rPr>
        <w:footnoteRef/>
      </w:r>
      <w:r>
        <w:t xml:space="preserve"> I did not use the high civilian support variable in my analysis because of time constraints.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10E25D" w14:textId="77777777" w:rsidR="007C6452" w:rsidRDefault="007C6452" w:rsidP="00512EA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C8D218" w14:textId="77777777" w:rsidR="007C6452" w:rsidRDefault="007C6452" w:rsidP="003E6BC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F9B15" w14:textId="77777777" w:rsidR="007C6452" w:rsidRDefault="007C6452" w:rsidP="00512EA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21</w:t>
    </w:r>
    <w:r>
      <w:rPr>
        <w:rStyle w:val="PageNumber"/>
      </w:rPr>
      <w:fldChar w:fldCharType="end"/>
    </w:r>
  </w:p>
  <w:p w14:paraId="440D5E47" w14:textId="239348BF" w:rsidR="007C6452" w:rsidRPr="003E6BC6" w:rsidRDefault="007C6452" w:rsidP="003E6BC6">
    <w:pPr>
      <w:pStyle w:val="Header"/>
      <w:ind w:right="360"/>
      <w:rPr>
        <w:rFonts w:ascii="Times New Roman" w:hAnsi="Times New Roman" w:cs="Times New Roman"/>
        <w:lang w:val="en-C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B9EBB" w14:textId="7563573D" w:rsidR="007C6452" w:rsidRPr="00E47F0A" w:rsidRDefault="007C6452" w:rsidP="00E47F0A">
    <w:pPr>
      <w:pStyle w:val="Header"/>
      <w:ind w:right="360"/>
      <w:rPr>
        <w:rFonts w:ascii="Times New Roman" w:hAnsi="Times New Roman" w:cs="Times New Roman"/>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D4037FC"/>
    <w:lvl w:ilvl="0">
      <w:start w:val="1"/>
      <w:numFmt w:val="decimal"/>
      <w:lvlText w:val="%1)"/>
      <w:lvlJc w:val="left"/>
      <w:pPr>
        <w:tabs>
          <w:tab w:val="num" w:pos="480"/>
        </w:tabs>
        <w:ind w:left="960" w:hanging="48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1" w15:restartNumberingAfterBreak="0">
    <w:nsid w:val="00000001"/>
    <w:multiLevelType w:val="multilevel"/>
    <w:tmpl w:val="0000000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00000004"/>
    <w:multiLevelType w:val="singleLevel"/>
    <w:tmpl w:val="00000004"/>
    <w:name w:val="WW8Num5"/>
    <w:lvl w:ilvl="0">
      <w:start w:val="1"/>
      <w:numFmt w:val="decimal"/>
      <w:lvlText w:val="%1."/>
      <w:lvlJc w:val="left"/>
      <w:pPr>
        <w:tabs>
          <w:tab w:val="num" w:pos="0"/>
        </w:tabs>
        <w:ind w:left="643" w:hanging="360"/>
      </w:pPr>
    </w:lvl>
  </w:abstractNum>
  <w:abstractNum w:abstractNumId="3" w15:restartNumberingAfterBreak="0">
    <w:nsid w:val="2B285E6C"/>
    <w:multiLevelType w:val="multilevel"/>
    <w:tmpl w:val="3F5C0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AF7D3D"/>
    <w:multiLevelType w:val="multilevel"/>
    <w:tmpl w:val="A3989FA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35A82339"/>
    <w:multiLevelType w:val="multilevel"/>
    <w:tmpl w:val="CED8C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2263B1"/>
    <w:multiLevelType w:val="hybridMultilevel"/>
    <w:tmpl w:val="1FE04EB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3F33C8F"/>
    <w:multiLevelType w:val="multilevel"/>
    <w:tmpl w:val="F80EC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2A6E00"/>
    <w:multiLevelType w:val="hybridMultilevel"/>
    <w:tmpl w:val="A4C24D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1315DCA"/>
    <w:multiLevelType w:val="multilevel"/>
    <w:tmpl w:val="2250C7C8"/>
    <w:lvl w:ilvl="0">
      <w:numFmt w:val="decimal"/>
      <w:lvlText w:val="%1)"/>
      <w:lvlJc w:val="left"/>
      <w:pPr>
        <w:tabs>
          <w:tab w:val="num" w:pos="720"/>
        </w:tabs>
        <w:ind w:left="1200" w:hanging="480"/>
      </w:pPr>
    </w:lvl>
    <w:lvl w:ilvl="1">
      <w:numFmt w:val="decimal"/>
      <w:lvlText w:val="%2)"/>
      <w:lvlJc w:val="left"/>
      <w:pPr>
        <w:tabs>
          <w:tab w:val="num" w:pos="1440"/>
        </w:tabs>
        <w:ind w:left="1920" w:hanging="480"/>
      </w:pPr>
    </w:lvl>
    <w:lvl w:ilvl="2">
      <w:numFmt w:val="decimal"/>
      <w:lvlText w:val="%3)"/>
      <w:lvlJc w:val="left"/>
      <w:pPr>
        <w:tabs>
          <w:tab w:val="num" w:pos="2160"/>
        </w:tabs>
        <w:ind w:left="2640" w:hanging="480"/>
      </w:pPr>
    </w:lvl>
    <w:lvl w:ilvl="3">
      <w:numFmt w:val="decimal"/>
      <w:lvlText w:val="%4)"/>
      <w:lvlJc w:val="left"/>
      <w:pPr>
        <w:tabs>
          <w:tab w:val="num" w:pos="2880"/>
        </w:tabs>
        <w:ind w:left="3360" w:hanging="480"/>
      </w:pPr>
    </w:lvl>
    <w:lvl w:ilvl="4">
      <w:numFmt w:val="decimal"/>
      <w:lvlText w:val="%5)"/>
      <w:lvlJc w:val="left"/>
      <w:pPr>
        <w:tabs>
          <w:tab w:val="num" w:pos="3600"/>
        </w:tabs>
        <w:ind w:left="4080" w:hanging="480"/>
      </w:pPr>
    </w:lvl>
    <w:lvl w:ilvl="5">
      <w:numFmt w:val="decimal"/>
      <w:lvlText w:val="%6)"/>
      <w:lvlJc w:val="left"/>
      <w:pPr>
        <w:tabs>
          <w:tab w:val="num" w:pos="4320"/>
        </w:tabs>
        <w:ind w:left="4800" w:hanging="480"/>
      </w:pPr>
    </w:lvl>
    <w:lvl w:ilvl="6">
      <w:numFmt w:val="decimal"/>
      <w:lvlText w:val="%7)"/>
      <w:lvlJc w:val="left"/>
      <w:pPr>
        <w:tabs>
          <w:tab w:val="num" w:pos="5040"/>
        </w:tabs>
        <w:ind w:left="5520" w:hanging="480"/>
      </w:pPr>
    </w:lvl>
    <w:lvl w:ilvl="7">
      <w:numFmt w:val="decimal"/>
      <w:lvlText w:val="%8)"/>
      <w:lvlJc w:val="left"/>
      <w:pPr>
        <w:tabs>
          <w:tab w:val="num" w:pos="5760"/>
        </w:tabs>
        <w:ind w:left="6240" w:hanging="480"/>
      </w:pPr>
    </w:lvl>
    <w:lvl w:ilvl="8">
      <w:numFmt w:val="decimal"/>
      <w:lvlText w:val="%9)"/>
      <w:lvlJc w:val="left"/>
      <w:pPr>
        <w:tabs>
          <w:tab w:val="num" w:pos="6480"/>
        </w:tabs>
        <w:ind w:left="6960" w:hanging="480"/>
      </w:pPr>
    </w:lvl>
  </w:abstractNum>
  <w:abstractNum w:abstractNumId="10" w15:restartNumberingAfterBreak="0">
    <w:nsid w:val="7FB80DD7"/>
    <w:multiLevelType w:val="multilevel"/>
    <w:tmpl w:val="46988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4"/>
  </w:num>
  <w:num w:numId="4">
    <w:abstractNumId w:val="2"/>
    <w:lvlOverride w:ilvl="0">
      <w:startOverride w:val="1"/>
    </w:lvlOverride>
  </w:num>
  <w:num w:numId="5">
    <w:abstractNumId w:val="2"/>
  </w:num>
  <w:num w:numId="6">
    <w:abstractNumId w:val="7"/>
  </w:num>
  <w:num w:numId="7">
    <w:abstractNumId w:val="1"/>
  </w:num>
  <w:num w:numId="8">
    <w:abstractNumId w:val="3"/>
  </w:num>
  <w:num w:numId="9">
    <w:abstractNumId w:val="1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BC6"/>
    <w:rsid w:val="00003EC0"/>
    <w:rsid w:val="00006B6A"/>
    <w:rsid w:val="00032BF3"/>
    <w:rsid w:val="00041139"/>
    <w:rsid w:val="00045F6A"/>
    <w:rsid w:val="0005007F"/>
    <w:rsid w:val="0005010E"/>
    <w:rsid w:val="000542AD"/>
    <w:rsid w:val="00056919"/>
    <w:rsid w:val="00061C5D"/>
    <w:rsid w:val="0007187F"/>
    <w:rsid w:val="00073766"/>
    <w:rsid w:val="00073834"/>
    <w:rsid w:val="000765AB"/>
    <w:rsid w:val="00082C14"/>
    <w:rsid w:val="00082CE0"/>
    <w:rsid w:val="00090930"/>
    <w:rsid w:val="00094970"/>
    <w:rsid w:val="0009613D"/>
    <w:rsid w:val="000A2F7F"/>
    <w:rsid w:val="000A68D5"/>
    <w:rsid w:val="000B0365"/>
    <w:rsid w:val="000B1598"/>
    <w:rsid w:val="000B32E8"/>
    <w:rsid w:val="000B497B"/>
    <w:rsid w:val="000D05C2"/>
    <w:rsid w:val="000D148F"/>
    <w:rsid w:val="000D1624"/>
    <w:rsid w:val="000D20D4"/>
    <w:rsid w:val="000F3E71"/>
    <w:rsid w:val="000F5AA2"/>
    <w:rsid w:val="00124240"/>
    <w:rsid w:val="00124296"/>
    <w:rsid w:val="001247F0"/>
    <w:rsid w:val="00136228"/>
    <w:rsid w:val="00142CEB"/>
    <w:rsid w:val="00144ED8"/>
    <w:rsid w:val="0014594B"/>
    <w:rsid w:val="00175EB0"/>
    <w:rsid w:val="00176166"/>
    <w:rsid w:val="00177871"/>
    <w:rsid w:val="0019099E"/>
    <w:rsid w:val="001956D1"/>
    <w:rsid w:val="00195EF7"/>
    <w:rsid w:val="001969E9"/>
    <w:rsid w:val="00196D0D"/>
    <w:rsid w:val="001A1344"/>
    <w:rsid w:val="001A3134"/>
    <w:rsid w:val="001B6E3F"/>
    <w:rsid w:val="001B71CD"/>
    <w:rsid w:val="001C4AF8"/>
    <w:rsid w:val="001C4B07"/>
    <w:rsid w:val="001C4E95"/>
    <w:rsid w:val="001C5768"/>
    <w:rsid w:val="001C5944"/>
    <w:rsid w:val="001D1F9C"/>
    <w:rsid w:val="001D3B73"/>
    <w:rsid w:val="001F0CCB"/>
    <w:rsid w:val="001F4B51"/>
    <w:rsid w:val="001F7A3C"/>
    <w:rsid w:val="00210844"/>
    <w:rsid w:val="0021138A"/>
    <w:rsid w:val="00212F33"/>
    <w:rsid w:val="00221AC4"/>
    <w:rsid w:val="00240CF1"/>
    <w:rsid w:val="002414ED"/>
    <w:rsid w:val="00246EA8"/>
    <w:rsid w:val="002506FF"/>
    <w:rsid w:val="002600F7"/>
    <w:rsid w:val="00265667"/>
    <w:rsid w:val="002742E8"/>
    <w:rsid w:val="00291CDE"/>
    <w:rsid w:val="00294EA1"/>
    <w:rsid w:val="002A660D"/>
    <w:rsid w:val="002B0003"/>
    <w:rsid w:val="002B12FA"/>
    <w:rsid w:val="002B39F8"/>
    <w:rsid w:val="002B5A39"/>
    <w:rsid w:val="002B7AB2"/>
    <w:rsid w:val="002C3666"/>
    <w:rsid w:val="002C7E6E"/>
    <w:rsid w:val="002D0C56"/>
    <w:rsid w:val="002F44A7"/>
    <w:rsid w:val="002F6BC4"/>
    <w:rsid w:val="00320441"/>
    <w:rsid w:val="003208FB"/>
    <w:rsid w:val="003228EF"/>
    <w:rsid w:val="003255B2"/>
    <w:rsid w:val="0034177F"/>
    <w:rsid w:val="00345F7C"/>
    <w:rsid w:val="00360D27"/>
    <w:rsid w:val="00365C86"/>
    <w:rsid w:val="00365D65"/>
    <w:rsid w:val="0036790D"/>
    <w:rsid w:val="00372016"/>
    <w:rsid w:val="003737B7"/>
    <w:rsid w:val="00374B9C"/>
    <w:rsid w:val="00377EFD"/>
    <w:rsid w:val="0038690B"/>
    <w:rsid w:val="00387805"/>
    <w:rsid w:val="00391D24"/>
    <w:rsid w:val="003A044E"/>
    <w:rsid w:val="003A269A"/>
    <w:rsid w:val="003A3B2E"/>
    <w:rsid w:val="003A3E9C"/>
    <w:rsid w:val="003B2EC3"/>
    <w:rsid w:val="003C13F2"/>
    <w:rsid w:val="003C44DB"/>
    <w:rsid w:val="003D1AD5"/>
    <w:rsid w:val="003D363F"/>
    <w:rsid w:val="003D7707"/>
    <w:rsid w:val="003E0BC3"/>
    <w:rsid w:val="003E3AE5"/>
    <w:rsid w:val="003E43AA"/>
    <w:rsid w:val="003E6BC6"/>
    <w:rsid w:val="004020F1"/>
    <w:rsid w:val="00406CF6"/>
    <w:rsid w:val="00410E29"/>
    <w:rsid w:val="0042157B"/>
    <w:rsid w:val="004223B0"/>
    <w:rsid w:val="00433E82"/>
    <w:rsid w:val="00434EE4"/>
    <w:rsid w:val="00442D81"/>
    <w:rsid w:val="004433B4"/>
    <w:rsid w:val="00444348"/>
    <w:rsid w:val="004508D5"/>
    <w:rsid w:val="0045263C"/>
    <w:rsid w:val="00455B44"/>
    <w:rsid w:val="004600AC"/>
    <w:rsid w:val="00460D78"/>
    <w:rsid w:val="0047291F"/>
    <w:rsid w:val="004870F4"/>
    <w:rsid w:val="00493F3B"/>
    <w:rsid w:val="004A3495"/>
    <w:rsid w:val="004A58FB"/>
    <w:rsid w:val="004A5EFA"/>
    <w:rsid w:val="004B15E9"/>
    <w:rsid w:val="004B2CA5"/>
    <w:rsid w:val="004B5B6F"/>
    <w:rsid w:val="004B7649"/>
    <w:rsid w:val="004C0A06"/>
    <w:rsid w:val="004C6524"/>
    <w:rsid w:val="004D0EB3"/>
    <w:rsid w:val="004D2B90"/>
    <w:rsid w:val="004D4C0C"/>
    <w:rsid w:val="004F2C62"/>
    <w:rsid w:val="004F5C51"/>
    <w:rsid w:val="0050109C"/>
    <w:rsid w:val="00504AA8"/>
    <w:rsid w:val="00506929"/>
    <w:rsid w:val="00512292"/>
    <w:rsid w:val="0051270C"/>
    <w:rsid w:val="00512EA3"/>
    <w:rsid w:val="00514D4F"/>
    <w:rsid w:val="00520B94"/>
    <w:rsid w:val="00536DE8"/>
    <w:rsid w:val="00557B0E"/>
    <w:rsid w:val="005631C7"/>
    <w:rsid w:val="00571DBA"/>
    <w:rsid w:val="00582E79"/>
    <w:rsid w:val="00583E36"/>
    <w:rsid w:val="0059045F"/>
    <w:rsid w:val="00596924"/>
    <w:rsid w:val="005B253D"/>
    <w:rsid w:val="005B3A03"/>
    <w:rsid w:val="005B3D37"/>
    <w:rsid w:val="005B726F"/>
    <w:rsid w:val="005C13A4"/>
    <w:rsid w:val="005D23AE"/>
    <w:rsid w:val="005E1D65"/>
    <w:rsid w:val="005E21D2"/>
    <w:rsid w:val="00603E8D"/>
    <w:rsid w:val="00606002"/>
    <w:rsid w:val="006076AF"/>
    <w:rsid w:val="00612FE4"/>
    <w:rsid w:val="006149FF"/>
    <w:rsid w:val="00614D1E"/>
    <w:rsid w:val="00624186"/>
    <w:rsid w:val="00647435"/>
    <w:rsid w:val="006543C9"/>
    <w:rsid w:val="00656457"/>
    <w:rsid w:val="00656969"/>
    <w:rsid w:val="00656E2E"/>
    <w:rsid w:val="006712BE"/>
    <w:rsid w:val="006836CB"/>
    <w:rsid w:val="00695703"/>
    <w:rsid w:val="006A1754"/>
    <w:rsid w:val="006A18B8"/>
    <w:rsid w:val="006A18EC"/>
    <w:rsid w:val="006A27A5"/>
    <w:rsid w:val="006A3046"/>
    <w:rsid w:val="006A6C82"/>
    <w:rsid w:val="006B73A4"/>
    <w:rsid w:val="006C061C"/>
    <w:rsid w:val="006C1970"/>
    <w:rsid w:val="006C4B25"/>
    <w:rsid w:val="006D4A8D"/>
    <w:rsid w:val="006D7DC1"/>
    <w:rsid w:val="006E0775"/>
    <w:rsid w:val="006E0C9E"/>
    <w:rsid w:val="006E1325"/>
    <w:rsid w:val="006E3CD7"/>
    <w:rsid w:val="006F0BC8"/>
    <w:rsid w:val="006F7071"/>
    <w:rsid w:val="00713A3E"/>
    <w:rsid w:val="00716A2D"/>
    <w:rsid w:val="007203B8"/>
    <w:rsid w:val="00721A93"/>
    <w:rsid w:val="00731FA2"/>
    <w:rsid w:val="00734106"/>
    <w:rsid w:val="00744E07"/>
    <w:rsid w:val="00752939"/>
    <w:rsid w:val="00757F49"/>
    <w:rsid w:val="007765C8"/>
    <w:rsid w:val="00791C17"/>
    <w:rsid w:val="007926E3"/>
    <w:rsid w:val="00793B3F"/>
    <w:rsid w:val="007945AF"/>
    <w:rsid w:val="007B0B43"/>
    <w:rsid w:val="007B10CD"/>
    <w:rsid w:val="007B506D"/>
    <w:rsid w:val="007B5C03"/>
    <w:rsid w:val="007C1717"/>
    <w:rsid w:val="007C3605"/>
    <w:rsid w:val="007C6452"/>
    <w:rsid w:val="007D35D3"/>
    <w:rsid w:val="007E7FD0"/>
    <w:rsid w:val="007F1422"/>
    <w:rsid w:val="007F1C1D"/>
    <w:rsid w:val="00800A45"/>
    <w:rsid w:val="00802A42"/>
    <w:rsid w:val="00811B3A"/>
    <w:rsid w:val="00817A3C"/>
    <w:rsid w:val="00820D6E"/>
    <w:rsid w:val="0082762E"/>
    <w:rsid w:val="00831F98"/>
    <w:rsid w:val="00833800"/>
    <w:rsid w:val="00835C32"/>
    <w:rsid w:val="00840923"/>
    <w:rsid w:val="008516E4"/>
    <w:rsid w:val="00853150"/>
    <w:rsid w:val="00875E83"/>
    <w:rsid w:val="00876FD4"/>
    <w:rsid w:val="00880B0B"/>
    <w:rsid w:val="00881812"/>
    <w:rsid w:val="00893127"/>
    <w:rsid w:val="0089547F"/>
    <w:rsid w:val="008A47E9"/>
    <w:rsid w:val="008A6F95"/>
    <w:rsid w:val="008B0314"/>
    <w:rsid w:val="008B16DF"/>
    <w:rsid w:val="008B2718"/>
    <w:rsid w:val="008B5FC0"/>
    <w:rsid w:val="008C1CF1"/>
    <w:rsid w:val="008D2DDC"/>
    <w:rsid w:val="008E66D3"/>
    <w:rsid w:val="00901569"/>
    <w:rsid w:val="0090300C"/>
    <w:rsid w:val="00910425"/>
    <w:rsid w:val="0092219A"/>
    <w:rsid w:val="009238F4"/>
    <w:rsid w:val="0092698F"/>
    <w:rsid w:val="00930432"/>
    <w:rsid w:val="00936BF9"/>
    <w:rsid w:val="0094025C"/>
    <w:rsid w:val="009426B3"/>
    <w:rsid w:val="00942796"/>
    <w:rsid w:val="009552BC"/>
    <w:rsid w:val="009707F0"/>
    <w:rsid w:val="009804CF"/>
    <w:rsid w:val="009826A5"/>
    <w:rsid w:val="009847D4"/>
    <w:rsid w:val="0098799A"/>
    <w:rsid w:val="00987FC9"/>
    <w:rsid w:val="009949C9"/>
    <w:rsid w:val="00996092"/>
    <w:rsid w:val="009A38D2"/>
    <w:rsid w:val="009B5170"/>
    <w:rsid w:val="009C2A7E"/>
    <w:rsid w:val="009D2153"/>
    <w:rsid w:val="009D6C78"/>
    <w:rsid w:val="009E6169"/>
    <w:rsid w:val="009F4225"/>
    <w:rsid w:val="00A118DB"/>
    <w:rsid w:val="00A1315E"/>
    <w:rsid w:val="00A132A9"/>
    <w:rsid w:val="00A14088"/>
    <w:rsid w:val="00A2147E"/>
    <w:rsid w:val="00A31216"/>
    <w:rsid w:val="00A31587"/>
    <w:rsid w:val="00A33DFB"/>
    <w:rsid w:val="00A414D8"/>
    <w:rsid w:val="00A45B79"/>
    <w:rsid w:val="00A47266"/>
    <w:rsid w:val="00A47CC3"/>
    <w:rsid w:val="00A529C4"/>
    <w:rsid w:val="00A65317"/>
    <w:rsid w:val="00A8139A"/>
    <w:rsid w:val="00A90F42"/>
    <w:rsid w:val="00A97DD2"/>
    <w:rsid w:val="00AA0ECA"/>
    <w:rsid w:val="00AC1E00"/>
    <w:rsid w:val="00AC4213"/>
    <w:rsid w:val="00AC5049"/>
    <w:rsid w:val="00AD5312"/>
    <w:rsid w:val="00AF6E29"/>
    <w:rsid w:val="00B0155F"/>
    <w:rsid w:val="00B02AB6"/>
    <w:rsid w:val="00B16682"/>
    <w:rsid w:val="00B17E3E"/>
    <w:rsid w:val="00B26018"/>
    <w:rsid w:val="00B400BF"/>
    <w:rsid w:val="00B404FA"/>
    <w:rsid w:val="00B4159F"/>
    <w:rsid w:val="00B421CE"/>
    <w:rsid w:val="00B676D1"/>
    <w:rsid w:val="00B74650"/>
    <w:rsid w:val="00B9210D"/>
    <w:rsid w:val="00B93FBC"/>
    <w:rsid w:val="00B94D0E"/>
    <w:rsid w:val="00BA09B6"/>
    <w:rsid w:val="00BA7D30"/>
    <w:rsid w:val="00BB3E39"/>
    <w:rsid w:val="00BB5505"/>
    <w:rsid w:val="00BC4A81"/>
    <w:rsid w:val="00BD0F71"/>
    <w:rsid w:val="00BD1541"/>
    <w:rsid w:val="00BE5860"/>
    <w:rsid w:val="00BF3BED"/>
    <w:rsid w:val="00C04034"/>
    <w:rsid w:val="00C049D8"/>
    <w:rsid w:val="00C14368"/>
    <w:rsid w:val="00C23CB2"/>
    <w:rsid w:val="00C30DAC"/>
    <w:rsid w:val="00C333FE"/>
    <w:rsid w:val="00C440D5"/>
    <w:rsid w:val="00C452C8"/>
    <w:rsid w:val="00C47ACB"/>
    <w:rsid w:val="00C570F0"/>
    <w:rsid w:val="00C92986"/>
    <w:rsid w:val="00C939BB"/>
    <w:rsid w:val="00CB54EE"/>
    <w:rsid w:val="00CB5539"/>
    <w:rsid w:val="00CC09C7"/>
    <w:rsid w:val="00CC18A0"/>
    <w:rsid w:val="00CC62B0"/>
    <w:rsid w:val="00CD1F3E"/>
    <w:rsid w:val="00CE1CD9"/>
    <w:rsid w:val="00CE59E4"/>
    <w:rsid w:val="00CE700B"/>
    <w:rsid w:val="00CF1C7C"/>
    <w:rsid w:val="00CF500D"/>
    <w:rsid w:val="00CF7A14"/>
    <w:rsid w:val="00D151E5"/>
    <w:rsid w:val="00D229C0"/>
    <w:rsid w:val="00D2512A"/>
    <w:rsid w:val="00D41B68"/>
    <w:rsid w:val="00D477B8"/>
    <w:rsid w:val="00D55833"/>
    <w:rsid w:val="00D559CC"/>
    <w:rsid w:val="00D65FD8"/>
    <w:rsid w:val="00D664D8"/>
    <w:rsid w:val="00D67E52"/>
    <w:rsid w:val="00D715B7"/>
    <w:rsid w:val="00D73D09"/>
    <w:rsid w:val="00D96679"/>
    <w:rsid w:val="00DA56A6"/>
    <w:rsid w:val="00DA6E87"/>
    <w:rsid w:val="00DB3DF2"/>
    <w:rsid w:val="00DB4551"/>
    <w:rsid w:val="00DB5885"/>
    <w:rsid w:val="00DC34F8"/>
    <w:rsid w:val="00DD0631"/>
    <w:rsid w:val="00DD4A17"/>
    <w:rsid w:val="00DD650C"/>
    <w:rsid w:val="00DD67EF"/>
    <w:rsid w:val="00DE4433"/>
    <w:rsid w:val="00DF6A73"/>
    <w:rsid w:val="00E02BF6"/>
    <w:rsid w:val="00E11D6D"/>
    <w:rsid w:val="00E30DA5"/>
    <w:rsid w:val="00E341AF"/>
    <w:rsid w:val="00E4162F"/>
    <w:rsid w:val="00E41D17"/>
    <w:rsid w:val="00E45C7B"/>
    <w:rsid w:val="00E47F0A"/>
    <w:rsid w:val="00E5134D"/>
    <w:rsid w:val="00E550FC"/>
    <w:rsid w:val="00E648C9"/>
    <w:rsid w:val="00E743D4"/>
    <w:rsid w:val="00E7626E"/>
    <w:rsid w:val="00E80230"/>
    <w:rsid w:val="00E83C31"/>
    <w:rsid w:val="00E97C5A"/>
    <w:rsid w:val="00EA7E5A"/>
    <w:rsid w:val="00EB15E4"/>
    <w:rsid w:val="00EB1EC3"/>
    <w:rsid w:val="00EC4F47"/>
    <w:rsid w:val="00EE3BE3"/>
    <w:rsid w:val="00EE3D83"/>
    <w:rsid w:val="00EF064D"/>
    <w:rsid w:val="00F12CC9"/>
    <w:rsid w:val="00F1377F"/>
    <w:rsid w:val="00F22D18"/>
    <w:rsid w:val="00F23816"/>
    <w:rsid w:val="00F2531B"/>
    <w:rsid w:val="00F254BB"/>
    <w:rsid w:val="00F305D9"/>
    <w:rsid w:val="00F3189C"/>
    <w:rsid w:val="00F35D25"/>
    <w:rsid w:val="00F36676"/>
    <w:rsid w:val="00F4215C"/>
    <w:rsid w:val="00F56ABA"/>
    <w:rsid w:val="00F64004"/>
    <w:rsid w:val="00F67F03"/>
    <w:rsid w:val="00F7180C"/>
    <w:rsid w:val="00F7219F"/>
    <w:rsid w:val="00F829FD"/>
    <w:rsid w:val="00F84F10"/>
    <w:rsid w:val="00F87F58"/>
    <w:rsid w:val="00F90319"/>
    <w:rsid w:val="00F942CA"/>
    <w:rsid w:val="00F97333"/>
    <w:rsid w:val="00FA1073"/>
    <w:rsid w:val="00FA7665"/>
    <w:rsid w:val="00FB17E2"/>
    <w:rsid w:val="00FE4BC6"/>
    <w:rsid w:val="00FE6BC3"/>
    <w:rsid w:val="00FE7D64"/>
    <w:rsid w:val="00FF1150"/>
    <w:rsid w:val="00FF3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766E3"/>
  <w14:defaultImageDpi w14:val="32767"/>
  <w15:chartTrackingRefBased/>
  <w15:docId w15:val="{8C5C7E27-C7A1-4088-9CF7-505B3D061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BB550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BodyText"/>
    <w:link w:val="Heading2Char"/>
    <w:uiPriority w:val="9"/>
    <w:unhideWhenUsed/>
    <w:qFormat/>
    <w:rsid w:val="00BB5505"/>
    <w:pPr>
      <w:keepNext/>
      <w:keepLines/>
      <w:spacing w:before="200"/>
      <w:outlineLvl w:val="1"/>
    </w:pPr>
    <w:rPr>
      <w:rFonts w:asciiTheme="majorHAnsi" w:eastAsiaTheme="majorEastAsia" w:hAnsiTheme="majorHAnsi" w:cstheme="majorBidi"/>
      <w:b/>
      <w:bCs/>
      <w:color w:val="5B9BD5"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6BC6"/>
    <w:pPr>
      <w:tabs>
        <w:tab w:val="center" w:pos="4680"/>
        <w:tab w:val="right" w:pos="9360"/>
      </w:tabs>
    </w:pPr>
  </w:style>
  <w:style w:type="character" w:customStyle="1" w:styleId="HeaderChar">
    <w:name w:val="Header Char"/>
    <w:basedOn w:val="DefaultParagraphFont"/>
    <w:link w:val="Header"/>
    <w:uiPriority w:val="99"/>
    <w:rsid w:val="003E6BC6"/>
  </w:style>
  <w:style w:type="paragraph" w:styleId="Footer">
    <w:name w:val="footer"/>
    <w:basedOn w:val="Normal"/>
    <w:link w:val="FooterChar"/>
    <w:uiPriority w:val="99"/>
    <w:unhideWhenUsed/>
    <w:rsid w:val="003E6BC6"/>
    <w:pPr>
      <w:tabs>
        <w:tab w:val="center" w:pos="4680"/>
        <w:tab w:val="right" w:pos="9360"/>
      </w:tabs>
    </w:pPr>
  </w:style>
  <w:style w:type="character" w:customStyle="1" w:styleId="FooterChar">
    <w:name w:val="Footer Char"/>
    <w:basedOn w:val="DefaultParagraphFont"/>
    <w:link w:val="Footer"/>
    <w:uiPriority w:val="99"/>
    <w:rsid w:val="003E6BC6"/>
  </w:style>
  <w:style w:type="character" w:styleId="PageNumber">
    <w:name w:val="page number"/>
    <w:basedOn w:val="DefaultParagraphFont"/>
    <w:uiPriority w:val="99"/>
    <w:semiHidden/>
    <w:unhideWhenUsed/>
    <w:rsid w:val="003E6BC6"/>
  </w:style>
  <w:style w:type="paragraph" w:styleId="NormalWeb">
    <w:name w:val="Normal (Web)"/>
    <w:basedOn w:val="Normal"/>
    <w:uiPriority w:val="99"/>
    <w:unhideWhenUsed/>
    <w:rsid w:val="00B16682"/>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FF1150"/>
    <w:rPr>
      <w:b/>
      <w:bCs/>
    </w:rPr>
  </w:style>
  <w:style w:type="character" w:styleId="Emphasis">
    <w:name w:val="Emphasis"/>
    <w:basedOn w:val="DefaultParagraphFont"/>
    <w:uiPriority w:val="20"/>
    <w:qFormat/>
    <w:rsid w:val="00212F33"/>
    <w:rPr>
      <w:i/>
      <w:iCs/>
    </w:rPr>
  </w:style>
  <w:style w:type="paragraph" w:styleId="ListParagraph">
    <w:name w:val="List Paragraph"/>
    <w:basedOn w:val="Normal"/>
    <w:uiPriority w:val="34"/>
    <w:qFormat/>
    <w:rsid w:val="006E3CD7"/>
    <w:pPr>
      <w:ind w:left="720"/>
      <w:contextualSpacing/>
    </w:pPr>
  </w:style>
  <w:style w:type="character" w:styleId="Hyperlink">
    <w:name w:val="Hyperlink"/>
    <w:basedOn w:val="DefaultParagraphFont"/>
    <w:unhideWhenUsed/>
    <w:rsid w:val="000B497B"/>
    <w:rPr>
      <w:color w:val="0000FF"/>
      <w:u w:val="single" w:color="000000"/>
    </w:rPr>
  </w:style>
  <w:style w:type="character" w:customStyle="1" w:styleId="apple-converted-space">
    <w:name w:val="apple-converted-space"/>
    <w:rsid w:val="000B497B"/>
  </w:style>
  <w:style w:type="character" w:customStyle="1" w:styleId="UnresolvedMention1">
    <w:name w:val="Unresolved Mention1"/>
    <w:basedOn w:val="DefaultParagraphFont"/>
    <w:uiPriority w:val="99"/>
    <w:rsid w:val="00C47ACB"/>
    <w:rPr>
      <w:color w:val="605E5C"/>
      <w:shd w:val="clear" w:color="auto" w:fill="E1DFDD"/>
    </w:rPr>
  </w:style>
  <w:style w:type="paragraph" w:styleId="FootnoteText">
    <w:name w:val="footnote text"/>
    <w:basedOn w:val="Normal"/>
    <w:link w:val="FootnoteTextChar"/>
    <w:uiPriority w:val="9"/>
    <w:unhideWhenUsed/>
    <w:qFormat/>
    <w:rsid w:val="005631C7"/>
    <w:pPr>
      <w:widowControl w:val="0"/>
      <w:suppressAutoHyphens/>
      <w:spacing w:line="100" w:lineRule="atLeast"/>
    </w:pPr>
    <w:rPr>
      <w:rFonts w:ascii="Times New Roman" w:eastAsia="Lucida Sans Unicode" w:hAnsi="Times New Roman" w:cs="Tahoma"/>
      <w:kern w:val="2"/>
      <w:sz w:val="20"/>
      <w:szCs w:val="20"/>
      <w:lang w:val="en-CA" w:eastAsia="ar-SA"/>
    </w:rPr>
  </w:style>
  <w:style w:type="character" w:customStyle="1" w:styleId="FootnoteTextChar">
    <w:name w:val="Footnote Text Char"/>
    <w:basedOn w:val="DefaultParagraphFont"/>
    <w:link w:val="FootnoteText"/>
    <w:uiPriority w:val="99"/>
    <w:rsid w:val="005631C7"/>
    <w:rPr>
      <w:rFonts w:ascii="Times New Roman" w:eastAsia="Lucida Sans Unicode" w:hAnsi="Times New Roman" w:cs="Tahoma"/>
      <w:kern w:val="2"/>
      <w:sz w:val="20"/>
      <w:szCs w:val="20"/>
      <w:lang w:val="en-CA" w:eastAsia="ar-SA"/>
    </w:rPr>
  </w:style>
  <w:style w:type="character" w:customStyle="1" w:styleId="FootnoteCharacters">
    <w:name w:val="Footnote Characters"/>
    <w:rsid w:val="005631C7"/>
    <w:rPr>
      <w:vertAlign w:val="superscript"/>
    </w:rPr>
  </w:style>
  <w:style w:type="character" w:styleId="FootnoteReference">
    <w:name w:val="footnote reference"/>
    <w:unhideWhenUsed/>
    <w:rsid w:val="00A8139A"/>
    <w:rPr>
      <w:vertAlign w:val="superscript"/>
    </w:rPr>
  </w:style>
  <w:style w:type="character" w:customStyle="1" w:styleId="UnresolvedMention2">
    <w:name w:val="Unresolved Mention2"/>
    <w:basedOn w:val="DefaultParagraphFont"/>
    <w:uiPriority w:val="99"/>
    <w:rsid w:val="002B0003"/>
    <w:rPr>
      <w:color w:val="605E5C"/>
      <w:shd w:val="clear" w:color="auto" w:fill="E1DFDD"/>
    </w:rPr>
  </w:style>
  <w:style w:type="paragraph" w:styleId="BodyText">
    <w:name w:val="Body Text"/>
    <w:basedOn w:val="Normal"/>
    <w:link w:val="BodyTextChar"/>
    <w:rsid w:val="00820D6E"/>
    <w:pPr>
      <w:widowControl w:val="0"/>
      <w:suppressAutoHyphens/>
      <w:spacing w:after="120"/>
    </w:pPr>
    <w:rPr>
      <w:rFonts w:ascii="Times New Roman" w:eastAsia="Arial Unicode MS" w:hAnsi="Times New Roman" w:cs="Arial Unicode MS"/>
      <w:kern w:val="1"/>
      <w:lang w:val="en-CA" w:eastAsia="hi-IN" w:bidi="hi-IN"/>
    </w:rPr>
  </w:style>
  <w:style w:type="character" w:customStyle="1" w:styleId="BodyTextChar">
    <w:name w:val="Body Text Char"/>
    <w:basedOn w:val="DefaultParagraphFont"/>
    <w:link w:val="BodyText"/>
    <w:rsid w:val="00820D6E"/>
    <w:rPr>
      <w:rFonts w:ascii="Times New Roman" w:eastAsia="Arial Unicode MS" w:hAnsi="Times New Roman" w:cs="Arial Unicode MS"/>
      <w:kern w:val="1"/>
      <w:lang w:val="en-CA" w:eastAsia="hi-IN" w:bidi="hi-IN"/>
    </w:rPr>
  </w:style>
  <w:style w:type="character" w:customStyle="1" w:styleId="Heading1Char">
    <w:name w:val="Heading 1 Char"/>
    <w:basedOn w:val="DefaultParagraphFont"/>
    <w:link w:val="Heading1"/>
    <w:uiPriority w:val="9"/>
    <w:rsid w:val="00BB5505"/>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BB5505"/>
    <w:rPr>
      <w:rFonts w:asciiTheme="majorHAnsi" w:eastAsiaTheme="majorEastAsia" w:hAnsiTheme="majorHAnsi" w:cstheme="majorBidi"/>
      <w:b/>
      <w:bCs/>
      <w:color w:val="5B9BD5" w:themeColor="accent1"/>
      <w:sz w:val="32"/>
      <w:szCs w:val="32"/>
    </w:rPr>
  </w:style>
  <w:style w:type="paragraph" w:customStyle="1" w:styleId="FirstParagraph">
    <w:name w:val="First Paragraph"/>
    <w:basedOn w:val="BodyText"/>
    <w:next w:val="BodyText"/>
    <w:qFormat/>
    <w:rsid w:val="00BB5505"/>
    <w:pPr>
      <w:widowControl/>
      <w:suppressAutoHyphens w:val="0"/>
      <w:spacing w:before="180" w:after="180"/>
    </w:pPr>
    <w:rPr>
      <w:rFonts w:asciiTheme="minorHAnsi" w:eastAsiaTheme="minorHAnsi" w:hAnsiTheme="minorHAnsi" w:cstheme="minorBidi"/>
      <w:kern w:val="0"/>
      <w:lang w:val="en-US" w:eastAsia="en-US" w:bidi="ar-SA"/>
    </w:rPr>
  </w:style>
  <w:style w:type="paragraph" w:customStyle="1" w:styleId="Compact">
    <w:name w:val="Compact"/>
    <w:basedOn w:val="BodyText"/>
    <w:qFormat/>
    <w:rsid w:val="00BB5505"/>
    <w:pPr>
      <w:widowControl/>
      <w:suppressAutoHyphens w:val="0"/>
      <w:spacing w:before="36" w:after="36"/>
    </w:pPr>
    <w:rPr>
      <w:rFonts w:asciiTheme="minorHAnsi" w:eastAsiaTheme="minorHAnsi" w:hAnsiTheme="minorHAnsi" w:cstheme="minorBidi"/>
      <w:kern w:val="0"/>
      <w:lang w:val="en-US" w:eastAsia="en-US" w:bidi="ar-SA"/>
    </w:rPr>
  </w:style>
  <w:style w:type="table" w:customStyle="1" w:styleId="Table">
    <w:name w:val="Table"/>
    <w:semiHidden/>
    <w:unhideWhenUsed/>
    <w:qFormat/>
    <w:rsid w:val="00BB5505"/>
    <w:pPr>
      <w:spacing w:after="200"/>
    </w:pPr>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83057">
      <w:bodyDiv w:val="1"/>
      <w:marLeft w:val="0"/>
      <w:marRight w:val="0"/>
      <w:marTop w:val="0"/>
      <w:marBottom w:val="0"/>
      <w:divBdr>
        <w:top w:val="none" w:sz="0" w:space="0" w:color="auto"/>
        <w:left w:val="none" w:sz="0" w:space="0" w:color="auto"/>
        <w:bottom w:val="none" w:sz="0" w:space="0" w:color="auto"/>
        <w:right w:val="none" w:sz="0" w:space="0" w:color="auto"/>
      </w:divBdr>
    </w:div>
    <w:div w:id="62339831">
      <w:bodyDiv w:val="1"/>
      <w:marLeft w:val="0"/>
      <w:marRight w:val="0"/>
      <w:marTop w:val="0"/>
      <w:marBottom w:val="0"/>
      <w:divBdr>
        <w:top w:val="none" w:sz="0" w:space="0" w:color="auto"/>
        <w:left w:val="none" w:sz="0" w:space="0" w:color="auto"/>
        <w:bottom w:val="none" w:sz="0" w:space="0" w:color="auto"/>
        <w:right w:val="none" w:sz="0" w:space="0" w:color="auto"/>
      </w:divBdr>
      <w:divsChild>
        <w:div w:id="865562505">
          <w:marLeft w:val="0"/>
          <w:marRight w:val="0"/>
          <w:marTop w:val="0"/>
          <w:marBottom w:val="0"/>
          <w:divBdr>
            <w:top w:val="none" w:sz="0" w:space="0" w:color="auto"/>
            <w:left w:val="none" w:sz="0" w:space="0" w:color="auto"/>
            <w:bottom w:val="none" w:sz="0" w:space="0" w:color="auto"/>
            <w:right w:val="none" w:sz="0" w:space="0" w:color="auto"/>
          </w:divBdr>
          <w:divsChild>
            <w:div w:id="1278565140">
              <w:marLeft w:val="0"/>
              <w:marRight w:val="0"/>
              <w:marTop w:val="0"/>
              <w:marBottom w:val="0"/>
              <w:divBdr>
                <w:top w:val="none" w:sz="0" w:space="0" w:color="auto"/>
                <w:left w:val="none" w:sz="0" w:space="0" w:color="auto"/>
                <w:bottom w:val="none" w:sz="0" w:space="0" w:color="auto"/>
                <w:right w:val="none" w:sz="0" w:space="0" w:color="auto"/>
              </w:divBdr>
              <w:divsChild>
                <w:div w:id="9294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59136">
      <w:bodyDiv w:val="1"/>
      <w:marLeft w:val="0"/>
      <w:marRight w:val="0"/>
      <w:marTop w:val="0"/>
      <w:marBottom w:val="0"/>
      <w:divBdr>
        <w:top w:val="none" w:sz="0" w:space="0" w:color="auto"/>
        <w:left w:val="none" w:sz="0" w:space="0" w:color="auto"/>
        <w:bottom w:val="none" w:sz="0" w:space="0" w:color="auto"/>
        <w:right w:val="none" w:sz="0" w:space="0" w:color="auto"/>
      </w:divBdr>
    </w:div>
    <w:div w:id="121389082">
      <w:bodyDiv w:val="1"/>
      <w:marLeft w:val="0"/>
      <w:marRight w:val="0"/>
      <w:marTop w:val="0"/>
      <w:marBottom w:val="0"/>
      <w:divBdr>
        <w:top w:val="none" w:sz="0" w:space="0" w:color="auto"/>
        <w:left w:val="none" w:sz="0" w:space="0" w:color="auto"/>
        <w:bottom w:val="none" w:sz="0" w:space="0" w:color="auto"/>
        <w:right w:val="none" w:sz="0" w:space="0" w:color="auto"/>
      </w:divBdr>
    </w:div>
    <w:div w:id="143397063">
      <w:bodyDiv w:val="1"/>
      <w:marLeft w:val="0"/>
      <w:marRight w:val="0"/>
      <w:marTop w:val="0"/>
      <w:marBottom w:val="0"/>
      <w:divBdr>
        <w:top w:val="none" w:sz="0" w:space="0" w:color="auto"/>
        <w:left w:val="none" w:sz="0" w:space="0" w:color="auto"/>
        <w:bottom w:val="none" w:sz="0" w:space="0" w:color="auto"/>
        <w:right w:val="none" w:sz="0" w:space="0" w:color="auto"/>
      </w:divBdr>
    </w:div>
    <w:div w:id="236135007">
      <w:bodyDiv w:val="1"/>
      <w:marLeft w:val="0"/>
      <w:marRight w:val="0"/>
      <w:marTop w:val="0"/>
      <w:marBottom w:val="0"/>
      <w:divBdr>
        <w:top w:val="none" w:sz="0" w:space="0" w:color="auto"/>
        <w:left w:val="none" w:sz="0" w:space="0" w:color="auto"/>
        <w:bottom w:val="none" w:sz="0" w:space="0" w:color="auto"/>
        <w:right w:val="none" w:sz="0" w:space="0" w:color="auto"/>
      </w:divBdr>
    </w:div>
    <w:div w:id="238563655">
      <w:bodyDiv w:val="1"/>
      <w:marLeft w:val="0"/>
      <w:marRight w:val="0"/>
      <w:marTop w:val="0"/>
      <w:marBottom w:val="0"/>
      <w:divBdr>
        <w:top w:val="none" w:sz="0" w:space="0" w:color="auto"/>
        <w:left w:val="none" w:sz="0" w:space="0" w:color="auto"/>
        <w:bottom w:val="none" w:sz="0" w:space="0" w:color="auto"/>
        <w:right w:val="none" w:sz="0" w:space="0" w:color="auto"/>
      </w:divBdr>
    </w:div>
    <w:div w:id="332877332">
      <w:bodyDiv w:val="1"/>
      <w:marLeft w:val="0"/>
      <w:marRight w:val="0"/>
      <w:marTop w:val="0"/>
      <w:marBottom w:val="0"/>
      <w:divBdr>
        <w:top w:val="none" w:sz="0" w:space="0" w:color="auto"/>
        <w:left w:val="none" w:sz="0" w:space="0" w:color="auto"/>
        <w:bottom w:val="none" w:sz="0" w:space="0" w:color="auto"/>
        <w:right w:val="none" w:sz="0" w:space="0" w:color="auto"/>
      </w:divBdr>
    </w:div>
    <w:div w:id="505948800">
      <w:bodyDiv w:val="1"/>
      <w:marLeft w:val="0"/>
      <w:marRight w:val="0"/>
      <w:marTop w:val="0"/>
      <w:marBottom w:val="0"/>
      <w:divBdr>
        <w:top w:val="none" w:sz="0" w:space="0" w:color="auto"/>
        <w:left w:val="none" w:sz="0" w:space="0" w:color="auto"/>
        <w:bottom w:val="none" w:sz="0" w:space="0" w:color="auto"/>
        <w:right w:val="none" w:sz="0" w:space="0" w:color="auto"/>
      </w:divBdr>
    </w:div>
    <w:div w:id="548808578">
      <w:bodyDiv w:val="1"/>
      <w:marLeft w:val="0"/>
      <w:marRight w:val="0"/>
      <w:marTop w:val="0"/>
      <w:marBottom w:val="0"/>
      <w:divBdr>
        <w:top w:val="none" w:sz="0" w:space="0" w:color="auto"/>
        <w:left w:val="none" w:sz="0" w:space="0" w:color="auto"/>
        <w:bottom w:val="none" w:sz="0" w:space="0" w:color="auto"/>
        <w:right w:val="none" w:sz="0" w:space="0" w:color="auto"/>
      </w:divBdr>
    </w:div>
    <w:div w:id="683558046">
      <w:bodyDiv w:val="1"/>
      <w:marLeft w:val="0"/>
      <w:marRight w:val="0"/>
      <w:marTop w:val="0"/>
      <w:marBottom w:val="0"/>
      <w:divBdr>
        <w:top w:val="none" w:sz="0" w:space="0" w:color="auto"/>
        <w:left w:val="none" w:sz="0" w:space="0" w:color="auto"/>
        <w:bottom w:val="none" w:sz="0" w:space="0" w:color="auto"/>
        <w:right w:val="none" w:sz="0" w:space="0" w:color="auto"/>
      </w:divBdr>
    </w:div>
    <w:div w:id="869030628">
      <w:bodyDiv w:val="1"/>
      <w:marLeft w:val="0"/>
      <w:marRight w:val="0"/>
      <w:marTop w:val="0"/>
      <w:marBottom w:val="0"/>
      <w:divBdr>
        <w:top w:val="none" w:sz="0" w:space="0" w:color="auto"/>
        <w:left w:val="none" w:sz="0" w:space="0" w:color="auto"/>
        <w:bottom w:val="none" w:sz="0" w:space="0" w:color="auto"/>
        <w:right w:val="none" w:sz="0" w:space="0" w:color="auto"/>
      </w:divBdr>
    </w:div>
    <w:div w:id="943921418">
      <w:bodyDiv w:val="1"/>
      <w:marLeft w:val="0"/>
      <w:marRight w:val="0"/>
      <w:marTop w:val="0"/>
      <w:marBottom w:val="0"/>
      <w:divBdr>
        <w:top w:val="none" w:sz="0" w:space="0" w:color="auto"/>
        <w:left w:val="none" w:sz="0" w:space="0" w:color="auto"/>
        <w:bottom w:val="none" w:sz="0" w:space="0" w:color="auto"/>
        <w:right w:val="none" w:sz="0" w:space="0" w:color="auto"/>
      </w:divBdr>
    </w:div>
    <w:div w:id="950238671">
      <w:bodyDiv w:val="1"/>
      <w:marLeft w:val="0"/>
      <w:marRight w:val="0"/>
      <w:marTop w:val="0"/>
      <w:marBottom w:val="0"/>
      <w:divBdr>
        <w:top w:val="none" w:sz="0" w:space="0" w:color="auto"/>
        <w:left w:val="none" w:sz="0" w:space="0" w:color="auto"/>
        <w:bottom w:val="none" w:sz="0" w:space="0" w:color="auto"/>
        <w:right w:val="none" w:sz="0" w:space="0" w:color="auto"/>
      </w:divBdr>
    </w:div>
    <w:div w:id="1007053118">
      <w:bodyDiv w:val="1"/>
      <w:marLeft w:val="0"/>
      <w:marRight w:val="0"/>
      <w:marTop w:val="0"/>
      <w:marBottom w:val="0"/>
      <w:divBdr>
        <w:top w:val="none" w:sz="0" w:space="0" w:color="auto"/>
        <w:left w:val="none" w:sz="0" w:space="0" w:color="auto"/>
        <w:bottom w:val="none" w:sz="0" w:space="0" w:color="auto"/>
        <w:right w:val="none" w:sz="0" w:space="0" w:color="auto"/>
      </w:divBdr>
    </w:div>
    <w:div w:id="1085607842">
      <w:bodyDiv w:val="1"/>
      <w:marLeft w:val="0"/>
      <w:marRight w:val="0"/>
      <w:marTop w:val="0"/>
      <w:marBottom w:val="0"/>
      <w:divBdr>
        <w:top w:val="none" w:sz="0" w:space="0" w:color="auto"/>
        <w:left w:val="none" w:sz="0" w:space="0" w:color="auto"/>
        <w:bottom w:val="none" w:sz="0" w:space="0" w:color="auto"/>
        <w:right w:val="none" w:sz="0" w:space="0" w:color="auto"/>
      </w:divBdr>
    </w:div>
    <w:div w:id="1107458870">
      <w:bodyDiv w:val="1"/>
      <w:marLeft w:val="0"/>
      <w:marRight w:val="0"/>
      <w:marTop w:val="0"/>
      <w:marBottom w:val="0"/>
      <w:divBdr>
        <w:top w:val="none" w:sz="0" w:space="0" w:color="auto"/>
        <w:left w:val="none" w:sz="0" w:space="0" w:color="auto"/>
        <w:bottom w:val="none" w:sz="0" w:space="0" w:color="auto"/>
        <w:right w:val="none" w:sz="0" w:space="0" w:color="auto"/>
      </w:divBdr>
    </w:div>
    <w:div w:id="1149513316">
      <w:bodyDiv w:val="1"/>
      <w:marLeft w:val="0"/>
      <w:marRight w:val="0"/>
      <w:marTop w:val="0"/>
      <w:marBottom w:val="0"/>
      <w:divBdr>
        <w:top w:val="none" w:sz="0" w:space="0" w:color="auto"/>
        <w:left w:val="none" w:sz="0" w:space="0" w:color="auto"/>
        <w:bottom w:val="none" w:sz="0" w:space="0" w:color="auto"/>
        <w:right w:val="none" w:sz="0" w:space="0" w:color="auto"/>
      </w:divBdr>
    </w:div>
    <w:div w:id="1209142492">
      <w:bodyDiv w:val="1"/>
      <w:marLeft w:val="0"/>
      <w:marRight w:val="0"/>
      <w:marTop w:val="0"/>
      <w:marBottom w:val="0"/>
      <w:divBdr>
        <w:top w:val="none" w:sz="0" w:space="0" w:color="auto"/>
        <w:left w:val="none" w:sz="0" w:space="0" w:color="auto"/>
        <w:bottom w:val="none" w:sz="0" w:space="0" w:color="auto"/>
        <w:right w:val="none" w:sz="0" w:space="0" w:color="auto"/>
      </w:divBdr>
    </w:div>
    <w:div w:id="1245070482">
      <w:bodyDiv w:val="1"/>
      <w:marLeft w:val="0"/>
      <w:marRight w:val="0"/>
      <w:marTop w:val="0"/>
      <w:marBottom w:val="0"/>
      <w:divBdr>
        <w:top w:val="none" w:sz="0" w:space="0" w:color="auto"/>
        <w:left w:val="none" w:sz="0" w:space="0" w:color="auto"/>
        <w:bottom w:val="none" w:sz="0" w:space="0" w:color="auto"/>
        <w:right w:val="none" w:sz="0" w:space="0" w:color="auto"/>
      </w:divBdr>
    </w:div>
    <w:div w:id="1248539917">
      <w:bodyDiv w:val="1"/>
      <w:marLeft w:val="0"/>
      <w:marRight w:val="0"/>
      <w:marTop w:val="0"/>
      <w:marBottom w:val="0"/>
      <w:divBdr>
        <w:top w:val="none" w:sz="0" w:space="0" w:color="auto"/>
        <w:left w:val="none" w:sz="0" w:space="0" w:color="auto"/>
        <w:bottom w:val="none" w:sz="0" w:space="0" w:color="auto"/>
        <w:right w:val="none" w:sz="0" w:space="0" w:color="auto"/>
      </w:divBdr>
    </w:div>
    <w:div w:id="1650015622">
      <w:bodyDiv w:val="1"/>
      <w:marLeft w:val="0"/>
      <w:marRight w:val="0"/>
      <w:marTop w:val="0"/>
      <w:marBottom w:val="0"/>
      <w:divBdr>
        <w:top w:val="none" w:sz="0" w:space="0" w:color="auto"/>
        <w:left w:val="none" w:sz="0" w:space="0" w:color="auto"/>
        <w:bottom w:val="none" w:sz="0" w:space="0" w:color="auto"/>
        <w:right w:val="none" w:sz="0" w:space="0" w:color="auto"/>
      </w:divBdr>
    </w:div>
    <w:div w:id="1658537148">
      <w:bodyDiv w:val="1"/>
      <w:marLeft w:val="0"/>
      <w:marRight w:val="0"/>
      <w:marTop w:val="0"/>
      <w:marBottom w:val="0"/>
      <w:divBdr>
        <w:top w:val="none" w:sz="0" w:space="0" w:color="auto"/>
        <w:left w:val="none" w:sz="0" w:space="0" w:color="auto"/>
        <w:bottom w:val="none" w:sz="0" w:space="0" w:color="auto"/>
        <w:right w:val="none" w:sz="0" w:space="0" w:color="auto"/>
      </w:divBdr>
    </w:div>
    <w:div w:id="1678775179">
      <w:bodyDiv w:val="1"/>
      <w:marLeft w:val="0"/>
      <w:marRight w:val="0"/>
      <w:marTop w:val="0"/>
      <w:marBottom w:val="0"/>
      <w:divBdr>
        <w:top w:val="none" w:sz="0" w:space="0" w:color="auto"/>
        <w:left w:val="none" w:sz="0" w:space="0" w:color="auto"/>
        <w:bottom w:val="none" w:sz="0" w:space="0" w:color="auto"/>
        <w:right w:val="none" w:sz="0" w:space="0" w:color="auto"/>
      </w:divBdr>
    </w:div>
    <w:div w:id="1686588885">
      <w:bodyDiv w:val="1"/>
      <w:marLeft w:val="0"/>
      <w:marRight w:val="0"/>
      <w:marTop w:val="0"/>
      <w:marBottom w:val="0"/>
      <w:divBdr>
        <w:top w:val="none" w:sz="0" w:space="0" w:color="auto"/>
        <w:left w:val="none" w:sz="0" w:space="0" w:color="auto"/>
        <w:bottom w:val="none" w:sz="0" w:space="0" w:color="auto"/>
        <w:right w:val="none" w:sz="0" w:space="0" w:color="auto"/>
      </w:divBdr>
    </w:div>
    <w:div w:id="1731072598">
      <w:bodyDiv w:val="1"/>
      <w:marLeft w:val="0"/>
      <w:marRight w:val="0"/>
      <w:marTop w:val="0"/>
      <w:marBottom w:val="0"/>
      <w:divBdr>
        <w:top w:val="none" w:sz="0" w:space="0" w:color="auto"/>
        <w:left w:val="none" w:sz="0" w:space="0" w:color="auto"/>
        <w:bottom w:val="none" w:sz="0" w:space="0" w:color="auto"/>
        <w:right w:val="none" w:sz="0" w:space="0" w:color="auto"/>
      </w:divBdr>
    </w:div>
    <w:div w:id="1738819696">
      <w:bodyDiv w:val="1"/>
      <w:marLeft w:val="0"/>
      <w:marRight w:val="0"/>
      <w:marTop w:val="0"/>
      <w:marBottom w:val="0"/>
      <w:divBdr>
        <w:top w:val="none" w:sz="0" w:space="0" w:color="auto"/>
        <w:left w:val="none" w:sz="0" w:space="0" w:color="auto"/>
        <w:bottom w:val="none" w:sz="0" w:space="0" w:color="auto"/>
        <w:right w:val="none" w:sz="0" w:space="0" w:color="auto"/>
      </w:divBdr>
    </w:div>
    <w:div w:id="1817801705">
      <w:bodyDiv w:val="1"/>
      <w:marLeft w:val="0"/>
      <w:marRight w:val="0"/>
      <w:marTop w:val="0"/>
      <w:marBottom w:val="0"/>
      <w:divBdr>
        <w:top w:val="none" w:sz="0" w:space="0" w:color="auto"/>
        <w:left w:val="none" w:sz="0" w:space="0" w:color="auto"/>
        <w:bottom w:val="none" w:sz="0" w:space="0" w:color="auto"/>
        <w:right w:val="none" w:sz="0" w:space="0" w:color="auto"/>
      </w:divBdr>
    </w:div>
    <w:div w:id="1883130168">
      <w:bodyDiv w:val="1"/>
      <w:marLeft w:val="0"/>
      <w:marRight w:val="0"/>
      <w:marTop w:val="0"/>
      <w:marBottom w:val="0"/>
      <w:divBdr>
        <w:top w:val="none" w:sz="0" w:space="0" w:color="auto"/>
        <w:left w:val="none" w:sz="0" w:space="0" w:color="auto"/>
        <w:bottom w:val="none" w:sz="0" w:space="0" w:color="auto"/>
        <w:right w:val="none" w:sz="0" w:space="0" w:color="auto"/>
      </w:divBdr>
    </w:div>
    <w:div w:id="1988320271">
      <w:bodyDiv w:val="1"/>
      <w:marLeft w:val="0"/>
      <w:marRight w:val="0"/>
      <w:marTop w:val="0"/>
      <w:marBottom w:val="0"/>
      <w:divBdr>
        <w:top w:val="none" w:sz="0" w:space="0" w:color="auto"/>
        <w:left w:val="none" w:sz="0" w:space="0" w:color="auto"/>
        <w:bottom w:val="none" w:sz="0" w:space="0" w:color="auto"/>
        <w:right w:val="none" w:sz="0" w:space="0" w:color="auto"/>
      </w:divBdr>
    </w:div>
    <w:div w:id="2049139035">
      <w:bodyDiv w:val="1"/>
      <w:marLeft w:val="0"/>
      <w:marRight w:val="0"/>
      <w:marTop w:val="0"/>
      <w:marBottom w:val="0"/>
      <w:divBdr>
        <w:top w:val="none" w:sz="0" w:space="0" w:color="auto"/>
        <w:left w:val="none" w:sz="0" w:space="0" w:color="auto"/>
        <w:bottom w:val="none" w:sz="0" w:space="0" w:color="auto"/>
        <w:right w:val="none" w:sz="0" w:space="0" w:color="auto"/>
      </w:divBdr>
    </w:div>
    <w:div w:id="2061979661">
      <w:bodyDiv w:val="1"/>
      <w:marLeft w:val="0"/>
      <w:marRight w:val="0"/>
      <w:marTop w:val="0"/>
      <w:marBottom w:val="0"/>
      <w:divBdr>
        <w:top w:val="none" w:sz="0" w:space="0" w:color="auto"/>
        <w:left w:val="none" w:sz="0" w:space="0" w:color="auto"/>
        <w:bottom w:val="none" w:sz="0" w:space="0" w:color="auto"/>
        <w:right w:val="none" w:sz="0" w:space="0" w:color="auto"/>
      </w:divBdr>
    </w:div>
    <w:div w:id="20855672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25A185C-C58D-B549-B9FE-E47AE4D11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22</Pages>
  <Words>4501</Words>
  <Characters>25656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Garnet Van Dyck</dc:creator>
  <cp:keywords/>
  <dc:description/>
  <cp:lastModifiedBy> </cp:lastModifiedBy>
  <cp:revision>5</cp:revision>
  <dcterms:created xsi:type="dcterms:W3CDTF">2020-12-19T05:58:00Z</dcterms:created>
  <dcterms:modified xsi:type="dcterms:W3CDTF">2020-12-19T06:09:00Z</dcterms:modified>
</cp:coreProperties>
</file>