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Description of Additional Supplementary Files</w:t>
      </w:r>
    </w:p>
    <w:p>
      <w:r>
        <w:rPr>
          <w:b/>
        </w:rPr>
        <w:t xml:space="preserve">Supplementary Data 1. </w:t>
      </w:r>
      <w:r>
        <w:t>Source data for Figure 1b. Per-datum score differences between the true support and a candidate retaining the entire library, for AIC, BIC and SLIC, as a function of the number of samples.</w:t>
      </w:r>
    </w:p>
    <w:p>
      <w:r>
        <w:rPr>
          <w:b/>
        </w:rPr>
        <w:t xml:space="preserve">Supplementary Data 2. </w:t>
      </w:r>
      <w:r>
        <w:t>Source data for Figure 2. Per-term accuracy, false-positive rate, system-level recovery, scaled mean absolute error and false-negative rate for each criterion, benchmark system and noise level, with the mean and standard error over systems.</w:t>
      </w:r>
    </w:p>
    <w:p>
      <w:r>
        <w:rPr>
          <w:b/>
        </w:rPr>
        <w:t xml:space="preserve">Supplementary Data 3. </w:t>
      </w:r>
      <w:r>
        <w:t>Source data for Figure 3. Per-term accuracy for each criterion, system and noise level under changes to the sampling interval, trajectory length, subsampling stride and system parameters.</w:t>
      </w:r>
    </w:p>
    <w:p>
      <w:r>
        <w:rPr>
          <w:b/>
        </w:rPr>
        <w:t xml:space="preserve">Supplementary Data 4. </w:t>
      </w:r>
      <w:r>
        <w:t>Source data for Figure 4. Measured and predicted center-of-mass trajectories of the sloshing tank, and the measured and predicted amplitude and phase responses under forcing.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