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1. Denominación del programa</w:t>
      </w:r>
    </w:p>
    <w:p w:rsidR="00000000" w:rsidDel="00000000" w:rsidP="00000000" w:rsidRDefault="00000000" w:rsidRPr="00000000" w14:paraId="00000002">
      <w:pPr>
        <w:spacing w:line="360" w:lineRule="auto"/>
        <w:ind w:left="0" w:firstLine="0"/>
        <w:jc w:val="center"/>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 (Síntesis)</w:t>
      </w:r>
    </w:p>
    <w:p w:rsidR="00000000" w:rsidDel="00000000" w:rsidP="00000000" w:rsidRDefault="00000000" w:rsidRPr="00000000" w14:paraId="00000003">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La Maestría en Ciencias de la Información y las Comunicaciones, es un Proyecto Curricular de posgrado que se plantea desde el componente de </w:t>
      </w:r>
      <w:r w:rsidDel="00000000" w:rsidR="00000000" w:rsidRPr="00000000">
        <w:rPr>
          <w:rFonts w:ascii="Times New Roman" w:cs="Times New Roman" w:eastAsia="Times New Roman" w:hAnsi="Times New Roman"/>
          <w:i w:val="1"/>
          <w:color w:val="2e75b5"/>
          <w:sz w:val="24"/>
          <w:szCs w:val="24"/>
          <w:rtl w:val="0"/>
        </w:rPr>
        <w:t xml:space="preserve">Profundización </w:t>
      </w:r>
      <w:r w:rsidDel="00000000" w:rsidR="00000000" w:rsidRPr="00000000">
        <w:rPr>
          <w:rFonts w:ascii="Times New Roman" w:cs="Times New Roman" w:eastAsia="Times New Roman" w:hAnsi="Times New Roman"/>
          <w:color w:val="2e75b5"/>
          <w:sz w:val="24"/>
          <w:szCs w:val="24"/>
          <w:rtl w:val="0"/>
        </w:rPr>
        <w:t xml:space="preserve">e </w:t>
      </w:r>
      <w:r w:rsidDel="00000000" w:rsidR="00000000" w:rsidRPr="00000000">
        <w:rPr>
          <w:rFonts w:ascii="Times New Roman" w:cs="Times New Roman" w:eastAsia="Times New Roman" w:hAnsi="Times New Roman"/>
          <w:i w:val="1"/>
          <w:color w:val="2e75b5"/>
          <w:sz w:val="24"/>
          <w:szCs w:val="24"/>
          <w:rtl w:val="0"/>
        </w:rPr>
        <w:t xml:space="preserve">Investigación. </w:t>
      </w:r>
      <w:r w:rsidDel="00000000" w:rsidR="00000000" w:rsidRPr="00000000">
        <w:rPr>
          <w:rFonts w:ascii="Times New Roman" w:cs="Times New Roman" w:eastAsia="Times New Roman" w:hAnsi="Times New Roman"/>
          <w:color w:val="2e75b5"/>
          <w:sz w:val="24"/>
          <w:szCs w:val="24"/>
          <w:rtl w:val="0"/>
        </w:rPr>
        <w:t xml:space="preserve">El título que otorga es de “Magister en Ciencias de la Información y las Comunicaciones”, tiene una duración de 3 semestres, su modalidad es presencial y se adelantan procesos de admisión semestralmente. Desde 2019 la Maestría inició su proceso de evaluación externa ante el Consejo Nacional de Acreditación con el fin de obtener la Acreditación en Alta Calidad y, actualmente, se encuentra a la espera de respuesta por parte del Ministerio de Educación Nacional frente al resultado del proceso. </w:t>
      </w:r>
    </w:p>
    <w:p w:rsidR="00000000" w:rsidDel="00000000" w:rsidP="00000000" w:rsidRDefault="00000000" w:rsidRPr="00000000" w14:paraId="00000005">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06">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La Maestría plantea como elementos centrales de su misión, el estudio y la comprensión de las áreas de Teleinformática, Ingeniería de software, Geomática e Inteligencia artificial a partir de las cuales propone soluciones a diferentes problemáticas desde las Tecnologías de la Información y las Comunicaciones y, se proyecta como un programa académico con alto reconocimiento a nivel nacional e internacional. Para ello, se enfoca en la formación de magísteres con capacidad para integrar diferentes disciplinas que se articulan en las Tecnologías de la Información y las Comunicaciones, a partir de las cuales analizan contextos diversos y proponen soluciones que deriven en la transformación de los contextos. La Maestría se ubica en el componente de profundización, lo cual indica que centra sus procesos de formación en el desarrollo de actitudes, conocimientos y habilidades que aporten a la solución de problemas o contribuyan al análisis de situaciones particulares. </w:t>
      </w:r>
    </w:p>
    <w:p w:rsidR="00000000" w:rsidDel="00000000" w:rsidP="00000000" w:rsidRDefault="00000000" w:rsidRPr="00000000" w14:paraId="00000007">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08">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La estructura curricular de la Maestría, contempla espacios académicos de </w:t>
      </w:r>
      <w:r w:rsidDel="00000000" w:rsidR="00000000" w:rsidRPr="00000000">
        <w:rPr>
          <w:rFonts w:ascii="Times New Roman" w:cs="Times New Roman" w:eastAsia="Times New Roman" w:hAnsi="Times New Roman"/>
          <w:i w:val="1"/>
          <w:color w:val="2e75b5"/>
          <w:sz w:val="24"/>
          <w:szCs w:val="24"/>
          <w:rtl w:val="0"/>
        </w:rPr>
        <w:t xml:space="preserve">fundamentación, énfasis, investigación </w:t>
      </w:r>
      <w:r w:rsidDel="00000000" w:rsidR="00000000" w:rsidRPr="00000000">
        <w:rPr>
          <w:rFonts w:ascii="Times New Roman" w:cs="Times New Roman" w:eastAsia="Times New Roman" w:hAnsi="Times New Roman"/>
          <w:color w:val="2e75b5"/>
          <w:sz w:val="24"/>
          <w:szCs w:val="24"/>
          <w:rtl w:val="0"/>
        </w:rPr>
        <w:t xml:space="preserve">y </w:t>
      </w:r>
      <w:r w:rsidDel="00000000" w:rsidR="00000000" w:rsidRPr="00000000">
        <w:rPr>
          <w:rFonts w:ascii="Times New Roman" w:cs="Times New Roman" w:eastAsia="Times New Roman" w:hAnsi="Times New Roman"/>
          <w:i w:val="1"/>
          <w:color w:val="2e75b5"/>
          <w:sz w:val="24"/>
          <w:szCs w:val="24"/>
          <w:rtl w:val="0"/>
        </w:rPr>
        <w:t xml:space="preserve">electivos, </w:t>
      </w:r>
      <w:r w:rsidDel="00000000" w:rsidR="00000000" w:rsidRPr="00000000">
        <w:rPr>
          <w:rFonts w:ascii="Times New Roman" w:cs="Times New Roman" w:eastAsia="Times New Roman" w:hAnsi="Times New Roman"/>
          <w:color w:val="2e75b5"/>
          <w:sz w:val="24"/>
          <w:szCs w:val="24"/>
          <w:rtl w:val="0"/>
        </w:rPr>
        <w:t xml:space="preserve">distribuidos en 44 créditos académicos, los cuales están orientados a brindar las herramientas teóricas y conceptuales, los espacios de profundización, los ámbitos de aprehensión de técnicas, modelos y metodologías de investigación a partir de los cuales se consolidan los trabajos de grado desde la perspectiva de la profundización. Por medio de estos espacios académicos, se consolida el objetivo general del Proyecto Curricular, el cual es la formación de magísteres con conocimientos y habilidades avanzadas en Teleinformática, Ingeniería de Software o Geomática desde donde se proponen soluciones para el entorno. Desde allí, el perfil de los egresados se enmarca en la transformación digital, la ciencia de datos y la 5ta generación de las comunicaciones, abordadas desde una perspectiva interdisciplinar.     </w:t>
      </w:r>
    </w:p>
    <w:p w:rsidR="00000000" w:rsidDel="00000000" w:rsidP="00000000" w:rsidRDefault="00000000" w:rsidRPr="00000000" w14:paraId="00000009">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 </w:t>
      </w:r>
    </w:p>
    <w:p w:rsidR="00000000" w:rsidDel="00000000" w:rsidP="00000000" w:rsidRDefault="00000000" w:rsidRPr="00000000" w14:paraId="0000000A">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La Maestría en Ciencias de la Información y las Comunicaciones forma magísteres con capacidad para integrar diferentes elementos de las Tecnologías de la Información y las Comunicaciones con el fin de aportar a la resolución de situaciones identificadas en contextos específicos desde la perspectiva social, cultural, ambiental, en coherencia con la mirada interdisciplinar que define su propuesta de formación, como lo expresa en su misión, visión y perfil de egreso, los cuales muestran coherencia con el título que otorgan “Magister en Ciencias de la Información y las Comunicaciones”. </w:t>
      </w:r>
    </w:p>
    <w:p w:rsidR="00000000" w:rsidDel="00000000" w:rsidP="00000000" w:rsidRDefault="00000000" w:rsidRPr="00000000" w14:paraId="0000000B">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0C">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Las áreas de estudio que guían la estructura curricular y el desarrollo de la investigación desde la perspectiva de la profundización son: </w:t>
      </w:r>
      <w:r w:rsidDel="00000000" w:rsidR="00000000" w:rsidRPr="00000000">
        <w:rPr>
          <w:rFonts w:ascii="Times New Roman" w:cs="Times New Roman" w:eastAsia="Times New Roman" w:hAnsi="Times New Roman"/>
          <w:i w:val="1"/>
          <w:color w:val="2e75b5"/>
          <w:sz w:val="24"/>
          <w:szCs w:val="24"/>
          <w:rtl w:val="0"/>
        </w:rPr>
        <w:t xml:space="preserve">geomática, ingeniería de software, teleinformática </w:t>
      </w:r>
      <w:r w:rsidDel="00000000" w:rsidR="00000000" w:rsidRPr="00000000">
        <w:rPr>
          <w:rFonts w:ascii="Times New Roman" w:cs="Times New Roman" w:eastAsia="Times New Roman" w:hAnsi="Times New Roman"/>
          <w:color w:val="2e75b5"/>
          <w:sz w:val="24"/>
          <w:szCs w:val="24"/>
          <w:rtl w:val="0"/>
        </w:rPr>
        <w:t xml:space="preserve">e </w:t>
      </w:r>
      <w:r w:rsidDel="00000000" w:rsidR="00000000" w:rsidRPr="00000000">
        <w:rPr>
          <w:rFonts w:ascii="Times New Roman" w:cs="Times New Roman" w:eastAsia="Times New Roman" w:hAnsi="Times New Roman"/>
          <w:i w:val="1"/>
          <w:color w:val="2e75b5"/>
          <w:sz w:val="24"/>
          <w:szCs w:val="24"/>
          <w:rtl w:val="0"/>
        </w:rPr>
        <w:t xml:space="preserve">inteligencia artificial, </w:t>
      </w:r>
      <w:r w:rsidDel="00000000" w:rsidR="00000000" w:rsidRPr="00000000">
        <w:rPr>
          <w:rFonts w:ascii="Times New Roman" w:cs="Times New Roman" w:eastAsia="Times New Roman" w:hAnsi="Times New Roman"/>
          <w:color w:val="2e75b5"/>
          <w:sz w:val="24"/>
          <w:szCs w:val="24"/>
          <w:rtl w:val="0"/>
        </w:rPr>
        <w:t xml:space="preserve">a partir de las cuales se abordan las Tecnologías de la Información y las Comunicaciones, como un escenario potencial de soluciones a situaciones reales, de allí que el desarrollo de los espacios académicos exploren desde los fundamentos conceptuales cada una de estas áreas de estudio y permita trazar rutas de análisis, interpretación y propuesta de resolución de problemas que se dan en diferentes contextos.   </w:t>
      </w:r>
    </w:p>
    <w:p w:rsidR="00000000" w:rsidDel="00000000" w:rsidP="00000000" w:rsidRDefault="00000000" w:rsidRPr="00000000" w14:paraId="0000000D">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0E">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Por tratarse de una Maestría de </w:t>
      </w:r>
      <w:r w:rsidDel="00000000" w:rsidR="00000000" w:rsidRPr="00000000">
        <w:rPr>
          <w:rFonts w:ascii="Times New Roman" w:cs="Times New Roman" w:eastAsia="Times New Roman" w:hAnsi="Times New Roman"/>
          <w:i w:val="1"/>
          <w:color w:val="2e75b5"/>
          <w:sz w:val="24"/>
          <w:szCs w:val="24"/>
          <w:rtl w:val="0"/>
        </w:rPr>
        <w:t xml:space="preserve">profundización, </w:t>
      </w:r>
      <w:r w:rsidDel="00000000" w:rsidR="00000000" w:rsidRPr="00000000">
        <w:rPr>
          <w:rFonts w:ascii="Times New Roman" w:cs="Times New Roman" w:eastAsia="Times New Roman" w:hAnsi="Times New Roman"/>
          <w:color w:val="2e75b5"/>
          <w:sz w:val="24"/>
          <w:szCs w:val="24"/>
          <w:rtl w:val="0"/>
        </w:rPr>
        <w:t xml:space="preserve">los procesos de formación se orientan al estudio de situaciones concretas, como se mencionó anteriormente. Es decir, al análisis de situaciones en las que participan los estudiantes, para identificar problemáticas, analizarlas y proponer formas de abordarlas e introducir soluciones. Esto mediante el estudio de caso, la aplicación de conceptos teóricos a un contexto determinado o la indagación in situ. </w:t>
      </w:r>
    </w:p>
    <w:p w:rsidR="00000000" w:rsidDel="00000000" w:rsidP="00000000" w:rsidRDefault="00000000" w:rsidRPr="00000000" w14:paraId="0000000F">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10">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En relación con la duración de la Maestría, esta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presencialidad, modalidad en la que se oferta el Proyecto Curricular y, desde la cual se plantean tipos de trabajo definidos como: </w:t>
      </w:r>
      <w:r w:rsidDel="00000000" w:rsidR="00000000" w:rsidRPr="00000000">
        <w:rPr>
          <w:rFonts w:ascii="Times New Roman" w:cs="Times New Roman" w:eastAsia="Times New Roman" w:hAnsi="Times New Roman"/>
          <w:i w:val="1"/>
          <w:color w:val="2e75b5"/>
          <w:sz w:val="24"/>
          <w:szCs w:val="24"/>
          <w:rtl w:val="0"/>
        </w:rPr>
        <w:t xml:space="preserve">directo, colaborativo </w:t>
      </w:r>
      <w:r w:rsidDel="00000000" w:rsidR="00000000" w:rsidRPr="00000000">
        <w:rPr>
          <w:rFonts w:ascii="Times New Roman" w:cs="Times New Roman" w:eastAsia="Times New Roman" w:hAnsi="Times New Roman"/>
          <w:color w:val="2e75b5"/>
          <w:sz w:val="24"/>
          <w:szCs w:val="24"/>
          <w:rtl w:val="0"/>
        </w:rPr>
        <w:t xml:space="preserve">y </w:t>
      </w:r>
      <w:r w:rsidDel="00000000" w:rsidR="00000000" w:rsidRPr="00000000">
        <w:rPr>
          <w:rFonts w:ascii="Times New Roman" w:cs="Times New Roman" w:eastAsia="Times New Roman" w:hAnsi="Times New Roman"/>
          <w:i w:val="1"/>
          <w:color w:val="2e75b5"/>
          <w:sz w:val="24"/>
          <w:szCs w:val="24"/>
          <w:rtl w:val="0"/>
        </w:rPr>
        <w:t xml:space="preserve">autónomo. </w:t>
      </w:r>
      <w:r w:rsidDel="00000000" w:rsidR="00000000" w:rsidRPr="00000000">
        <w:rPr>
          <w:rFonts w:ascii="Times New Roman" w:cs="Times New Roman" w:eastAsia="Times New Roman" w:hAnsi="Times New Roman"/>
          <w:color w:val="2e75b5"/>
          <w:sz w:val="24"/>
          <w:szCs w:val="24"/>
          <w:rtl w:val="0"/>
        </w:rPr>
        <w:t xml:space="preserve">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 desde la perspectiva de la profundización.</w:t>
      </w:r>
    </w:p>
    <w:p w:rsidR="00000000" w:rsidDel="00000000" w:rsidP="00000000" w:rsidRDefault="00000000" w:rsidRPr="00000000" w14:paraId="00000011">
      <w:pPr>
        <w:spacing w:line="360" w:lineRule="auto"/>
        <w:ind w:left="0" w:firstLine="0"/>
        <w:jc w:val="both"/>
        <w:rPr>
          <w:rFonts w:ascii="Times New Roman" w:cs="Times New Roman" w:eastAsia="Times New Roman" w:hAnsi="Times New Roman"/>
          <w:b w:val="1"/>
          <w:color w:val="2e75b5"/>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jc w:val="both"/>
        <w:rPr>
          <w:rFonts w:ascii="Times New Roman" w:cs="Times New Roman" w:eastAsia="Times New Roman" w:hAnsi="Times New Roman"/>
          <w:i w:val="1"/>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soluciones que aporten a la transformación de realidades sociales, culturales, tecnológicas, científicas, entre otras. </w:t>
      </w:r>
      <w:r w:rsidDel="00000000" w:rsidR="00000000" w:rsidRPr="00000000">
        <w:rPr>
          <w:rtl w:val="0"/>
        </w:rPr>
      </w:r>
    </w:p>
    <w:p w:rsidR="00000000" w:rsidDel="00000000" w:rsidP="00000000" w:rsidRDefault="00000000" w:rsidRPr="00000000" w14:paraId="00000013">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14">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profundización, pues la clasificación del Proyecto Curricular, se enmarca en Tecnologías de la Información y la Comunicación (TIC) (Campo amplio), Tecnologías de la Información y la Comunicación (TIC) (Campo específico) y</w:t>
      </w:r>
    </w:p>
    <w:p w:rsidR="00000000" w:rsidDel="00000000" w:rsidP="00000000" w:rsidRDefault="00000000" w:rsidRPr="00000000" w14:paraId="00000015">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Tecnologías de la información y la comunicación (TIC) no clasificada en otra parte (Campo detallado). </w:t>
      </w:r>
    </w:p>
    <w:p w:rsidR="00000000" w:rsidDel="00000000" w:rsidP="00000000" w:rsidRDefault="00000000" w:rsidRPr="00000000" w14:paraId="00000016">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17">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Esta clasificación, está además articulada con lo expresado en el Marco Nacional de Cualificaciones para el sector de “</w:t>
      </w:r>
      <w:hyperlink r:id="rId7">
        <w:r w:rsidDel="00000000" w:rsidR="00000000" w:rsidRPr="00000000">
          <w:rPr>
            <w:rFonts w:ascii="Times New Roman" w:cs="Times New Roman" w:eastAsia="Times New Roman" w:hAnsi="Times New Roman"/>
            <w:color w:val="0563c1"/>
            <w:sz w:val="24"/>
            <w:szCs w:val="24"/>
            <w:u w:val="single"/>
            <w:rtl w:val="0"/>
          </w:rPr>
          <w:t xml:space="preserve">TICO / Tecnologías de la Información y las Comunicaciones. Área de economía naranja: Creaciones Funcionales, Nuevos Medios y Software de Contenidos</w:t>
        </w:r>
      </w:hyperlink>
      <w:r w:rsidDel="00000000" w:rsidR="00000000" w:rsidRPr="00000000">
        <w:rPr>
          <w:rFonts w:ascii="Times New Roman" w:cs="Times New Roman" w:eastAsia="Times New Roman" w:hAnsi="Times New Roman"/>
          <w:color w:val="2e75b5"/>
          <w:sz w:val="24"/>
          <w:szCs w:val="24"/>
          <w:rtl w:val="0"/>
        </w:rPr>
        <w:t xml:space="preserve">”,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w:t>
      </w:r>
    </w:p>
    <w:p w:rsidR="00000000" w:rsidDel="00000000" w:rsidP="00000000" w:rsidRDefault="00000000" w:rsidRPr="00000000" w14:paraId="00000018">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19">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De acuerdo con lo expuesto, la Maestría en Ciencias de la Información-componente </w:t>
      </w:r>
      <w:r w:rsidDel="00000000" w:rsidR="00000000" w:rsidRPr="00000000">
        <w:rPr>
          <w:rFonts w:ascii="Times New Roman" w:cs="Times New Roman" w:eastAsia="Times New Roman" w:hAnsi="Times New Roman"/>
          <w:i w:val="1"/>
          <w:color w:val="2e75b5"/>
          <w:sz w:val="24"/>
          <w:szCs w:val="24"/>
          <w:rtl w:val="0"/>
        </w:rPr>
        <w:t xml:space="preserve">Profundización, </w:t>
      </w:r>
      <w:r w:rsidDel="00000000" w:rsidR="00000000" w:rsidRPr="00000000">
        <w:rPr>
          <w:rFonts w:ascii="Times New Roman" w:cs="Times New Roman" w:eastAsia="Times New Roman" w:hAnsi="Times New Roman"/>
          <w:color w:val="2e75b5"/>
          <w:sz w:val="24"/>
          <w:szCs w:val="24"/>
          <w:rtl w:val="0"/>
        </w:rPr>
        <w:t xml:space="preserve">muestra coherencia interna con los diferentes elementos que le definen como propuesta académica de formación posgradual y con un contexto en crecimiento, que entre otras cosas, reconoce el papel de la interdisciplinariedad en la comprensión y el desarrollo del sector TIC, con lo cual evidencia armonía entre la estructura curricular que guía sus procesos de formación y las dinámicas del área de conocimiento para la cual prepara magísteres con capacidad para integrar diferentes perspectivas disciplinares en favor de una situación en la que espera incidir.  </w:t>
      </w:r>
    </w:p>
    <w:p w:rsidR="00000000" w:rsidDel="00000000" w:rsidP="00000000" w:rsidRDefault="00000000" w:rsidRPr="00000000" w14:paraId="0000001A">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sectPr>
      <w:footerReference r:id="rId8" w:type="default"/>
      <w:pgSz w:h="15840" w:w="12240"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ind w:left="35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ind w:left="576" w:hanging="576"/>
    </w:pPr>
    <w:rPr>
      <w:rFonts w:ascii="Arial" w:cs="Arial" w:eastAsia="Arial" w:hAnsi="Arial"/>
      <w:b w:val="1"/>
      <w:color w:val="000000"/>
      <w:sz w:val="28"/>
      <w:szCs w:val="28"/>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35DF1"/>
    <w:pPr>
      <w:suppressAutoHyphens w:val="1"/>
      <w:spacing w:after="0" w:line="240" w:lineRule="auto"/>
      <w:ind w:left="357"/>
    </w:pPr>
    <w:rPr>
      <w:rFonts w:ascii="Calibri" w:cs="Calibri" w:eastAsia="Droid Sans Fallback" w:hAnsi="Calibri"/>
      <w:kern w:val="1"/>
    </w:rPr>
  </w:style>
  <w:style w:type="paragraph" w:styleId="Ttulo1">
    <w:name w:val="heading 1"/>
    <w:basedOn w:val="Normal"/>
    <w:next w:val="Normal"/>
    <w:link w:val="Ttulo1Car"/>
    <w:uiPriority w:val="9"/>
    <w:qFormat w:val="1"/>
    <w:rsid w:val="009175BD"/>
    <w:pPr>
      <w:keepNext w:val="1"/>
      <w:keepLines w:val="1"/>
      <w:numPr>
        <w:numId w:val="6"/>
      </w:numPr>
      <w:spacing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aliases w:val="Subtitulo I,Título Segundo nivel,Título 2 YAMI"/>
    <w:basedOn w:val="Normal"/>
    <w:next w:val="Normal"/>
    <w:link w:val="Ttulo2Car"/>
    <w:uiPriority w:val="9"/>
    <w:qFormat w:val="1"/>
    <w:rsid w:val="00435DF1"/>
    <w:pPr>
      <w:keepNext w:val="1"/>
      <w:keepLines w:val="1"/>
      <w:numPr>
        <w:ilvl w:val="1"/>
        <w:numId w:val="6"/>
      </w:numPr>
      <w:spacing w:after="80" w:before="360"/>
      <w:contextualSpacing w:val="1"/>
      <w:outlineLvl w:val="1"/>
    </w:pPr>
    <w:rPr>
      <w:rFonts w:ascii="Arial" w:cs="Arial" w:eastAsia="Arial" w:hAnsi="Arial"/>
      <w:b w:val="1"/>
      <w:bCs w:val="1"/>
      <w:color w:val="000000"/>
      <w:sz w:val="28"/>
      <w:szCs w:val="28"/>
      <w:lang w:bidi="hi-IN" w:eastAsia="zh-CN" w:val="es-ES"/>
    </w:rPr>
  </w:style>
  <w:style w:type="paragraph" w:styleId="Ttulo3">
    <w:name w:val="heading 3"/>
    <w:basedOn w:val="Normal"/>
    <w:next w:val="Normal"/>
    <w:link w:val="Ttulo3Car"/>
    <w:uiPriority w:val="9"/>
    <w:semiHidden w:val="1"/>
    <w:unhideWhenUsed w:val="1"/>
    <w:qFormat w:val="1"/>
    <w:rsid w:val="009175BD"/>
    <w:pPr>
      <w:keepNext w:val="1"/>
      <w:keepLines w:val="1"/>
      <w:numPr>
        <w:ilvl w:val="2"/>
        <w:numId w:val="6"/>
      </w:numPr>
      <w:spacing w:before="40"/>
      <w:outlineLvl w:val="2"/>
    </w:pPr>
    <w:rPr>
      <w:rFonts w:asciiTheme="majorHAnsi" w:cstheme="majorBidi" w:eastAsiaTheme="majorEastAsia" w:hAnsiTheme="majorHAnsi"/>
      <w:color w:val="1f4d78" w:themeColor="accent1" w:themeShade="00007F"/>
      <w:sz w:val="24"/>
      <w:szCs w:val="24"/>
    </w:rPr>
  </w:style>
  <w:style w:type="paragraph" w:styleId="Ttulo4">
    <w:name w:val="heading 4"/>
    <w:basedOn w:val="Normal"/>
    <w:next w:val="Normal"/>
    <w:link w:val="Ttulo4Car"/>
    <w:uiPriority w:val="9"/>
    <w:semiHidden w:val="1"/>
    <w:unhideWhenUsed w:val="1"/>
    <w:qFormat w:val="1"/>
    <w:rsid w:val="009175BD"/>
    <w:pPr>
      <w:keepNext w:val="1"/>
      <w:keepLines w:val="1"/>
      <w:numPr>
        <w:ilvl w:val="3"/>
        <w:numId w:val="6"/>
      </w:numPr>
      <w:spacing w:before="40"/>
      <w:outlineLvl w:val="3"/>
    </w:pPr>
    <w:rPr>
      <w:rFonts w:asciiTheme="majorHAnsi" w:cstheme="majorBidi" w:eastAsiaTheme="majorEastAsia" w:hAnsiTheme="majorHAnsi"/>
      <w:i w:val="1"/>
      <w:iCs w:val="1"/>
      <w:color w:val="2e74b5" w:themeColor="accent1" w:themeShade="0000BF"/>
    </w:rPr>
  </w:style>
  <w:style w:type="paragraph" w:styleId="Ttulo5">
    <w:name w:val="heading 5"/>
    <w:basedOn w:val="Normal"/>
    <w:next w:val="Normal"/>
    <w:link w:val="Ttulo5Car"/>
    <w:uiPriority w:val="9"/>
    <w:semiHidden w:val="1"/>
    <w:unhideWhenUsed w:val="1"/>
    <w:qFormat w:val="1"/>
    <w:rsid w:val="009175BD"/>
    <w:pPr>
      <w:keepNext w:val="1"/>
      <w:keepLines w:val="1"/>
      <w:numPr>
        <w:ilvl w:val="4"/>
        <w:numId w:val="6"/>
      </w:numPr>
      <w:spacing w:before="40"/>
      <w:outlineLvl w:val="4"/>
    </w:pPr>
    <w:rPr>
      <w:rFonts w:asciiTheme="majorHAnsi" w:cstheme="majorBidi" w:eastAsiaTheme="majorEastAsia" w:hAnsiTheme="majorHAnsi"/>
      <w:color w:val="2e74b5" w:themeColor="accent1" w:themeShade="0000BF"/>
    </w:rPr>
  </w:style>
  <w:style w:type="paragraph" w:styleId="Ttulo6">
    <w:name w:val="heading 6"/>
    <w:basedOn w:val="Normal"/>
    <w:next w:val="Normal"/>
    <w:link w:val="Ttulo6Car"/>
    <w:uiPriority w:val="9"/>
    <w:semiHidden w:val="1"/>
    <w:unhideWhenUsed w:val="1"/>
    <w:qFormat w:val="1"/>
    <w:rsid w:val="009175BD"/>
    <w:pPr>
      <w:keepNext w:val="1"/>
      <w:keepLines w:val="1"/>
      <w:numPr>
        <w:ilvl w:val="5"/>
        <w:numId w:val="6"/>
      </w:numPr>
      <w:spacing w:before="40"/>
      <w:outlineLvl w:val="5"/>
    </w:pPr>
    <w:rPr>
      <w:rFonts w:asciiTheme="majorHAnsi" w:cstheme="majorBidi" w:eastAsiaTheme="majorEastAsia" w:hAnsiTheme="majorHAnsi"/>
      <w:color w:val="1f4d78" w:themeColor="accent1" w:themeShade="00007F"/>
    </w:rPr>
  </w:style>
  <w:style w:type="paragraph" w:styleId="Ttulo7">
    <w:name w:val="heading 7"/>
    <w:basedOn w:val="Normal"/>
    <w:next w:val="Normal"/>
    <w:link w:val="Ttulo7Car"/>
    <w:uiPriority w:val="9"/>
    <w:semiHidden w:val="1"/>
    <w:unhideWhenUsed w:val="1"/>
    <w:qFormat w:val="1"/>
    <w:rsid w:val="009175BD"/>
    <w:pPr>
      <w:keepNext w:val="1"/>
      <w:keepLines w:val="1"/>
      <w:numPr>
        <w:ilvl w:val="6"/>
        <w:numId w:val="6"/>
      </w:numPr>
      <w:spacing w:before="40"/>
      <w:outlineLvl w:val="6"/>
    </w:pPr>
    <w:rPr>
      <w:rFonts w:asciiTheme="majorHAnsi" w:cstheme="majorBidi" w:eastAsiaTheme="majorEastAsia" w:hAnsiTheme="majorHAnsi"/>
      <w:i w:val="1"/>
      <w:iCs w:val="1"/>
      <w:color w:val="1f4d78" w:themeColor="accent1" w:themeShade="00007F"/>
    </w:rPr>
  </w:style>
  <w:style w:type="paragraph" w:styleId="Ttulo8">
    <w:name w:val="heading 8"/>
    <w:basedOn w:val="Normal"/>
    <w:next w:val="Normal"/>
    <w:link w:val="Ttulo8Car"/>
    <w:uiPriority w:val="9"/>
    <w:semiHidden w:val="1"/>
    <w:unhideWhenUsed w:val="1"/>
    <w:qFormat w:val="1"/>
    <w:rsid w:val="009175BD"/>
    <w:pPr>
      <w:keepNext w:val="1"/>
      <w:keepLines w:val="1"/>
      <w:numPr>
        <w:ilvl w:val="7"/>
        <w:numId w:val="6"/>
      </w:numPr>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9175BD"/>
    <w:pPr>
      <w:keepNext w:val="1"/>
      <w:keepLines w:val="1"/>
      <w:numPr>
        <w:ilvl w:val="8"/>
        <w:numId w:val="6"/>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aliases w:val="Subtitulo I Car,Título Segundo nivel Car,Título 2 YAMI Car"/>
    <w:basedOn w:val="Fuentedeprrafopredeter"/>
    <w:link w:val="Ttulo2"/>
    <w:uiPriority w:val="9"/>
    <w:rsid w:val="00435DF1"/>
    <w:rPr>
      <w:rFonts w:ascii="Arial" w:cs="Arial" w:eastAsia="Arial" w:hAnsi="Arial"/>
      <w:b w:val="1"/>
      <w:bCs w:val="1"/>
      <w:color w:val="000000"/>
      <w:kern w:val="1"/>
      <w:sz w:val="28"/>
      <w:szCs w:val="28"/>
      <w:lang w:bidi="hi-IN" w:eastAsia="zh-CN" w:val="es-ES"/>
    </w:rPr>
  </w:style>
  <w:style w:type="character" w:styleId="Caracteresdenotaalpie" w:customStyle="1">
    <w:name w:val="Caracteres de nota al pie"/>
    <w:rsid w:val="00435DF1"/>
  </w:style>
  <w:style w:type="character" w:styleId="Refdenotaalpie">
    <w:name w:val="footnote reference"/>
    <w:aliases w:val="Ref,de nota al pie,normal,referencia nota al pie"/>
    <w:uiPriority w:val="99"/>
    <w:rsid w:val="00435DF1"/>
    <w:rPr>
      <w:vertAlign w:val="superscript"/>
    </w:rPr>
  </w:style>
  <w:style w:type="paragraph" w:styleId="Descripcin">
    <w:name w:val="caption"/>
    <w:basedOn w:val="Normal"/>
    <w:link w:val="DescripcinCar"/>
    <w:uiPriority w:val="35"/>
    <w:qFormat w:val="1"/>
    <w:rsid w:val="00435DF1"/>
    <w:pPr>
      <w:widowControl w:val="0"/>
      <w:suppressLineNumbers w:val="1"/>
      <w:spacing w:after="120" w:before="120"/>
    </w:pPr>
    <w:rPr>
      <w:rFonts w:ascii="Liberation Serif" w:cs="Lohit Hindi" w:eastAsia="Droid Sans" w:hAnsi="Liberation Serif"/>
      <w:i w:val="1"/>
      <w:iCs w:val="1"/>
      <w:sz w:val="24"/>
      <w:szCs w:val="24"/>
      <w:lang w:bidi="hi-IN" w:eastAsia="zh-CN"/>
    </w:rPr>
  </w:style>
  <w:style w:type="paragraph" w:styleId="NormalWeb">
    <w:name w:val="Normal (Web)"/>
    <w:basedOn w:val="Normal"/>
    <w:uiPriority w:val="99"/>
    <w:rsid w:val="00435DF1"/>
    <w:pPr>
      <w:spacing w:after="280"/>
    </w:pPr>
    <w:rPr>
      <w:rFonts w:ascii="Times New Roman" w:cs="Times New Roman" w:eastAsia="Times New Roman" w:hAnsi="Times New Roman"/>
      <w:sz w:val="24"/>
      <w:szCs w:val="24"/>
      <w:lang w:eastAsia="es-CO"/>
    </w:rPr>
  </w:style>
  <w:style w:type="paragraph" w:styleId="Prrafodelista">
    <w:name w:val="List Paragraph"/>
    <w:basedOn w:val="Normal"/>
    <w:uiPriority w:val="34"/>
    <w:qFormat w:val="1"/>
    <w:rsid w:val="00435DF1"/>
    <w:pPr>
      <w:ind w:left="708"/>
    </w:pPr>
  </w:style>
  <w:style w:type="character" w:styleId="DescripcinCar" w:customStyle="1">
    <w:name w:val="Descripción Car"/>
    <w:basedOn w:val="Fuentedeprrafopredeter"/>
    <w:link w:val="Descripcin"/>
    <w:uiPriority w:val="35"/>
    <w:rsid w:val="00435DF1"/>
    <w:rPr>
      <w:rFonts w:ascii="Liberation Serif" w:cs="Lohit Hindi" w:eastAsia="Droid Sans" w:hAnsi="Liberation Serif"/>
      <w:i w:val="1"/>
      <w:iCs w:val="1"/>
      <w:kern w:val="1"/>
      <w:sz w:val="24"/>
      <w:szCs w:val="24"/>
      <w:lang w:bidi="hi-IN" w:eastAsia="zh-CN"/>
    </w:rPr>
  </w:style>
  <w:style w:type="character" w:styleId="Hipervnculo">
    <w:name w:val="Hyperlink"/>
    <w:basedOn w:val="Fuentedeprrafopredeter"/>
    <w:uiPriority w:val="99"/>
    <w:unhideWhenUsed w:val="1"/>
    <w:rsid w:val="000E4EF5"/>
    <w:rPr>
      <w:color w:val="0563c1" w:themeColor="hyperlink"/>
      <w:u w:val="single"/>
    </w:rPr>
  </w:style>
  <w:style w:type="paragraph" w:styleId="Sinespaciado1" w:customStyle="1">
    <w:name w:val="Sin espaciado1"/>
    <w:rsid w:val="004B1BA1"/>
    <w:pPr>
      <w:suppressAutoHyphens w:val="1"/>
      <w:spacing w:after="0" w:line="240" w:lineRule="auto"/>
    </w:pPr>
    <w:rPr>
      <w:rFonts w:ascii="Calibri" w:cs="Calibri" w:eastAsia="Droid Sans Fallback" w:hAnsi="Calibri"/>
      <w:kern w:val="1"/>
    </w:rPr>
  </w:style>
  <w:style w:type="paragraph" w:styleId="Encabezado">
    <w:name w:val="header"/>
    <w:basedOn w:val="Normal"/>
    <w:link w:val="EncabezadoCar"/>
    <w:uiPriority w:val="99"/>
    <w:unhideWhenUsed w:val="1"/>
    <w:rsid w:val="002F2409"/>
    <w:pPr>
      <w:tabs>
        <w:tab w:val="center" w:pos="4419"/>
        <w:tab w:val="right" w:pos="8838"/>
      </w:tabs>
    </w:pPr>
  </w:style>
  <w:style w:type="character" w:styleId="EncabezadoCar" w:customStyle="1">
    <w:name w:val="Encabezado Car"/>
    <w:basedOn w:val="Fuentedeprrafopredeter"/>
    <w:link w:val="Encabezado"/>
    <w:uiPriority w:val="99"/>
    <w:rsid w:val="002F2409"/>
    <w:rPr>
      <w:rFonts w:ascii="Calibri" w:cs="Calibri" w:eastAsia="Droid Sans Fallback" w:hAnsi="Calibri"/>
      <w:kern w:val="1"/>
    </w:rPr>
  </w:style>
  <w:style w:type="paragraph" w:styleId="Piedepgina">
    <w:name w:val="footer"/>
    <w:basedOn w:val="Normal"/>
    <w:link w:val="PiedepginaCar"/>
    <w:uiPriority w:val="99"/>
    <w:unhideWhenUsed w:val="1"/>
    <w:rsid w:val="002F2409"/>
    <w:pPr>
      <w:tabs>
        <w:tab w:val="center" w:pos="4419"/>
        <w:tab w:val="right" w:pos="8838"/>
      </w:tabs>
    </w:pPr>
  </w:style>
  <w:style w:type="character" w:styleId="PiedepginaCar" w:customStyle="1">
    <w:name w:val="Pie de página Car"/>
    <w:basedOn w:val="Fuentedeprrafopredeter"/>
    <w:link w:val="Piedepgina"/>
    <w:uiPriority w:val="99"/>
    <w:rsid w:val="002F2409"/>
    <w:rPr>
      <w:rFonts w:ascii="Calibri" w:cs="Calibri" w:eastAsia="Droid Sans Fallback" w:hAnsi="Calibri"/>
      <w:kern w:val="1"/>
    </w:rPr>
  </w:style>
  <w:style w:type="character" w:styleId="Ttulo1Car" w:customStyle="1">
    <w:name w:val="Título 1 Car"/>
    <w:basedOn w:val="Fuentedeprrafopredeter"/>
    <w:link w:val="Ttulo1"/>
    <w:uiPriority w:val="9"/>
    <w:rsid w:val="009175BD"/>
    <w:rPr>
      <w:rFonts w:asciiTheme="majorHAnsi" w:cstheme="majorBidi" w:eastAsiaTheme="majorEastAsia" w:hAnsiTheme="majorHAnsi"/>
      <w:color w:val="2e74b5" w:themeColor="accent1" w:themeShade="0000BF"/>
      <w:kern w:val="1"/>
      <w:sz w:val="32"/>
      <w:szCs w:val="32"/>
    </w:rPr>
  </w:style>
  <w:style w:type="character" w:styleId="Ttulo3Car" w:customStyle="1">
    <w:name w:val="Título 3 Car"/>
    <w:basedOn w:val="Fuentedeprrafopredeter"/>
    <w:link w:val="Ttulo3"/>
    <w:uiPriority w:val="9"/>
    <w:semiHidden w:val="1"/>
    <w:rsid w:val="009175BD"/>
    <w:rPr>
      <w:rFonts w:asciiTheme="majorHAnsi" w:cstheme="majorBidi" w:eastAsiaTheme="majorEastAsia" w:hAnsiTheme="majorHAnsi"/>
      <w:color w:val="1f4d78" w:themeColor="accent1" w:themeShade="00007F"/>
      <w:kern w:val="1"/>
      <w:sz w:val="24"/>
      <w:szCs w:val="24"/>
    </w:rPr>
  </w:style>
  <w:style w:type="character" w:styleId="Ttulo4Car" w:customStyle="1">
    <w:name w:val="Título 4 Car"/>
    <w:basedOn w:val="Fuentedeprrafopredeter"/>
    <w:link w:val="Ttulo4"/>
    <w:uiPriority w:val="9"/>
    <w:semiHidden w:val="1"/>
    <w:rsid w:val="009175BD"/>
    <w:rPr>
      <w:rFonts w:asciiTheme="majorHAnsi" w:cstheme="majorBidi" w:eastAsiaTheme="majorEastAsia" w:hAnsiTheme="majorHAnsi"/>
      <w:i w:val="1"/>
      <w:iCs w:val="1"/>
      <w:color w:val="2e74b5" w:themeColor="accent1" w:themeShade="0000BF"/>
      <w:kern w:val="1"/>
    </w:rPr>
  </w:style>
  <w:style w:type="character" w:styleId="Ttulo5Car" w:customStyle="1">
    <w:name w:val="Título 5 Car"/>
    <w:basedOn w:val="Fuentedeprrafopredeter"/>
    <w:link w:val="Ttulo5"/>
    <w:uiPriority w:val="9"/>
    <w:semiHidden w:val="1"/>
    <w:rsid w:val="009175BD"/>
    <w:rPr>
      <w:rFonts w:asciiTheme="majorHAnsi" w:cstheme="majorBidi" w:eastAsiaTheme="majorEastAsia" w:hAnsiTheme="majorHAnsi"/>
      <w:color w:val="2e74b5" w:themeColor="accent1" w:themeShade="0000BF"/>
      <w:kern w:val="1"/>
    </w:rPr>
  </w:style>
  <w:style w:type="character" w:styleId="Ttulo6Car" w:customStyle="1">
    <w:name w:val="Título 6 Car"/>
    <w:basedOn w:val="Fuentedeprrafopredeter"/>
    <w:link w:val="Ttulo6"/>
    <w:uiPriority w:val="9"/>
    <w:semiHidden w:val="1"/>
    <w:rsid w:val="009175BD"/>
    <w:rPr>
      <w:rFonts w:asciiTheme="majorHAnsi" w:cstheme="majorBidi" w:eastAsiaTheme="majorEastAsia" w:hAnsiTheme="majorHAnsi"/>
      <w:color w:val="1f4d78" w:themeColor="accent1" w:themeShade="00007F"/>
      <w:kern w:val="1"/>
    </w:rPr>
  </w:style>
  <w:style w:type="character" w:styleId="Ttulo7Car" w:customStyle="1">
    <w:name w:val="Título 7 Car"/>
    <w:basedOn w:val="Fuentedeprrafopredeter"/>
    <w:link w:val="Ttulo7"/>
    <w:uiPriority w:val="9"/>
    <w:semiHidden w:val="1"/>
    <w:rsid w:val="009175BD"/>
    <w:rPr>
      <w:rFonts w:asciiTheme="majorHAnsi" w:cstheme="majorBidi" w:eastAsiaTheme="majorEastAsia" w:hAnsiTheme="majorHAnsi"/>
      <w:i w:val="1"/>
      <w:iCs w:val="1"/>
      <w:color w:val="1f4d78" w:themeColor="accent1" w:themeShade="00007F"/>
      <w:kern w:val="1"/>
    </w:rPr>
  </w:style>
  <w:style w:type="character" w:styleId="Ttulo8Car" w:customStyle="1">
    <w:name w:val="Título 8 Car"/>
    <w:basedOn w:val="Fuentedeprrafopredeter"/>
    <w:link w:val="Ttulo8"/>
    <w:uiPriority w:val="9"/>
    <w:semiHidden w:val="1"/>
    <w:rsid w:val="009175BD"/>
    <w:rPr>
      <w:rFonts w:asciiTheme="majorHAnsi" w:cstheme="majorBidi" w:eastAsiaTheme="majorEastAsia" w:hAnsiTheme="majorHAnsi"/>
      <w:color w:val="272727" w:themeColor="text1" w:themeTint="0000D8"/>
      <w:kern w:val="1"/>
      <w:sz w:val="21"/>
      <w:szCs w:val="21"/>
    </w:rPr>
  </w:style>
  <w:style w:type="character" w:styleId="Ttulo9Car" w:customStyle="1">
    <w:name w:val="Título 9 Car"/>
    <w:basedOn w:val="Fuentedeprrafopredeter"/>
    <w:link w:val="Ttulo9"/>
    <w:uiPriority w:val="9"/>
    <w:semiHidden w:val="1"/>
    <w:rsid w:val="009175BD"/>
    <w:rPr>
      <w:rFonts w:asciiTheme="majorHAnsi" w:cstheme="majorBidi" w:eastAsiaTheme="majorEastAsia" w:hAnsiTheme="majorHAnsi"/>
      <w:i w:val="1"/>
      <w:iCs w:val="1"/>
      <w:color w:val="272727" w:themeColor="text1" w:themeTint="0000D8"/>
      <w:kern w:val="1"/>
      <w:sz w:val="21"/>
      <w:szCs w:val="21"/>
    </w:rPr>
  </w:style>
  <w:style w:type="table" w:styleId="Tablaconcuadrcula">
    <w:name w:val="Table Grid"/>
    <w:basedOn w:val="Tablanormal"/>
    <w:uiPriority w:val="39"/>
    <w:rsid w:val="00CE32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olombiaaprende.edu.co/sites/default/files/files_public/2021-08/caracterizacion-sector-tic.pdf" TargetMode="Externa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JYOI9ffCAQBKMKYiroOD/JVvCQ==">AMUW2mUi5nztlqvXh0+9lkaou8YEVsbHrn7qPgUjhEllSUARj2SAWsnaIqzOk2YO6LAbF19qGVFfdZ1zQVtoC5jT5vbZFXAl+pI+AZlcq8uaiDRg8fGB6dROew4wAbcIFAw1FYfBeYx8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2022-03-18T14:45:00Z</dcterms:created>
  <dc:creator>Registro Calificado UD</dc:creator>
</cp:coreProperties>
</file>