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8F4232" w14:textId="1E7CF387" w:rsidR="0068787D" w:rsidRDefault="0062269A" w:rsidP="0068787D">
      <w:pPr>
        <w:shd w:val="clear" w:color="auto" w:fill="FFFFFF"/>
        <w:spacing w:after="0" w:line="360" w:lineRule="auto"/>
        <w:jc w:val="center"/>
        <w:rPr>
          <w:rFonts w:ascii="Times New Roman" w:eastAsia="Times New Roman" w:hAnsi="Times New Roman" w:cs="Times New Roman"/>
          <w:b/>
          <w:color w:val="222222"/>
          <w:sz w:val="24"/>
          <w:szCs w:val="24"/>
          <w:lang w:eastAsia="es-CO"/>
        </w:rPr>
      </w:pPr>
      <w:r>
        <w:rPr>
          <w:rFonts w:ascii="Times New Roman" w:eastAsia="Times New Roman" w:hAnsi="Times New Roman" w:cs="Times New Roman"/>
          <w:b/>
          <w:color w:val="222222"/>
          <w:sz w:val="24"/>
          <w:szCs w:val="24"/>
          <w:lang w:eastAsia="es-CO"/>
        </w:rPr>
        <w:t>Capítulo 4. Organización de las actividades académicas y proceso formativo</w:t>
      </w:r>
    </w:p>
    <w:p w14:paraId="1309142C" w14:textId="4EFC68D4" w:rsidR="0068787D" w:rsidRDefault="0068787D" w:rsidP="0068787D">
      <w:pPr>
        <w:shd w:val="clear" w:color="auto" w:fill="FFFFFF"/>
        <w:spacing w:after="0" w:line="360" w:lineRule="auto"/>
        <w:jc w:val="center"/>
        <w:rPr>
          <w:rFonts w:ascii="Times New Roman" w:eastAsia="Times New Roman" w:hAnsi="Times New Roman" w:cs="Times New Roman"/>
          <w:b/>
          <w:color w:val="222222"/>
          <w:sz w:val="24"/>
          <w:szCs w:val="24"/>
          <w:lang w:eastAsia="es-CO"/>
        </w:rPr>
      </w:pPr>
      <w:r>
        <w:rPr>
          <w:rFonts w:ascii="Times New Roman" w:eastAsia="Times New Roman" w:hAnsi="Times New Roman" w:cs="Times New Roman"/>
          <w:b/>
          <w:color w:val="222222"/>
          <w:sz w:val="24"/>
          <w:szCs w:val="24"/>
          <w:lang w:eastAsia="es-CO"/>
        </w:rPr>
        <w:t>(Síntesis)</w:t>
      </w:r>
    </w:p>
    <w:p w14:paraId="444E6EF2" w14:textId="77777777" w:rsidR="0068787D" w:rsidRPr="0068787D" w:rsidRDefault="0068787D" w:rsidP="0068787D">
      <w:pPr>
        <w:shd w:val="clear" w:color="auto" w:fill="FFFFFF"/>
        <w:spacing w:after="0" w:line="360" w:lineRule="auto"/>
        <w:jc w:val="center"/>
        <w:rPr>
          <w:rFonts w:ascii="Times New Roman" w:eastAsia="Times New Roman" w:hAnsi="Times New Roman" w:cs="Times New Roman"/>
          <w:b/>
          <w:color w:val="222222"/>
          <w:sz w:val="24"/>
          <w:szCs w:val="24"/>
          <w:lang w:eastAsia="es-CO"/>
        </w:rPr>
      </w:pPr>
    </w:p>
    <w:p w14:paraId="717D857F" w14:textId="572EF281" w:rsidR="00F578DA" w:rsidRDefault="0062269A" w:rsidP="00A44E60">
      <w:pPr>
        <w:spacing w:after="0" w:line="360" w:lineRule="auto"/>
        <w:jc w:val="both"/>
        <w:rPr>
          <w:rFonts w:ascii="Times New Roman" w:eastAsia="Times New Roman" w:hAnsi="Times New Roman" w:cs="Times New Roman"/>
          <w:color w:val="000000"/>
          <w:sz w:val="24"/>
          <w:szCs w:val="24"/>
          <w:lang w:eastAsia="es-ES"/>
        </w:rPr>
      </w:pPr>
      <w:r>
        <w:rPr>
          <w:rFonts w:ascii="Times New Roman" w:eastAsia="Times New Roman" w:hAnsi="Times New Roman" w:cs="Times New Roman"/>
          <w:color w:val="000000"/>
          <w:sz w:val="24"/>
          <w:szCs w:val="24"/>
          <w:lang w:eastAsia="es-ES"/>
        </w:rPr>
        <w:t>L</w:t>
      </w:r>
      <w:r w:rsidR="00F578DA" w:rsidRPr="0068787D">
        <w:rPr>
          <w:rFonts w:ascii="Times New Roman" w:eastAsia="Times New Roman" w:hAnsi="Times New Roman" w:cs="Times New Roman"/>
          <w:color w:val="000000"/>
          <w:sz w:val="24"/>
          <w:szCs w:val="24"/>
          <w:lang w:eastAsia="es-ES"/>
        </w:rPr>
        <w:t xml:space="preserve">a Maestría en Ciencias de la Información y las comunicaciones </w:t>
      </w:r>
      <w:r w:rsidR="003F56CB" w:rsidRPr="0068787D">
        <w:rPr>
          <w:rFonts w:ascii="Times New Roman" w:eastAsia="Times New Roman" w:hAnsi="Times New Roman" w:cs="Times New Roman"/>
          <w:color w:val="000000"/>
          <w:sz w:val="24"/>
          <w:szCs w:val="24"/>
          <w:lang w:eastAsia="es-ES"/>
        </w:rPr>
        <w:t xml:space="preserve">(MCIC) </w:t>
      </w:r>
      <w:r w:rsidR="00F578DA" w:rsidRPr="0068787D">
        <w:rPr>
          <w:rFonts w:ascii="Times New Roman" w:eastAsia="Times New Roman" w:hAnsi="Times New Roman" w:cs="Times New Roman"/>
          <w:color w:val="000000"/>
          <w:sz w:val="24"/>
          <w:szCs w:val="24"/>
          <w:lang w:eastAsia="es-ES"/>
        </w:rPr>
        <w:t>oferta 4 énfasis: Teleinformática, Geomática, Ingeniería de Software e Inteligencia Artificial, cada uno de ellos con la misma estructura curricular. Una estructura de 44 créditos conformada por 4 tipo de espacios académicos:</w:t>
      </w:r>
    </w:p>
    <w:p w14:paraId="0C734059" w14:textId="77777777" w:rsidR="0068787D" w:rsidRPr="0068787D" w:rsidRDefault="0068787D" w:rsidP="00A44E60">
      <w:pPr>
        <w:spacing w:after="0" w:line="360" w:lineRule="auto"/>
        <w:jc w:val="both"/>
        <w:rPr>
          <w:rFonts w:ascii="Times New Roman" w:eastAsia="Times New Roman" w:hAnsi="Times New Roman" w:cs="Times New Roman"/>
          <w:color w:val="000000"/>
          <w:sz w:val="24"/>
          <w:szCs w:val="24"/>
          <w:lang w:eastAsia="es-ES"/>
        </w:rPr>
      </w:pPr>
    </w:p>
    <w:p w14:paraId="08397C76" w14:textId="0EF60EC5" w:rsidR="00F578DA" w:rsidRPr="0068787D" w:rsidRDefault="00F578DA" w:rsidP="0068787D">
      <w:pPr>
        <w:pStyle w:val="ListParagraph"/>
        <w:numPr>
          <w:ilvl w:val="0"/>
          <w:numId w:val="6"/>
        </w:num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eastAsia="Times New Roman" w:hAnsi="Times New Roman" w:cs="Times New Roman"/>
          <w:b/>
          <w:bCs/>
          <w:i/>
          <w:iCs/>
          <w:color w:val="000000"/>
          <w:sz w:val="24"/>
          <w:szCs w:val="24"/>
          <w:lang w:eastAsia="es-ES"/>
        </w:rPr>
        <w:t>Es</w:t>
      </w:r>
      <w:r w:rsidR="0068787D">
        <w:rPr>
          <w:rFonts w:ascii="Times New Roman" w:eastAsia="Times New Roman" w:hAnsi="Times New Roman" w:cs="Times New Roman"/>
          <w:b/>
          <w:bCs/>
          <w:i/>
          <w:iCs/>
          <w:color w:val="000000"/>
          <w:sz w:val="24"/>
          <w:szCs w:val="24"/>
          <w:lang w:eastAsia="es-ES"/>
        </w:rPr>
        <w:t>pacios académicos fundamentales.</w:t>
      </w:r>
      <w:r w:rsidRPr="0068787D">
        <w:rPr>
          <w:rFonts w:ascii="Times New Roman" w:eastAsia="Times New Roman" w:hAnsi="Times New Roman" w:cs="Times New Roman"/>
          <w:color w:val="000000"/>
          <w:sz w:val="24"/>
          <w:szCs w:val="24"/>
          <w:lang w:eastAsia="es-ES"/>
        </w:rPr>
        <w:t xml:space="preserve"> Constituyen el núcleo fundamental de la Maestría</w:t>
      </w:r>
      <w:r w:rsidR="005B541B" w:rsidRPr="0068787D">
        <w:rPr>
          <w:rFonts w:ascii="Times New Roman" w:eastAsia="Times New Roman" w:hAnsi="Times New Roman" w:cs="Times New Roman"/>
          <w:color w:val="000000"/>
          <w:sz w:val="24"/>
          <w:szCs w:val="24"/>
          <w:lang w:eastAsia="es-ES"/>
        </w:rPr>
        <w:t xml:space="preserve"> con </w:t>
      </w:r>
      <w:r w:rsidRPr="0068787D">
        <w:rPr>
          <w:rFonts w:ascii="Times New Roman" w:eastAsia="Times New Roman" w:hAnsi="Times New Roman" w:cs="Times New Roman"/>
          <w:color w:val="000000"/>
          <w:sz w:val="24"/>
          <w:szCs w:val="24"/>
          <w:lang w:eastAsia="es-ES"/>
        </w:rPr>
        <w:t>8 créditos</w:t>
      </w:r>
      <w:r w:rsidR="005B541B" w:rsidRPr="0068787D">
        <w:rPr>
          <w:rFonts w:ascii="Times New Roman" w:eastAsia="Times New Roman" w:hAnsi="Times New Roman" w:cs="Times New Roman"/>
          <w:color w:val="000000"/>
          <w:sz w:val="24"/>
          <w:szCs w:val="24"/>
          <w:lang w:eastAsia="es-ES"/>
        </w:rPr>
        <w:t xml:space="preserve">, </w:t>
      </w:r>
      <w:r w:rsidRPr="0068787D">
        <w:rPr>
          <w:rFonts w:ascii="Times New Roman" w:eastAsia="Times New Roman" w:hAnsi="Times New Roman" w:cs="Times New Roman"/>
          <w:color w:val="000000"/>
          <w:sz w:val="24"/>
          <w:szCs w:val="24"/>
          <w:lang w:eastAsia="es-ES"/>
        </w:rPr>
        <w:t xml:space="preserve">conformado por 2 espacios comunes y obligatorios para todos los énfasis: Herramientas matemáticas para el manejo de la información e Informática. </w:t>
      </w:r>
    </w:p>
    <w:p w14:paraId="15CAAFCF" w14:textId="77777777" w:rsidR="0068787D" w:rsidRDefault="00F578DA" w:rsidP="00A44E60">
      <w:pPr>
        <w:pStyle w:val="ListParagraph"/>
        <w:numPr>
          <w:ilvl w:val="0"/>
          <w:numId w:val="6"/>
        </w:num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eastAsia="Times New Roman" w:hAnsi="Times New Roman" w:cs="Times New Roman"/>
          <w:b/>
          <w:bCs/>
          <w:i/>
          <w:iCs/>
          <w:color w:val="000000"/>
          <w:sz w:val="24"/>
          <w:szCs w:val="24"/>
          <w:lang w:eastAsia="es-ES"/>
        </w:rPr>
        <w:t>Espacios académicos de investigación</w:t>
      </w:r>
      <w:r w:rsidR="0068787D" w:rsidRPr="0068787D">
        <w:rPr>
          <w:rFonts w:ascii="Times New Roman" w:eastAsia="Times New Roman" w:hAnsi="Times New Roman" w:cs="Times New Roman"/>
          <w:b/>
          <w:bCs/>
          <w:i/>
          <w:iCs/>
          <w:color w:val="000000"/>
          <w:sz w:val="24"/>
          <w:szCs w:val="24"/>
          <w:lang w:eastAsia="es-ES"/>
        </w:rPr>
        <w:t>.</w:t>
      </w:r>
      <w:r w:rsidRPr="0068787D">
        <w:rPr>
          <w:rFonts w:ascii="Times New Roman" w:eastAsia="Times New Roman" w:hAnsi="Times New Roman" w:cs="Times New Roman"/>
          <w:color w:val="000000"/>
          <w:sz w:val="24"/>
          <w:szCs w:val="24"/>
          <w:lang w:eastAsia="es-ES"/>
        </w:rPr>
        <w:t xml:space="preserve"> A pesar de que la Maestría es en profundización, se considera totalmente necesario la formación en metodología de la investigación enfocada a la formulación y desarrollo de</w:t>
      </w:r>
      <w:r w:rsidR="003F56CB" w:rsidRPr="0068787D">
        <w:rPr>
          <w:rFonts w:ascii="Times New Roman" w:eastAsia="Times New Roman" w:hAnsi="Times New Roman" w:cs="Times New Roman"/>
          <w:color w:val="000000"/>
          <w:sz w:val="24"/>
          <w:szCs w:val="24"/>
          <w:lang w:eastAsia="es-ES"/>
        </w:rPr>
        <w:t xml:space="preserve"> proyectos </w:t>
      </w:r>
      <w:r w:rsidRPr="0068787D">
        <w:rPr>
          <w:rFonts w:ascii="Times New Roman" w:eastAsia="Times New Roman" w:hAnsi="Times New Roman" w:cs="Times New Roman"/>
          <w:color w:val="000000"/>
          <w:sz w:val="24"/>
          <w:szCs w:val="24"/>
          <w:lang w:eastAsia="es-ES"/>
        </w:rPr>
        <w:t xml:space="preserve">(8 créditos). </w:t>
      </w:r>
      <w:r w:rsidR="003F56CB" w:rsidRPr="0068787D">
        <w:rPr>
          <w:rFonts w:ascii="Times New Roman" w:eastAsia="Times New Roman" w:hAnsi="Times New Roman" w:cs="Times New Roman"/>
          <w:color w:val="000000"/>
          <w:sz w:val="24"/>
          <w:szCs w:val="24"/>
          <w:lang w:eastAsia="es-ES"/>
        </w:rPr>
        <w:t>Está</w:t>
      </w:r>
      <w:r w:rsidR="0023055E" w:rsidRPr="0068787D">
        <w:rPr>
          <w:rFonts w:ascii="Times New Roman" w:eastAsia="Times New Roman" w:hAnsi="Times New Roman" w:cs="Times New Roman"/>
          <w:color w:val="000000"/>
          <w:sz w:val="24"/>
          <w:szCs w:val="24"/>
          <w:lang w:eastAsia="es-ES"/>
        </w:rPr>
        <w:t xml:space="preserve"> ruta</w:t>
      </w:r>
      <w:r w:rsidRPr="0068787D">
        <w:rPr>
          <w:rFonts w:ascii="Times New Roman" w:eastAsia="Times New Roman" w:hAnsi="Times New Roman" w:cs="Times New Roman"/>
          <w:color w:val="000000"/>
          <w:sz w:val="24"/>
          <w:szCs w:val="24"/>
          <w:lang w:eastAsia="es-ES"/>
        </w:rPr>
        <w:t xml:space="preserve"> </w:t>
      </w:r>
      <w:r w:rsidR="003F56CB" w:rsidRPr="0068787D">
        <w:rPr>
          <w:rFonts w:ascii="Times New Roman" w:eastAsia="Times New Roman" w:hAnsi="Times New Roman" w:cs="Times New Roman"/>
          <w:color w:val="000000"/>
          <w:sz w:val="24"/>
          <w:szCs w:val="24"/>
          <w:lang w:eastAsia="es-ES"/>
        </w:rPr>
        <w:t>conformado</w:t>
      </w:r>
      <w:r w:rsidRPr="0068787D">
        <w:rPr>
          <w:rFonts w:ascii="Times New Roman" w:eastAsia="Times New Roman" w:hAnsi="Times New Roman" w:cs="Times New Roman"/>
          <w:color w:val="000000"/>
          <w:sz w:val="24"/>
          <w:szCs w:val="24"/>
          <w:lang w:eastAsia="es-ES"/>
        </w:rPr>
        <w:t xml:space="preserve"> por 2 espacios comunes y obligatorios para todos los énfasis. </w:t>
      </w:r>
    </w:p>
    <w:p w14:paraId="5A91EC31" w14:textId="6BCB18E1" w:rsidR="0068787D" w:rsidRDefault="00182591" w:rsidP="00A44E60">
      <w:pPr>
        <w:pStyle w:val="ListParagraph"/>
        <w:numPr>
          <w:ilvl w:val="0"/>
          <w:numId w:val="6"/>
        </w:numPr>
        <w:spacing w:after="0" w:line="360" w:lineRule="auto"/>
        <w:jc w:val="both"/>
        <w:rPr>
          <w:rFonts w:ascii="Times New Roman" w:eastAsia="Times New Roman" w:hAnsi="Times New Roman" w:cs="Times New Roman"/>
          <w:color w:val="000000"/>
          <w:sz w:val="24"/>
          <w:szCs w:val="24"/>
          <w:lang w:eastAsia="es-ES"/>
        </w:rPr>
      </w:pPr>
      <w:r>
        <w:rPr>
          <w:rFonts w:ascii="Times New Roman" w:eastAsia="Times New Roman" w:hAnsi="Times New Roman" w:cs="Times New Roman"/>
          <w:b/>
          <w:bCs/>
          <w:i/>
          <w:iCs/>
          <w:color w:val="000000"/>
          <w:sz w:val="24"/>
          <w:szCs w:val="24"/>
          <w:lang w:eastAsia="es-ES"/>
        </w:rPr>
        <w:t xml:space="preserve">Espacios académicos de Énfasis. </w:t>
      </w:r>
      <w:r w:rsidR="00F578DA" w:rsidRPr="0068787D">
        <w:rPr>
          <w:rFonts w:ascii="Times New Roman" w:eastAsia="Times New Roman" w:hAnsi="Times New Roman" w:cs="Times New Roman"/>
          <w:color w:val="000000"/>
          <w:sz w:val="24"/>
          <w:szCs w:val="24"/>
          <w:lang w:eastAsia="es-ES"/>
        </w:rPr>
        <w:t xml:space="preserve">Corresponden a los espacios académicos electivos del énfasis (20 créditos).  El estudiante debe seleccionar 5 espacios electivos propios del énfasis. El fin de estos espacios constituye la adquisición de conocimiento y formación de competencias específicas en las temáticas propias del énfasis. </w:t>
      </w:r>
    </w:p>
    <w:p w14:paraId="7ADB4CE1" w14:textId="53D363F1" w:rsidR="00F578DA" w:rsidRDefault="00F578DA" w:rsidP="00A44E60">
      <w:pPr>
        <w:pStyle w:val="ListParagraph"/>
        <w:numPr>
          <w:ilvl w:val="0"/>
          <w:numId w:val="6"/>
        </w:num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eastAsia="Times New Roman" w:hAnsi="Times New Roman" w:cs="Times New Roman"/>
          <w:b/>
          <w:bCs/>
          <w:i/>
          <w:iCs/>
          <w:color w:val="000000"/>
          <w:sz w:val="24"/>
          <w:szCs w:val="24"/>
          <w:lang w:eastAsia="es-ES"/>
        </w:rPr>
        <w:t>Esp</w:t>
      </w:r>
      <w:r w:rsidR="00182591">
        <w:rPr>
          <w:rFonts w:ascii="Times New Roman" w:eastAsia="Times New Roman" w:hAnsi="Times New Roman" w:cs="Times New Roman"/>
          <w:b/>
          <w:bCs/>
          <w:i/>
          <w:iCs/>
          <w:color w:val="000000"/>
          <w:sz w:val="24"/>
          <w:szCs w:val="24"/>
          <w:lang w:eastAsia="es-ES"/>
        </w:rPr>
        <w:t>acios académicos Complementarios.</w:t>
      </w:r>
      <w:r w:rsidRPr="0068787D">
        <w:rPr>
          <w:rFonts w:ascii="Times New Roman" w:eastAsia="Times New Roman" w:hAnsi="Times New Roman" w:cs="Times New Roman"/>
          <w:color w:val="000000"/>
          <w:sz w:val="24"/>
          <w:szCs w:val="24"/>
          <w:lang w:eastAsia="es-ES"/>
        </w:rPr>
        <w:t xml:space="preserve"> Corresponden a los espacios académicos electivos extrínsecos (8 créditos).  El estudiante debe seleccionar dos espacios de los siguientes:</w:t>
      </w:r>
      <w:r w:rsidR="003F56CB" w:rsidRPr="0068787D">
        <w:rPr>
          <w:rFonts w:ascii="Times New Roman" w:eastAsia="Times New Roman" w:hAnsi="Times New Roman" w:cs="Times New Roman"/>
          <w:color w:val="000000"/>
          <w:sz w:val="24"/>
          <w:szCs w:val="24"/>
          <w:lang w:eastAsia="es-ES"/>
        </w:rPr>
        <w:t xml:space="preserve"> e</w:t>
      </w:r>
      <w:r w:rsidRPr="0068787D">
        <w:rPr>
          <w:rFonts w:ascii="Times New Roman" w:eastAsia="Times New Roman" w:hAnsi="Times New Roman" w:cs="Times New Roman"/>
          <w:color w:val="000000"/>
          <w:sz w:val="24"/>
          <w:szCs w:val="24"/>
          <w:lang w:eastAsia="es-ES"/>
        </w:rPr>
        <w:t>spacio electivo del mismo o de otros énfasis</w:t>
      </w:r>
      <w:r w:rsidR="003F56CB" w:rsidRPr="0068787D">
        <w:rPr>
          <w:rFonts w:ascii="Times New Roman" w:eastAsia="Times New Roman" w:hAnsi="Times New Roman" w:cs="Times New Roman"/>
          <w:color w:val="000000"/>
          <w:sz w:val="24"/>
          <w:szCs w:val="24"/>
          <w:lang w:eastAsia="es-ES"/>
        </w:rPr>
        <w:t>; e</w:t>
      </w:r>
      <w:r w:rsidRPr="0068787D">
        <w:rPr>
          <w:rFonts w:ascii="Times New Roman" w:eastAsia="Times New Roman" w:hAnsi="Times New Roman" w:cs="Times New Roman"/>
          <w:color w:val="000000"/>
          <w:sz w:val="24"/>
          <w:szCs w:val="24"/>
          <w:lang w:eastAsia="es-ES"/>
        </w:rPr>
        <w:t>spacio académico de otras maestrías de la facultad de ingeniería</w:t>
      </w:r>
      <w:r w:rsidR="003F56CB" w:rsidRPr="0068787D">
        <w:rPr>
          <w:rFonts w:ascii="Times New Roman" w:eastAsia="Times New Roman" w:hAnsi="Times New Roman" w:cs="Times New Roman"/>
          <w:color w:val="000000"/>
          <w:sz w:val="24"/>
          <w:szCs w:val="24"/>
          <w:lang w:eastAsia="es-ES"/>
        </w:rPr>
        <w:t>; e</w:t>
      </w:r>
      <w:r w:rsidRPr="0068787D">
        <w:rPr>
          <w:rFonts w:ascii="Times New Roman" w:eastAsia="Times New Roman" w:hAnsi="Times New Roman" w:cs="Times New Roman"/>
          <w:color w:val="000000"/>
          <w:sz w:val="24"/>
          <w:szCs w:val="24"/>
          <w:lang w:eastAsia="es-ES"/>
        </w:rPr>
        <w:t>spacio académico de las maestrías de las otras facultades de la Universidad (sujeto a aprobación del consejo curricular)</w:t>
      </w:r>
      <w:r w:rsidR="003F56CB" w:rsidRPr="0068787D">
        <w:rPr>
          <w:rFonts w:ascii="Times New Roman" w:eastAsia="Times New Roman" w:hAnsi="Times New Roman" w:cs="Times New Roman"/>
          <w:color w:val="000000"/>
          <w:sz w:val="24"/>
          <w:szCs w:val="24"/>
          <w:lang w:eastAsia="es-ES"/>
        </w:rPr>
        <w:t>; y /o e</w:t>
      </w:r>
      <w:r w:rsidRPr="0068787D">
        <w:rPr>
          <w:rFonts w:ascii="Times New Roman" w:eastAsia="Times New Roman" w:hAnsi="Times New Roman" w:cs="Times New Roman"/>
          <w:color w:val="000000"/>
          <w:sz w:val="24"/>
          <w:szCs w:val="24"/>
          <w:lang w:eastAsia="es-ES"/>
        </w:rPr>
        <w:t>spacio académico de maestrías de otras Universidades (sujeto a aprobación del consejo curricular)</w:t>
      </w:r>
      <w:r w:rsidR="00446D57">
        <w:rPr>
          <w:rFonts w:ascii="Times New Roman" w:eastAsia="Times New Roman" w:hAnsi="Times New Roman" w:cs="Times New Roman"/>
          <w:color w:val="000000"/>
          <w:sz w:val="24"/>
          <w:szCs w:val="24"/>
          <w:lang w:eastAsia="es-ES"/>
        </w:rPr>
        <w:t>.</w:t>
      </w:r>
    </w:p>
    <w:p w14:paraId="3DA14DC1" w14:textId="77777777" w:rsidR="0062269A" w:rsidRDefault="0062269A" w:rsidP="00F52D79">
      <w:pPr>
        <w:pStyle w:val="Caption"/>
        <w:spacing w:before="0" w:after="0" w:line="360" w:lineRule="auto"/>
        <w:ind w:left="0"/>
        <w:jc w:val="both"/>
        <w:rPr>
          <w:rFonts w:ascii="Times New Roman" w:hAnsi="Times New Roman" w:cs="Times New Roman"/>
          <w:i w:val="0"/>
          <w:color w:val="2F5496" w:themeColor="accent1" w:themeShade="BF"/>
        </w:rPr>
      </w:pPr>
    </w:p>
    <w:p w14:paraId="7030BE46" w14:textId="14D597BF" w:rsidR="0062269A" w:rsidRDefault="0062269A" w:rsidP="0062269A">
      <w:pPr>
        <w:spacing w:line="360" w:lineRule="auto"/>
        <w:jc w:val="both"/>
        <w:rPr>
          <w:rFonts w:ascii="Times New Roman" w:eastAsia="Batang" w:hAnsi="Times New Roman" w:cs="Times New Roman"/>
          <w:sz w:val="24"/>
        </w:rPr>
      </w:pPr>
      <w:r w:rsidRPr="002501AF">
        <w:rPr>
          <w:rFonts w:ascii="Times New Roman" w:eastAsia="Batang" w:hAnsi="Times New Roman" w:cs="Times New Roman"/>
          <w:sz w:val="24"/>
        </w:rPr>
        <w:t>Las asignaturas están centradas en núcleos conceptuales y resolución de problemas propuestos como proyectos de investigación por asignatura y es necesario que el estudiante explicite el tipo de metodología usada y posteriormente socialice los resultados.</w:t>
      </w:r>
    </w:p>
    <w:p w14:paraId="54C6F833" w14:textId="4294A2E9" w:rsidR="0062269A" w:rsidRDefault="0062269A" w:rsidP="0062269A">
      <w:pPr>
        <w:pStyle w:val="Heading2"/>
        <w:numPr>
          <w:ilvl w:val="1"/>
          <w:numId w:val="15"/>
        </w:numPr>
        <w:spacing w:line="360" w:lineRule="auto"/>
        <w:rPr>
          <w:rFonts w:ascii="Times New Roman" w:hAnsi="Times New Roman" w:cs="Times New Roman"/>
          <w:color w:val="auto"/>
          <w:sz w:val="24"/>
          <w:szCs w:val="24"/>
        </w:rPr>
      </w:pPr>
      <w:bookmarkStart w:id="0" w:name="_GoBack"/>
      <w:bookmarkEnd w:id="0"/>
      <w:r>
        <w:rPr>
          <w:rFonts w:ascii="Times New Roman" w:hAnsi="Times New Roman" w:cs="Times New Roman"/>
          <w:color w:val="auto"/>
          <w:sz w:val="24"/>
          <w:szCs w:val="24"/>
          <w:lang w:val="es-CO"/>
        </w:rPr>
        <w:lastRenderedPageBreak/>
        <w:t xml:space="preserve"> </w:t>
      </w:r>
      <w:r w:rsidRPr="007335BD">
        <w:rPr>
          <w:rFonts w:ascii="Times New Roman" w:hAnsi="Times New Roman" w:cs="Times New Roman"/>
          <w:color w:val="auto"/>
          <w:sz w:val="24"/>
          <w:szCs w:val="24"/>
        </w:rPr>
        <w:t>Estrategias para permanencia, graduación oportuna y logro de los resultados de aprendizaje</w:t>
      </w:r>
    </w:p>
    <w:p w14:paraId="702CA92C" w14:textId="77777777" w:rsidR="0062269A" w:rsidRPr="007335BD" w:rsidRDefault="0062269A" w:rsidP="0062269A">
      <w:pPr>
        <w:rPr>
          <w:lang w:val="es-ES" w:eastAsia="zh-CN" w:bidi="hi-IN"/>
        </w:rPr>
      </w:pPr>
    </w:p>
    <w:p w14:paraId="7C62E55B" w14:textId="77777777" w:rsidR="0062269A" w:rsidRPr="007335BD" w:rsidRDefault="0062269A" w:rsidP="0062269A">
      <w:pPr>
        <w:spacing w:line="360" w:lineRule="auto"/>
        <w:jc w:val="both"/>
        <w:rPr>
          <w:rFonts w:ascii="Times New Roman" w:hAnsi="Times New Roman" w:cs="Times New Roman"/>
          <w:b/>
          <w:color w:val="2F5496" w:themeColor="accent1" w:themeShade="BF"/>
          <w:sz w:val="24"/>
          <w:szCs w:val="24"/>
        </w:rPr>
      </w:pPr>
      <w:r w:rsidRPr="007335BD">
        <w:rPr>
          <w:rFonts w:ascii="Times New Roman" w:hAnsi="Times New Roman" w:cs="Times New Roman"/>
          <w:b/>
          <w:color w:val="2F5496" w:themeColor="accent1" w:themeShade="BF"/>
          <w:sz w:val="24"/>
          <w:szCs w:val="24"/>
        </w:rPr>
        <w:t>Programa para el Desarrollo Integral y la Graduación Oportuna</w:t>
      </w:r>
    </w:p>
    <w:p w14:paraId="6FD51E46" w14:textId="77777777" w:rsidR="0062269A" w:rsidRPr="007335BD" w:rsidRDefault="0062269A" w:rsidP="0062269A">
      <w:pPr>
        <w:spacing w:line="360" w:lineRule="auto"/>
        <w:jc w:val="both"/>
        <w:rPr>
          <w:rFonts w:ascii="Times New Roman" w:hAnsi="Times New Roman" w:cs="Times New Roman"/>
          <w:color w:val="2F5496" w:themeColor="accent1" w:themeShade="BF"/>
          <w:sz w:val="24"/>
          <w:szCs w:val="24"/>
        </w:rPr>
      </w:pPr>
      <w:r w:rsidRPr="007335BD">
        <w:rPr>
          <w:rFonts w:ascii="Times New Roman" w:hAnsi="Times New Roman" w:cs="Times New Roman"/>
          <w:color w:val="2F5496" w:themeColor="accent1" w:themeShade="BF"/>
          <w:sz w:val="24"/>
          <w:szCs w:val="24"/>
        </w:rPr>
        <w:t>Este programa institucional tiene por objetivo disminuir la deserción estudiantil en la Universidad Distrital Francisco José de Caldas, en las diferentes etapas de formación, a través del desarrollo integral y el acompañamiento durante la vida académica de nuestros estudiantes, para lo cual se han establecido diferentes estrategias académicas, de bienestar, crecimiento personal y desarrollo integral. El programa se encuentra enmarcado en el proyecto de inversión: Fortalecimiento a la Promoción para la Excelencia Académica, el cual inició en septiembre del 2020. Dentro de las actividades que se vienen desarrollando se encuentran:</w:t>
      </w:r>
    </w:p>
    <w:p w14:paraId="74CD6595" w14:textId="77777777" w:rsidR="0062269A" w:rsidRPr="007335BD" w:rsidRDefault="0062269A" w:rsidP="0062269A">
      <w:pPr>
        <w:pStyle w:val="ListParagraph"/>
        <w:numPr>
          <w:ilvl w:val="0"/>
          <w:numId w:val="13"/>
        </w:numPr>
        <w:spacing w:after="0" w:line="360" w:lineRule="auto"/>
        <w:ind w:left="0"/>
        <w:jc w:val="both"/>
        <w:rPr>
          <w:rFonts w:ascii="Times New Roman" w:hAnsi="Times New Roman" w:cs="Times New Roman"/>
          <w:color w:val="2F5496" w:themeColor="accent1" w:themeShade="BF"/>
          <w:sz w:val="24"/>
          <w:szCs w:val="24"/>
        </w:rPr>
      </w:pPr>
      <w:r w:rsidRPr="007335BD">
        <w:rPr>
          <w:rFonts w:ascii="Times New Roman" w:hAnsi="Times New Roman" w:cs="Times New Roman"/>
          <w:b/>
          <w:color w:val="2F5496" w:themeColor="accent1" w:themeShade="BF"/>
          <w:sz w:val="24"/>
          <w:szCs w:val="24"/>
        </w:rPr>
        <w:t xml:space="preserve">Fortalecimiento de la caracterización de la población estudiantil. </w:t>
      </w:r>
      <w:r w:rsidRPr="007335BD">
        <w:rPr>
          <w:rFonts w:ascii="Times New Roman" w:hAnsi="Times New Roman" w:cs="Times New Roman"/>
          <w:color w:val="2F5496" w:themeColor="accent1" w:themeShade="BF"/>
          <w:sz w:val="24"/>
          <w:szCs w:val="24"/>
        </w:rPr>
        <w:t>Plantear estrategias de bienestar diferenciadas implica identificar la población que ingresa a cada programa académico, desde esa perspectiva se ha venido trabajando articuladamente con la oficina de admisiones con el fin de fortalecer la información que se solicita a los estudiantes al ingreso a la Universidad desde diferentes perspectivas: socioeconómica, académica; psicosocial e intereses particulares. El análisis, por programa académico, de esta información permitirá plantear estrategias tendientes a disminuir la deserción y fortalecer el desarrollo integral de los estudiantes.</w:t>
      </w:r>
    </w:p>
    <w:p w14:paraId="06BEEF88" w14:textId="77777777" w:rsidR="0062269A" w:rsidRPr="007335BD" w:rsidRDefault="0062269A" w:rsidP="0062269A">
      <w:pPr>
        <w:spacing w:line="360" w:lineRule="auto"/>
        <w:jc w:val="both"/>
        <w:rPr>
          <w:rFonts w:ascii="Times New Roman" w:hAnsi="Times New Roman" w:cs="Times New Roman"/>
          <w:color w:val="2F5496" w:themeColor="accent1" w:themeShade="BF"/>
          <w:sz w:val="24"/>
          <w:szCs w:val="24"/>
        </w:rPr>
      </w:pPr>
    </w:p>
    <w:p w14:paraId="65F7E52F" w14:textId="77777777" w:rsidR="0062269A" w:rsidRPr="007335BD" w:rsidRDefault="0062269A" w:rsidP="0062269A">
      <w:pPr>
        <w:pStyle w:val="ListParagraph"/>
        <w:numPr>
          <w:ilvl w:val="0"/>
          <w:numId w:val="13"/>
        </w:numPr>
        <w:spacing w:after="0" w:line="360" w:lineRule="auto"/>
        <w:ind w:left="0"/>
        <w:jc w:val="both"/>
        <w:rPr>
          <w:rFonts w:ascii="Times New Roman" w:hAnsi="Times New Roman" w:cs="Times New Roman"/>
          <w:color w:val="2F5496" w:themeColor="accent1" w:themeShade="BF"/>
          <w:sz w:val="24"/>
          <w:szCs w:val="24"/>
        </w:rPr>
      </w:pPr>
      <w:r w:rsidRPr="007335BD">
        <w:rPr>
          <w:rFonts w:ascii="Times New Roman" w:hAnsi="Times New Roman" w:cs="Times New Roman"/>
          <w:b/>
          <w:color w:val="2F5496" w:themeColor="accent1" w:themeShade="BF"/>
          <w:sz w:val="24"/>
          <w:szCs w:val="24"/>
        </w:rPr>
        <w:t xml:space="preserve">Programa de inducción a la vida universitaria. </w:t>
      </w:r>
      <w:r w:rsidRPr="007335BD">
        <w:rPr>
          <w:rFonts w:ascii="Times New Roman" w:hAnsi="Times New Roman" w:cs="Times New Roman"/>
          <w:color w:val="2F5496" w:themeColor="accent1" w:themeShade="BF"/>
          <w:sz w:val="24"/>
          <w:szCs w:val="24"/>
        </w:rPr>
        <w:t xml:space="preserve">Este programa implementado con éxito en programa empezará a funcionar para los posgrados a partir del periodo académico 2021-3, tiene como objeto hacer una presentación de diferentes aspectos de la vida universitaria entre los cuales se encuentran: procesos de investigación e internacionalización, recursos tecnológicos; manejo de plataformas en el marco de la virtualidad, bienestar universitario, normatividad entre otros. Esta estrategia fortalecerá el desarrollo de la vida universitaria para todos los estudiantes al conocer desde el ingreso las perspectivas de crecimiento personal y profesional que ofrece la Universidad. </w:t>
      </w:r>
    </w:p>
    <w:p w14:paraId="72201F6D" w14:textId="77777777" w:rsidR="0062269A" w:rsidRPr="007335BD" w:rsidRDefault="0062269A" w:rsidP="0062269A">
      <w:pPr>
        <w:spacing w:line="360" w:lineRule="auto"/>
        <w:jc w:val="both"/>
        <w:rPr>
          <w:rFonts w:ascii="Times New Roman" w:hAnsi="Times New Roman" w:cs="Times New Roman"/>
          <w:color w:val="2F5496" w:themeColor="accent1" w:themeShade="BF"/>
          <w:sz w:val="24"/>
          <w:szCs w:val="24"/>
        </w:rPr>
      </w:pPr>
    </w:p>
    <w:p w14:paraId="55629341" w14:textId="77777777" w:rsidR="0062269A" w:rsidRPr="007335BD" w:rsidRDefault="0062269A" w:rsidP="0062269A">
      <w:pPr>
        <w:pStyle w:val="ListParagraph"/>
        <w:numPr>
          <w:ilvl w:val="0"/>
          <w:numId w:val="13"/>
        </w:numPr>
        <w:spacing w:after="0" w:line="360" w:lineRule="auto"/>
        <w:ind w:left="0"/>
        <w:jc w:val="both"/>
        <w:rPr>
          <w:rFonts w:ascii="Times New Roman" w:hAnsi="Times New Roman" w:cs="Times New Roman"/>
          <w:color w:val="2F5496" w:themeColor="accent1" w:themeShade="BF"/>
          <w:sz w:val="24"/>
          <w:szCs w:val="24"/>
        </w:rPr>
      </w:pPr>
      <w:r w:rsidRPr="007335BD">
        <w:rPr>
          <w:rFonts w:ascii="Times New Roman" w:hAnsi="Times New Roman" w:cs="Times New Roman"/>
          <w:b/>
          <w:color w:val="2F5496" w:themeColor="accent1" w:themeShade="BF"/>
          <w:sz w:val="24"/>
          <w:szCs w:val="24"/>
        </w:rPr>
        <w:lastRenderedPageBreak/>
        <w:t xml:space="preserve">Profesor consejero. </w:t>
      </w:r>
      <w:r w:rsidRPr="007335BD">
        <w:rPr>
          <w:rFonts w:ascii="Times New Roman" w:hAnsi="Times New Roman" w:cs="Times New Roman"/>
          <w:color w:val="2F5496" w:themeColor="accent1" w:themeShade="BF"/>
          <w:sz w:val="24"/>
          <w:szCs w:val="24"/>
        </w:rPr>
        <w:t xml:space="preserve">La Universidad cuenta con la figura del profesor consejero, sin embargo, es necesario fortalecer la misma, esto implica revisar las estrategias adoptadas, identificar las oportunidades de mejora de estas, así como modificar la normatividad y fortalecer la infraestructura física y tecnológica que posibilita a los docentes cumplir con esta función de asesorar al estudiante durante su vida universitaria. Esta estrategia está acompañada de un programa de formación docente planteado a partir de las oportunidades de mejora identificadas a través de la evaluación docente. En el caso de los programas de posgrado se está trabajando para identificar cual es la mejor estrategia que permita de consejerías, dado que la permanencia de los estudiantes en un programa de especialización nos aboca a formular acciones acordes con esto. </w:t>
      </w:r>
    </w:p>
    <w:p w14:paraId="41B80BCA" w14:textId="77777777" w:rsidR="0062269A" w:rsidRPr="007335BD" w:rsidRDefault="0062269A" w:rsidP="0062269A">
      <w:pPr>
        <w:spacing w:line="360" w:lineRule="auto"/>
        <w:jc w:val="both"/>
        <w:rPr>
          <w:rFonts w:ascii="Times New Roman" w:hAnsi="Times New Roman" w:cs="Times New Roman"/>
          <w:color w:val="2F5496" w:themeColor="accent1" w:themeShade="BF"/>
          <w:sz w:val="24"/>
          <w:szCs w:val="24"/>
        </w:rPr>
      </w:pPr>
    </w:p>
    <w:p w14:paraId="4CA922CB" w14:textId="77777777" w:rsidR="0062269A" w:rsidRPr="007335BD" w:rsidRDefault="0062269A" w:rsidP="0062269A">
      <w:pPr>
        <w:pStyle w:val="ListParagraph"/>
        <w:numPr>
          <w:ilvl w:val="0"/>
          <w:numId w:val="13"/>
        </w:numPr>
        <w:spacing w:after="0" w:line="360" w:lineRule="auto"/>
        <w:ind w:left="0"/>
        <w:jc w:val="both"/>
        <w:rPr>
          <w:rFonts w:ascii="Times New Roman" w:hAnsi="Times New Roman" w:cs="Times New Roman"/>
          <w:color w:val="2F5496" w:themeColor="accent1" w:themeShade="BF"/>
          <w:sz w:val="24"/>
          <w:szCs w:val="24"/>
        </w:rPr>
      </w:pPr>
      <w:r w:rsidRPr="007335BD">
        <w:rPr>
          <w:rFonts w:ascii="Times New Roman" w:hAnsi="Times New Roman" w:cs="Times New Roman"/>
          <w:b/>
          <w:color w:val="2F5496" w:themeColor="accent1" w:themeShade="BF"/>
          <w:sz w:val="24"/>
          <w:szCs w:val="24"/>
        </w:rPr>
        <w:t xml:space="preserve">Modelo predictivo de deserción. </w:t>
      </w:r>
      <w:r w:rsidRPr="007335BD">
        <w:rPr>
          <w:rFonts w:ascii="Times New Roman" w:hAnsi="Times New Roman" w:cs="Times New Roman"/>
          <w:color w:val="2F5496" w:themeColor="accent1" w:themeShade="BF"/>
          <w:sz w:val="24"/>
          <w:szCs w:val="24"/>
        </w:rPr>
        <w:t xml:space="preserve">Por su parte plantear estrategias oportunas de deserción implica entre otras cosas poder predecirla, esto se logra a través de modelos matemáticos que permitan a partir de información sistematizada, asociada a cada estudiante, identificar la probabilidad de ocurrencia del evento. Actualmente se está trabajando en un modelo propio para la Universidad, a partir de la caracterización y el desarrollo estudiantil. </w:t>
      </w:r>
    </w:p>
    <w:p w14:paraId="0FA89A7E" w14:textId="77777777" w:rsidR="0062269A" w:rsidRPr="007335BD" w:rsidRDefault="0062269A" w:rsidP="0062269A">
      <w:pPr>
        <w:spacing w:line="360" w:lineRule="auto"/>
        <w:jc w:val="both"/>
        <w:rPr>
          <w:rFonts w:ascii="Times New Roman" w:hAnsi="Times New Roman" w:cs="Times New Roman"/>
          <w:color w:val="2F5496" w:themeColor="accent1" w:themeShade="BF"/>
          <w:sz w:val="24"/>
          <w:szCs w:val="24"/>
        </w:rPr>
      </w:pPr>
    </w:p>
    <w:p w14:paraId="384D9F34" w14:textId="38FB3B15" w:rsidR="00446D57" w:rsidRDefault="0062269A" w:rsidP="0062269A">
      <w:pPr>
        <w:spacing w:line="360" w:lineRule="auto"/>
        <w:jc w:val="both"/>
        <w:rPr>
          <w:rFonts w:ascii="Times New Roman" w:hAnsi="Times New Roman" w:cs="Times New Roman"/>
          <w:i/>
          <w:color w:val="2F5496" w:themeColor="accent1" w:themeShade="BF"/>
        </w:rPr>
      </w:pPr>
      <w:r w:rsidRPr="007335BD">
        <w:rPr>
          <w:rFonts w:ascii="Times New Roman" w:hAnsi="Times New Roman" w:cs="Times New Roman"/>
          <w:color w:val="2F5496" w:themeColor="accent1" w:themeShade="BF"/>
          <w:sz w:val="24"/>
          <w:szCs w:val="24"/>
        </w:rPr>
        <w:t xml:space="preserve">Principalmente, el Programa Para el Desarrollo Integral y la Graduación Oportuna, se proyectó en el escenario de los Proyectos Curriculares de pregrado, sin embargo, dada la incidencia que tienen fenómenos como el de la deserción en el desarrollo de los procesos de formación, desde la Universidad se trabaja en la articulación de estrategias para la formación y graduación oportuna en programas académicos de posgrado, en coherencia con sus necesidades y contexto. </w:t>
      </w:r>
      <w:bookmarkStart w:id="1" w:name="_Toc66469421"/>
    </w:p>
    <w:bookmarkEnd w:id="1"/>
    <w:sectPr w:rsidR="00446D5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7A3F51" w14:textId="77777777" w:rsidR="009B286F" w:rsidRDefault="009B286F" w:rsidP="00955D8D">
      <w:pPr>
        <w:spacing w:after="0" w:line="240" w:lineRule="auto"/>
      </w:pPr>
      <w:r>
        <w:separator/>
      </w:r>
    </w:p>
  </w:endnote>
  <w:endnote w:type="continuationSeparator" w:id="0">
    <w:p w14:paraId="31EA73E8" w14:textId="77777777" w:rsidR="009B286F" w:rsidRDefault="009B286F" w:rsidP="00955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panose1 w:val="00000000000000000000"/>
    <w:charset w:val="00"/>
    <w:family w:val="roman"/>
    <w:notTrueType/>
    <w:pitch w:val="default"/>
  </w:font>
  <w:font w:name="Batang">
    <w:altName w:val="Malgun Gothic Semilight"/>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roid Sans">
    <w:panose1 w:val="00000000000000000000"/>
    <w:charset w:val="00"/>
    <w:family w:val="auto"/>
    <w:notTrueType/>
    <w:pitch w:val="variable"/>
    <w:sig w:usb0="00000003" w:usb1="00000000" w:usb2="00000000" w:usb3="00000000" w:csb0="00000001" w:csb1="00000000"/>
  </w:font>
  <w:font w:name="Lohit Hindi">
    <w:charset w:val="8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86E1F9" w14:textId="77777777" w:rsidR="009B286F" w:rsidRDefault="009B286F" w:rsidP="00955D8D">
      <w:pPr>
        <w:spacing w:after="0" w:line="240" w:lineRule="auto"/>
      </w:pPr>
      <w:r>
        <w:separator/>
      </w:r>
    </w:p>
  </w:footnote>
  <w:footnote w:type="continuationSeparator" w:id="0">
    <w:p w14:paraId="52A1861B" w14:textId="77777777" w:rsidR="009B286F" w:rsidRDefault="009B286F" w:rsidP="00955D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2"/>
    <w:multiLevelType w:val="multilevel"/>
    <w:tmpl w:val="00000022"/>
    <w:name w:val="WWNum34"/>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360"/>
        </w:tabs>
        <w:ind w:left="1080" w:hanging="360"/>
      </w:pPr>
      <w:rPr>
        <w:rFonts w:ascii="Courier New" w:hAnsi="Courier New" w:cs="Courier New"/>
      </w:rPr>
    </w:lvl>
    <w:lvl w:ilvl="2">
      <w:start w:val="1"/>
      <w:numFmt w:val="bullet"/>
      <w:lvlText w:val=""/>
      <w:lvlJc w:val="left"/>
      <w:pPr>
        <w:tabs>
          <w:tab w:val="num" w:pos="-360"/>
        </w:tabs>
        <w:ind w:left="1800" w:hanging="360"/>
      </w:pPr>
      <w:rPr>
        <w:rFonts w:ascii="Wingdings" w:hAnsi="Wingdings"/>
      </w:rPr>
    </w:lvl>
    <w:lvl w:ilvl="3">
      <w:start w:val="1"/>
      <w:numFmt w:val="bullet"/>
      <w:lvlText w:val=""/>
      <w:lvlJc w:val="left"/>
      <w:pPr>
        <w:tabs>
          <w:tab w:val="num" w:pos="-360"/>
        </w:tabs>
        <w:ind w:left="2520" w:hanging="360"/>
      </w:pPr>
      <w:rPr>
        <w:rFonts w:ascii="Symbol" w:hAnsi="Symbol"/>
      </w:rPr>
    </w:lvl>
    <w:lvl w:ilvl="4">
      <w:start w:val="1"/>
      <w:numFmt w:val="bullet"/>
      <w:lvlText w:val="o"/>
      <w:lvlJc w:val="left"/>
      <w:pPr>
        <w:tabs>
          <w:tab w:val="num" w:pos="-360"/>
        </w:tabs>
        <w:ind w:left="3240" w:hanging="360"/>
      </w:pPr>
      <w:rPr>
        <w:rFonts w:ascii="Courier New" w:hAnsi="Courier New" w:cs="Courier New"/>
      </w:rPr>
    </w:lvl>
    <w:lvl w:ilvl="5">
      <w:start w:val="1"/>
      <w:numFmt w:val="bullet"/>
      <w:lvlText w:val=""/>
      <w:lvlJc w:val="left"/>
      <w:pPr>
        <w:tabs>
          <w:tab w:val="num" w:pos="-360"/>
        </w:tabs>
        <w:ind w:left="3960" w:hanging="360"/>
      </w:pPr>
      <w:rPr>
        <w:rFonts w:ascii="Wingdings" w:hAnsi="Wingdings"/>
      </w:rPr>
    </w:lvl>
    <w:lvl w:ilvl="6">
      <w:start w:val="1"/>
      <w:numFmt w:val="bullet"/>
      <w:lvlText w:val=""/>
      <w:lvlJc w:val="left"/>
      <w:pPr>
        <w:tabs>
          <w:tab w:val="num" w:pos="-360"/>
        </w:tabs>
        <w:ind w:left="4680" w:hanging="360"/>
      </w:pPr>
      <w:rPr>
        <w:rFonts w:ascii="Symbol" w:hAnsi="Symbol"/>
      </w:rPr>
    </w:lvl>
    <w:lvl w:ilvl="7">
      <w:start w:val="1"/>
      <w:numFmt w:val="bullet"/>
      <w:lvlText w:val="o"/>
      <w:lvlJc w:val="left"/>
      <w:pPr>
        <w:tabs>
          <w:tab w:val="num" w:pos="-360"/>
        </w:tabs>
        <w:ind w:left="5400" w:hanging="360"/>
      </w:pPr>
      <w:rPr>
        <w:rFonts w:ascii="Courier New" w:hAnsi="Courier New" w:cs="Courier New"/>
      </w:rPr>
    </w:lvl>
    <w:lvl w:ilvl="8">
      <w:start w:val="1"/>
      <w:numFmt w:val="bullet"/>
      <w:lvlText w:val=""/>
      <w:lvlJc w:val="left"/>
      <w:pPr>
        <w:tabs>
          <w:tab w:val="num" w:pos="-360"/>
        </w:tabs>
        <w:ind w:left="6120" w:hanging="360"/>
      </w:pPr>
      <w:rPr>
        <w:rFonts w:ascii="Wingdings" w:hAnsi="Wingdings"/>
      </w:rPr>
    </w:lvl>
  </w:abstractNum>
  <w:abstractNum w:abstractNumId="1" w15:restartNumberingAfterBreak="0">
    <w:nsid w:val="08DB751D"/>
    <w:multiLevelType w:val="hybridMultilevel"/>
    <w:tmpl w:val="E34C6E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284CFF"/>
    <w:multiLevelType w:val="hybridMultilevel"/>
    <w:tmpl w:val="96DE4B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31250C"/>
    <w:multiLevelType w:val="multilevel"/>
    <w:tmpl w:val="CFEAE728"/>
    <w:lvl w:ilvl="0">
      <w:start w:val="4"/>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4" w15:restartNumberingAfterBreak="0">
    <w:nsid w:val="12767FBE"/>
    <w:multiLevelType w:val="multilevel"/>
    <w:tmpl w:val="7D664D6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90059A9"/>
    <w:multiLevelType w:val="multilevel"/>
    <w:tmpl w:val="E8E66744"/>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C052FD"/>
    <w:multiLevelType w:val="hybridMultilevel"/>
    <w:tmpl w:val="1B8E637A"/>
    <w:lvl w:ilvl="0" w:tplc="75ACC662">
      <w:start w:val="3"/>
      <w:numFmt w:val="bullet"/>
      <w:lvlText w:val="-"/>
      <w:lvlJc w:val="left"/>
      <w:pPr>
        <w:ind w:left="720" w:hanging="360"/>
      </w:pPr>
      <w:rPr>
        <w:rFonts w:ascii="Arial Narrow" w:eastAsia="Times New Roman" w:hAnsi="Arial Narrow"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66917EF"/>
    <w:multiLevelType w:val="multilevel"/>
    <w:tmpl w:val="BD70E260"/>
    <w:lvl w:ilvl="0">
      <w:start w:val="3"/>
      <w:numFmt w:val="decimal"/>
      <w:lvlText w:val="%1."/>
      <w:lvlJc w:val="left"/>
      <w:pPr>
        <w:ind w:left="540" w:hanging="540"/>
      </w:pPr>
      <w:rPr>
        <w:rFonts w:eastAsia="Droid Sans Fallback" w:hint="default"/>
        <w:color w:val="auto"/>
      </w:rPr>
    </w:lvl>
    <w:lvl w:ilvl="1">
      <w:start w:val="4"/>
      <w:numFmt w:val="decimal"/>
      <w:lvlText w:val="%1.%2."/>
      <w:lvlJc w:val="left"/>
      <w:pPr>
        <w:ind w:left="540" w:hanging="540"/>
      </w:pPr>
      <w:rPr>
        <w:rFonts w:eastAsia="Droid Sans Fallback" w:hint="default"/>
        <w:color w:val="auto"/>
      </w:rPr>
    </w:lvl>
    <w:lvl w:ilvl="2">
      <w:start w:val="2"/>
      <w:numFmt w:val="decimal"/>
      <w:lvlText w:val="%1.%2.%3."/>
      <w:lvlJc w:val="left"/>
      <w:pPr>
        <w:ind w:left="720" w:hanging="720"/>
      </w:pPr>
      <w:rPr>
        <w:rFonts w:eastAsia="Droid Sans Fallback" w:hint="default"/>
        <w:color w:val="auto"/>
      </w:rPr>
    </w:lvl>
    <w:lvl w:ilvl="3">
      <w:start w:val="1"/>
      <w:numFmt w:val="decimal"/>
      <w:lvlText w:val="%1.%2.%3.%4."/>
      <w:lvlJc w:val="left"/>
      <w:pPr>
        <w:ind w:left="720" w:hanging="720"/>
      </w:pPr>
      <w:rPr>
        <w:rFonts w:eastAsia="Droid Sans Fallback" w:hint="default"/>
        <w:color w:val="auto"/>
      </w:rPr>
    </w:lvl>
    <w:lvl w:ilvl="4">
      <w:start w:val="1"/>
      <w:numFmt w:val="decimal"/>
      <w:lvlText w:val="%1.%2.%3.%4.%5."/>
      <w:lvlJc w:val="left"/>
      <w:pPr>
        <w:ind w:left="1080" w:hanging="1080"/>
      </w:pPr>
      <w:rPr>
        <w:rFonts w:eastAsia="Droid Sans Fallback" w:hint="default"/>
        <w:color w:val="auto"/>
      </w:rPr>
    </w:lvl>
    <w:lvl w:ilvl="5">
      <w:start w:val="1"/>
      <w:numFmt w:val="decimal"/>
      <w:lvlText w:val="%1.%2.%3.%4.%5.%6."/>
      <w:lvlJc w:val="left"/>
      <w:pPr>
        <w:ind w:left="1080" w:hanging="1080"/>
      </w:pPr>
      <w:rPr>
        <w:rFonts w:eastAsia="Droid Sans Fallback" w:hint="default"/>
        <w:color w:val="auto"/>
      </w:rPr>
    </w:lvl>
    <w:lvl w:ilvl="6">
      <w:start w:val="1"/>
      <w:numFmt w:val="decimal"/>
      <w:lvlText w:val="%1.%2.%3.%4.%5.%6.%7."/>
      <w:lvlJc w:val="left"/>
      <w:pPr>
        <w:ind w:left="1440" w:hanging="1440"/>
      </w:pPr>
      <w:rPr>
        <w:rFonts w:eastAsia="Droid Sans Fallback" w:hint="default"/>
        <w:color w:val="auto"/>
      </w:rPr>
    </w:lvl>
    <w:lvl w:ilvl="7">
      <w:start w:val="1"/>
      <w:numFmt w:val="decimal"/>
      <w:lvlText w:val="%1.%2.%3.%4.%5.%6.%7.%8."/>
      <w:lvlJc w:val="left"/>
      <w:pPr>
        <w:ind w:left="1440" w:hanging="1440"/>
      </w:pPr>
      <w:rPr>
        <w:rFonts w:eastAsia="Droid Sans Fallback" w:hint="default"/>
        <w:color w:val="auto"/>
      </w:rPr>
    </w:lvl>
    <w:lvl w:ilvl="8">
      <w:start w:val="1"/>
      <w:numFmt w:val="decimal"/>
      <w:lvlText w:val="%1.%2.%3.%4.%5.%6.%7.%8.%9."/>
      <w:lvlJc w:val="left"/>
      <w:pPr>
        <w:ind w:left="1800" w:hanging="1800"/>
      </w:pPr>
      <w:rPr>
        <w:rFonts w:eastAsia="Droid Sans Fallback" w:hint="default"/>
        <w:color w:val="auto"/>
      </w:rPr>
    </w:lvl>
  </w:abstractNum>
  <w:abstractNum w:abstractNumId="8" w15:restartNumberingAfterBreak="0">
    <w:nsid w:val="3D8E41FA"/>
    <w:multiLevelType w:val="multilevel"/>
    <w:tmpl w:val="AEB60D44"/>
    <w:lvl w:ilvl="0">
      <w:start w:val="4"/>
      <w:numFmt w:val="decimal"/>
      <w:lvlText w:val="%1."/>
      <w:lvlJc w:val="left"/>
      <w:pPr>
        <w:ind w:left="360" w:hanging="360"/>
      </w:pPr>
      <w:rPr>
        <w:rFonts w:ascii="Times New Roman" w:eastAsia="Batang" w:hAnsi="Times New Roman" w:cs="Times New Roman" w:hint="default"/>
        <w:b w:val="0"/>
      </w:rPr>
    </w:lvl>
    <w:lvl w:ilvl="1">
      <w:start w:val="1"/>
      <w:numFmt w:val="decimal"/>
      <w:lvlText w:val="%1.%2."/>
      <w:lvlJc w:val="left"/>
      <w:pPr>
        <w:ind w:left="360" w:hanging="360"/>
      </w:pPr>
      <w:rPr>
        <w:rFonts w:ascii="Times New Roman" w:eastAsia="Batang" w:hAnsi="Times New Roman" w:cs="Times New Roman" w:hint="default"/>
        <w:b/>
      </w:rPr>
    </w:lvl>
    <w:lvl w:ilvl="2">
      <w:start w:val="1"/>
      <w:numFmt w:val="decimal"/>
      <w:lvlText w:val="%1.%2.%3."/>
      <w:lvlJc w:val="left"/>
      <w:pPr>
        <w:ind w:left="720" w:hanging="720"/>
      </w:pPr>
      <w:rPr>
        <w:rFonts w:ascii="Times New Roman" w:eastAsia="Batang" w:hAnsi="Times New Roman" w:cs="Times New Roman" w:hint="default"/>
        <w:b w:val="0"/>
      </w:rPr>
    </w:lvl>
    <w:lvl w:ilvl="3">
      <w:start w:val="1"/>
      <w:numFmt w:val="decimal"/>
      <w:lvlText w:val="%1.%2.%3.%4."/>
      <w:lvlJc w:val="left"/>
      <w:pPr>
        <w:ind w:left="720" w:hanging="720"/>
      </w:pPr>
      <w:rPr>
        <w:rFonts w:ascii="Times New Roman" w:eastAsia="Batang" w:hAnsi="Times New Roman" w:cs="Times New Roman" w:hint="default"/>
        <w:b w:val="0"/>
      </w:rPr>
    </w:lvl>
    <w:lvl w:ilvl="4">
      <w:start w:val="1"/>
      <w:numFmt w:val="decimal"/>
      <w:lvlText w:val="%1.%2.%3.%4.%5."/>
      <w:lvlJc w:val="left"/>
      <w:pPr>
        <w:ind w:left="1080" w:hanging="1080"/>
      </w:pPr>
      <w:rPr>
        <w:rFonts w:ascii="Times New Roman" w:eastAsia="Batang" w:hAnsi="Times New Roman" w:cs="Times New Roman" w:hint="default"/>
        <w:b w:val="0"/>
      </w:rPr>
    </w:lvl>
    <w:lvl w:ilvl="5">
      <w:start w:val="1"/>
      <w:numFmt w:val="decimal"/>
      <w:lvlText w:val="%1.%2.%3.%4.%5.%6."/>
      <w:lvlJc w:val="left"/>
      <w:pPr>
        <w:ind w:left="1080" w:hanging="1080"/>
      </w:pPr>
      <w:rPr>
        <w:rFonts w:ascii="Times New Roman" w:eastAsia="Batang" w:hAnsi="Times New Roman" w:cs="Times New Roman" w:hint="default"/>
        <w:b w:val="0"/>
      </w:rPr>
    </w:lvl>
    <w:lvl w:ilvl="6">
      <w:start w:val="1"/>
      <w:numFmt w:val="decimal"/>
      <w:lvlText w:val="%1.%2.%3.%4.%5.%6.%7."/>
      <w:lvlJc w:val="left"/>
      <w:pPr>
        <w:ind w:left="1440" w:hanging="1440"/>
      </w:pPr>
      <w:rPr>
        <w:rFonts w:ascii="Times New Roman" w:eastAsia="Batang" w:hAnsi="Times New Roman" w:cs="Times New Roman" w:hint="default"/>
        <w:b w:val="0"/>
      </w:rPr>
    </w:lvl>
    <w:lvl w:ilvl="7">
      <w:start w:val="1"/>
      <w:numFmt w:val="decimal"/>
      <w:lvlText w:val="%1.%2.%3.%4.%5.%6.%7.%8."/>
      <w:lvlJc w:val="left"/>
      <w:pPr>
        <w:ind w:left="1440" w:hanging="1440"/>
      </w:pPr>
      <w:rPr>
        <w:rFonts w:ascii="Times New Roman" w:eastAsia="Batang" w:hAnsi="Times New Roman" w:cs="Times New Roman" w:hint="default"/>
        <w:b w:val="0"/>
      </w:rPr>
    </w:lvl>
    <w:lvl w:ilvl="8">
      <w:start w:val="1"/>
      <w:numFmt w:val="decimal"/>
      <w:lvlText w:val="%1.%2.%3.%4.%5.%6.%7.%8.%9."/>
      <w:lvlJc w:val="left"/>
      <w:pPr>
        <w:ind w:left="1800" w:hanging="1800"/>
      </w:pPr>
      <w:rPr>
        <w:rFonts w:ascii="Times New Roman" w:eastAsia="Batang" w:hAnsi="Times New Roman" w:cs="Times New Roman" w:hint="default"/>
        <w:b w:val="0"/>
      </w:rPr>
    </w:lvl>
  </w:abstractNum>
  <w:abstractNum w:abstractNumId="9" w15:restartNumberingAfterBreak="0">
    <w:nsid w:val="42CE0971"/>
    <w:multiLevelType w:val="multilevel"/>
    <w:tmpl w:val="F08A8E7A"/>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3B738A9"/>
    <w:multiLevelType w:val="multilevel"/>
    <w:tmpl w:val="E814CC02"/>
    <w:lvl w:ilvl="0">
      <w:start w:val="3"/>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11" w15:restartNumberingAfterBreak="0">
    <w:nsid w:val="65CC14D7"/>
    <w:multiLevelType w:val="hybridMultilevel"/>
    <w:tmpl w:val="630EA1C6"/>
    <w:lvl w:ilvl="0" w:tplc="BDA0572C">
      <w:start w:val="1"/>
      <w:numFmt w:val="bullet"/>
      <w:lvlText w:val="-"/>
      <w:lvlJc w:val="left"/>
      <w:pPr>
        <w:tabs>
          <w:tab w:val="num" w:pos="720"/>
        </w:tabs>
        <w:ind w:left="720" w:hanging="360"/>
      </w:pPr>
      <w:rPr>
        <w:rFonts w:ascii="Times New Roman" w:hAnsi="Times New Roman" w:hint="default"/>
      </w:rPr>
    </w:lvl>
    <w:lvl w:ilvl="1" w:tplc="B9E4D158" w:tentative="1">
      <w:start w:val="1"/>
      <w:numFmt w:val="bullet"/>
      <w:lvlText w:val="-"/>
      <w:lvlJc w:val="left"/>
      <w:pPr>
        <w:tabs>
          <w:tab w:val="num" w:pos="1440"/>
        </w:tabs>
        <w:ind w:left="1440" w:hanging="360"/>
      </w:pPr>
      <w:rPr>
        <w:rFonts w:ascii="Times New Roman" w:hAnsi="Times New Roman" w:hint="default"/>
      </w:rPr>
    </w:lvl>
    <w:lvl w:ilvl="2" w:tplc="D4148756" w:tentative="1">
      <w:start w:val="1"/>
      <w:numFmt w:val="bullet"/>
      <w:lvlText w:val="-"/>
      <w:lvlJc w:val="left"/>
      <w:pPr>
        <w:tabs>
          <w:tab w:val="num" w:pos="2160"/>
        </w:tabs>
        <w:ind w:left="2160" w:hanging="360"/>
      </w:pPr>
      <w:rPr>
        <w:rFonts w:ascii="Times New Roman" w:hAnsi="Times New Roman" w:hint="default"/>
      </w:rPr>
    </w:lvl>
    <w:lvl w:ilvl="3" w:tplc="5428D3C8" w:tentative="1">
      <w:start w:val="1"/>
      <w:numFmt w:val="bullet"/>
      <w:lvlText w:val="-"/>
      <w:lvlJc w:val="left"/>
      <w:pPr>
        <w:tabs>
          <w:tab w:val="num" w:pos="2880"/>
        </w:tabs>
        <w:ind w:left="2880" w:hanging="360"/>
      </w:pPr>
      <w:rPr>
        <w:rFonts w:ascii="Times New Roman" w:hAnsi="Times New Roman" w:hint="default"/>
      </w:rPr>
    </w:lvl>
    <w:lvl w:ilvl="4" w:tplc="5EC0575A" w:tentative="1">
      <w:start w:val="1"/>
      <w:numFmt w:val="bullet"/>
      <w:lvlText w:val="-"/>
      <w:lvlJc w:val="left"/>
      <w:pPr>
        <w:tabs>
          <w:tab w:val="num" w:pos="3600"/>
        </w:tabs>
        <w:ind w:left="3600" w:hanging="360"/>
      </w:pPr>
      <w:rPr>
        <w:rFonts w:ascii="Times New Roman" w:hAnsi="Times New Roman" w:hint="default"/>
      </w:rPr>
    </w:lvl>
    <w:lvl w:ilvl="5" w:tplc="83FE05DC" w:tentative="1">
      <w:start w:val="1"/>
      <w:numFmt w:val="bullet"/>
      <w:lvlText w:val="-"/>
      <w:lvlJc w:val="left"/>
      <w:pPr>
        <w:tabs>
          <w:tab w:val="num" w:pos="4320"/>
        </w:tabs>
        <w:ind w:left="4320" w:hanging="360"/>
      </w:pPr>
      <w:rPr>
        <w:rFonts w:ascii="Times New Roman" w:hAnsi="Times New Roman" w:hint="default"/>
      </w:rPr>
    </w:lvl>
    <w:lvl w:ilvl="6" w:tplc="400C6C10" w:tentative="1">
      <w:start w:val="1"/>
      <w:numFmt w:val="bullet"/>
      <w:lvlText w:val="-"/>
      <w:lvlJc w:val="left"/>
      <w:pPr>
        <w:tabs>
          <w:tab w:val="num" w:pos="5040"/>
        </w:tabs>
        <w:ind w:left="5040" w:hanging="360"/>
      </w:pPr>
      <w:rPr>
        <w:rFonts w:ascii="Times New Roman" w:hAnsi="Times New Roman" w:hint="default"/>
      </w:rPr>
    </w:lvl>
    <w:lvl w:ilvl="7" w:tplc="3EF0E9C2" w:tentative="1">
      <w:start w:val="1"/>
      <w:numFmt w:val="bullet"/>
      <w:lvlText w:val="-"/>
      <w:lvlJc w:val="left"/>
      <w:pPr>
        <w:tabs>
          <w:tab w:val="num" w:pos="5760"/>
        </w:tabs>
        <w:ind w:left="5760" w:hanging="360"/>
      </w:pPr>
      <w:rPr>
        <w:rFonts w:ascii="Times New Roman" w:hAnsi="Times New Roman" w:hint="default"/>
      </w:rPr>
    </w:lvl>
    <w:lvl w:ilvl="8" w:tplc="48A8DBA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A5E6057"/>
    <w:multiLevelType w:val="multilevel"/>
    <w:tmpl w:val="6100C2C2"/>
    <w:lvl w:ilvl="0">
      <w:start w:val="3"/>
      <w:numFmt w:val="decimal"/>
      <w:lvlText w:val="%1."/>
      <w:lvlJc w:val="left"/>
      <w:pPr>
        <w:ind w:left="540" w:hanging="540"/>
      </w:pPr>
      <w:rPr>
        <w:rFonts w:eastAsia="Droid Sans Fallback" w:hint="default"/>
        <w:sz w:val="24"/>
      </w:rPr>
    </w:lvl>
    <w:lvl w:ilvl="1">
      <w:start w:val="4"/>
      <w:numFmt w:val="decimal"/>
      <w:lvlText w:val="%1.%2."/>
      <w:lvlJc w:val="left"/>
      <w:pPr>
        <w:ind w:left="540" w:hanging="540"/>
      </w:pPr>
      <w:rPr>
        <w:rFonts w:eastAsia="Droid Sans Fallback" w:hint="default"/>
        <w:sz w:val="24"/>
      </w:rPr>
    </w:lvl>
    <w:lvl w:ilvl="2">
      <w:start w:val="2"/>
      <w:numFmt w:val="decimal"/>
      <w:lvlText w:val="%1.%2.%3."/>
      <w:lvlJc w:val="left"/>
      <w:pPr>
        <w:ind w:left="720" w:hanging="720"/>
      </w:pPr>
      <w:rPr>
        <w:rFonts w:eastAsia="Droid Sans Fallback" w:hint="default"/>
        <w:sz w:val="24"/>
      </w:rPr>
    </w:lvl>
    <w:lvl w:ilvl="3">
      <w:start w:val="1"/>
      <w:numFmt w:val="decimal"/>
      <w:lvlText w:val="%1.%2.%3.%4."/>
      <w:lvlJc w:val="left"/>
      <w:pPr>
        <w:ind w:left="720" w:hanging="720"/>
      </w:pPr>
      <w:rPr>
        <w:rFonts w:eastAsia="Droid Sans Fallback" w:hint="default"/>
        <w:sz w:val="24"/>
      </w:rPr>
    </w:lvl>
    <w:lvl w:ilvl="4">
      <w:start w:val="1"/>
      <w:numFmt w:val="decimal"/>
      <w:lvlText w:val="%1.%2.%3.%4.%5."/>
      <w:lvlJc w:val="left"/>
      <w:pPr>
        <w:ind w:left="1080" w:hanging="1080"/>
      </w:pPr>
      <w:rPr>
        <w:rFonts w:eastAsia="Droid Sans Fallback" w:hint="default"/>
        <w:sz w:val="24"/>
      </w:rPr>
    </w:lvl>
    <w:lvl w:ilvl="5">
      <w:start w:val="1"/>
      <w:numFmt w:val="decimal"/>
      <w:lvlText w:val="%1.%2.%3.%4.%5.%6."/>
      <w:lvlJc w:val="left"/>
      <w:pPr>
        <w:ind w:left="1080" w:hanging="1080"/>
      </w:pPr>
      <w:rPr>
        <w:rFonts w:eastAsia="Droid Sans Fallback" w:hint="default"/>
        <w:sz w:val="24"/>
      </w:rPr>
    </w:lvl>
    <w:lvl w:ilvl="6">
      <w:start w:val="1"/>
      <w:numFmt w:val="decimal"/>
      <w:lvlText w:val="%1.%2.%3.%4.%5.%6.%7."/>
      <w:lvlJc w:val="left"/>
      <w:pPr>
        <w:ind w:left="1440" w:hanging="1440"/>
      </w:pPr>
      <w:rPr>
        <w:rFonts w:eastAsia="Droid Sans Fallback" w:hint="default"/>
        <w:sz w:val="24"/>
      </w:rPr>
    </w:lvl>
    <w:lvl w:ilvl="7">
      <w:start w:val="1"/>
      <w:numFmt w:val="decimal"/>
      <w:lvlText w:val="%1.%2.%3.%4.%5.%6.%7.%8."/>
      <w:lvlJc w:val="left"/>
      <w:pPr>
        <w:ind w:left="1440" w:hanging="1440"/>
      </w:pPr>
      <w:rPr>
        <w:rFonts w:eastAsia="Droid Sans Fallback" w:hint="default"/>
        <w:sz w:val="24"/>
      </w:rPr>
    </w:lvl>
    <w:lvl w:ilvl="8">
      <w:start w:val="1"/>
      <w:numFmt w:val="decimal"/>
      <w:lvlText w:val="%1.%2.%3.%4.%5.%6.%7.%8.%9."/>
      <w:lvlJc w:val="left"/>
      <w:pPr>
        <w:ind w:left="1800" w:hanging="1800"/>
      </w:pPr>
      <w:rPr>
        <w:rFonts w:eastAsia="Droid Sans Fallback" w:hint="default"/>
        <w:sz w:val="24"/>
      </w:rPr>
    </w:lvl>
  </w:abstractNum>
  <w:abstractNum w:abstractNumId="13" w15:restartNumberingAfterBreak="0">
    <w:nsid w:val="72963788"/>
    <w:multiLevelType w:val="multilevel"/>
    <w:tmpl w:val="1DD25D2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72C1572"/>
    <w:multiLevelType w:val="multilevel"/>
    <w:tmpl w:val="BA12BFB8"/>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0"/>
  </w:num>
  <w:num w:numId="3">
    <w:abstractNumId w:val="6"/>
  </w:num>
  <w:num w:numId="4">
    <w:abstractNumId w:val="11"/>
  </w:num>
  <w:num w:numId="5">
    <w:abstractNumId w:val="0"/>
  </w:num>
  <w:num w:numId="6">
    <w:abstractNumId w:val="1"/>
  </w:num>
  <w:num w:numId="7">
    <w:abstractNumId w:val="13"/>
  </w:num>
  <w:num w:numId="8">
    <w:abstractNumId w:val="9"/>
  </w:num>
  <w:num w:numId="9">
    <w:abstractNumId w:val="5"/>
  </w:num>
  <w:num w:numId="10">
    <w:abstractNumId w:val="12"/>
  </w:num>
  <w:num w:numId="11">
    <w:abstractNumId w:val="7"/>
  </w:num>
  <w:num w:numId="12">
    <w:abstractNumId w:val="14"/>
  </w:num>
  <w:num w:numId="13">
    <w:abstractNumId w:val="4"/>
  </w:num>
  <w:num w:numId="14">
    <w:abstractNumId w:val="8"/>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2CA"/>
    <w:rsid w:val="000531B8"/>
    <w:rsid w:val="001249EE"/>
    <w:rsid w:val="001579FD"/>
    <w:rsid w:val="00182591"/>
    <w:rsid w:val="0023055E"/>
    <w:rsid w:val="003F56CB"/>
    <w:rsid w:val="00446D57"/>
    <w:rsid w:val="005262CA"/>
    <w:rsid w:val="0056202F"/>
    <w:rsid w:val="005B541B"/>
    <w:rsid w:val="0062269A"/>
    <w:rsid w:val="006703AC"/>
    <w:rsid w:val="00686C8D"/>
    <w:rsid w:val="0068787D"/>
    <w:rsid w:val="00850CBD"/>
    <w:rsid w:val="00955D8D"/>
    <w:rsid w:val="009B286F"/>
    <w:rsid w:val="00A415D4"/>
    <w:rsid w:val="00A44E60"/>
    <w:rsid w:val="00A87250"/>
    <w:rsid w:val="00BB45D1"/>
    <w:rsid w:val="00BD2EE7"/>
    <w:rsid w:val="00BF7100"/>
    <w:rsid w:val="00CB19D2"/>
    <w:rsid w:val="00CE08C4"/>
    <w:rsid w:val="00EA74EA"/>
    <w:rsid w:val="00ED57F9"/>
    <w:rsid w:val="00F42158"/>
    <w:rsid w:val="00F52D79"/>
    <w:rsid w:val="00F578DA"/>
    <w:rsid w:val="00F713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BF34"/>
  <w15:chartTrackingRefBased/>
  <w15:docId w15:val="{85BF17DC-856E-45BC-9B53-3AE0EF20F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78DA"/>
  </w:style>
  <w:style w:type="paragraph" w:styleId="Heading2">
    <w:name w:val="heading 2"/>
    <w:aliases w:val="Subtitulo I,Título Segundo nivel,Título 2 YAMI"/>
    <w:basedOn w:val="Normal"/>
    <w:next w:val="Normal"/>
    <w:link w:val="Heading2Char"/>
    <w:uiPriority w:val="9"/>
    <w:qFormat/>
    <w:rsid w:val="00F578DA"/>
    <w:pPr>
      <w:keepNext/>
      <w:keepLines/>
      <w:suppressAutoHyphens/>
      <w:spacing w:before="360" w:after="80" w:line="240" w:lineRule="auto"/>
      <w:ind w:left="357"/>
      <w:contextualSpacing/>
      <w:outlineLvl w:val="1"/>
    </w:pPr>
    <w:rPr>
      <w:rFonts w:ascii="Arial" w:eastAsia="Arial" w:hAnsi="Arial" w:cs="Arial"/>
      <w:b/>
      <w:bCs/>
      <w:color w:val="000000"/>
      <w:kern w:val="1"/>
      <w:sz w:val="28"/>
      <w:szCs w:val="28"/>
      <w:lang w:val="es-E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78DA"/>
    <w:pPr>
      <w:ind w:left="720"/>
      <w:contextualSpacing/>
    </w:pPr>
  </w:style>
  <w:style w:type="character" w:customStyle="1" w:styleId="Heading2Char">
    <w:name w:val="Heading 2 Char"/>
    <w:aliases w:val="Subtitulo I Char,Título Segundo nivel Char,Título 2 YAMI Char"/>
    <w:basedOn w:val="DefaultParagraphFont"/>
    <w:link w:val="Heading2"/>
    <w:uiPriority w:val="9"/>
    <w:rsid w:val="00F578DA"/>
    <w:rPr>
      <w:rFonts w:ascii="Arial" w:eastAsia="Arial" w:hAnsi="Arial" w:cs="Arial"/>
      <w:b/>
      <w:bCs/>
      <w:color w:val="000000"/>
      <w:kern w:val="1"/>
      <w:sz w:val="28"/>
      <w:szCs w:val="28"/>
      <w:lang w:val="es-ES" w:eastAsia="zh-CN" w:bidi="hi-IN"/>
    </w:rPr>
  </w:style>
  <w:style w:type="paragraph" w:styleId="Caption">
    <w:name w:val="caption"/>
    <w:basedOn w:val="Normal"/>
    <w:link w:val="CaptionChar"/>
    <w:uiPriority w:val="35"/>
    <w:qFormat/>
    <w:rsid w:val="00F578DA"/>
    <w:pPr>
      <w:widowControl w:val="0"/>
      <w:suppressLineNumbers/>
      <w:suppressAutoHyphens/>
      <w:spacing w:before="120" w:after="120" w:line="240" w:lineRule="auto"/>
      <w:ind w:left="357"/>
    </w:pPr>
    <w:rPr>
      <w:rFonts w:ascii="Liberation Serif" w:eastAsia="Droid Sans" w:hAnsi="Liberation Serif" w:cs="Lohit Hindi"/>
      <w:i/>
      <w:iCs/>
      <w:kern w:val="1"/>
      <w:sz w:val="24"/>
      <w:szCs w:val="24"/>
      <w:lang w:eastAsia="zh-CN" w:bidi="hi-IN"/>
    </w:rPr>
  </w:style>
  <w:style w:type="paragraph" w:customStyle="1" w:styleId="Prrafodelista1">
    <w:name w:val="Párrafo de lista1"/>
    <w:basedOn w:val="Normal"/>
    <w:rsid w:val="00F578DA"/>
    <w:pPr>
      <w:suppressAutoHyphens/>
      <w:spacing w:after="200" w:line="276" w:lineRule="auto"/>
      <w:ind w:left="720"/>
      <w:contextualSpacing/>
    </w:pPr>
    <w:rPr>
      <w:rFonts w:ascii="Calibri" w:eastAsia="Calibri" w:hAnsi="Calibri" w:cs="Times New Roman"/>
      <w:kern w:val="1"/>
      <w:lang w:val="es-ES"/>
    </w:rPr>
  </w:style>
  <w:style w:type="table" w:styleId="TableGrid">
    <w:name w:val="Table Grid"/>
    <w:basedOn w:val="TableNormal"/>
    <w:uiPriority w:val="39"/>
    <w:rsid w:val="00F578DA"/>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basedOn w:val="DefaultParagraphFont"/>
    <w:link w:val="Caption"/>
    <w:uiPriority w:val="35"/>
    <w:rsid w:val="00F578DA"/>
    <w:rPr>
      <w:rFonts w:ascii="Liberation Serif" w:eastAsia="Droid Sans" w:hAnsi="Liberation Serif" w:cs="Lohit Hindi"/>
      <w:i/>
      <w:iCs/>
      <w:kern w:val="1"/>
      <w:sz w:val="24"/>
      <w:szCs w:val="24"/>
      <w:lang w:eastAsia="zh-CN" w:bidi="hi-IN"/>
    </w:rPr>
  </w:style>
  <w:style w:type="character" w:styleId="Hyperlink">
    <w:name w:val="Hyperlink"/>
    <w:uiPriority w:val="99"/>
    <w:rsid w:val="00955D8D"/>
    <w:rPr>
      <w:color w:val="000080"/>
      <w:u w:val="single"/>
    </w:rPr>
  </w:style>
  <w:style w:type="character" w:customStyle="1" w:styleId="Caracteresdenotaalpie">
    <w:name w:val="Caracteres de nota al pie"/>
    <w:rsid w:val="00955D8D"/>
  </w:style>
  <w:style w:type="character" w:styleId="FootnoteReference">
    <w:name w:val="footnote reference"/>
    <w:aliases w:val="Ref,de nota al pie,normal,referencia nota al pie"/>
    <w:uiPriority w:val="99"/>
    <w:rsid w:val="00955D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3</Pages>
  <Words>914</Words>
  <Characters>5031</Characters>
  <Application>Microsoft Office Word</Application>
  <DocSecurity>0</DocSecurity>
  <Lines>41</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USUARIO</cp:lastModifiedBy>
  <cp:revision>18</cp:revision>
  <dcterms:created xsi:type="dcterms:W3CDTF">2022-03-23T22:29:00Z</dcterms:created>
  <dcterms:modified xsi:type="dcterms:W3CDTF">2022-03-27T23:24:00Z</dcterms:modified>
</cp:coreProperties>
</file>