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5CE18D" w14:textId="18AFC8CC" w:rsidR="00B774D9" w:rsidRDefault="00B774D9" w:rsidP="00B774D9">
      <w:pPr>
        <w:spacing w:after="0" w:line="360" w:lineRule="auto"/>
        <w:jc w:val="center"/>
        <w:rPr>
          <w:rFonts w:ascii="Times New Roman" w:hAnsi="Times New Roman" w:cs="Times New Roman"/>
          <w:b/>
          <w:bCs/>
          <w:color w:val="222222"/>
          <w:sz w:val="24"/>
          <w:szCs w:val="24"/>
          <w:shd w:val="clear" w:color="auto" w:fill="FFFFFF"/>
        </w:rPr>
      </w:pPr>
      <w:bookmarkStart w:id="0" w:name="_Toc458777713"/>
      <w:r w:rsidRPr="00B774D9">
        <w:rPr>
          <w:rFonts w:ascii="Times New Roman" w:hAnsi="Times New Roman" w:cs="Times New Roman"/>
          <w:b/>
          <w:bCs/>
          <w:color w:val="222222"/>
          <w:sz w:val="24"/>
          <w:szCs w:val="24"/>
          <w:shd w:val="clear" w:color="auto" w:fill="FFFFFF"/>
        </w:rPr>
        <w:t>Capítulo 6.</w:t>
      </w:r>
      <w:r>
        <w:rPr>
          <w:rFonts w:ascii="Times New Roman" w:hAnsi="Times New Roman" w:cs="Times New Roman"/>
          <w:b/>
          <w:bCs/>
          <w:color w:val="222222"/>
          <w:sz w:val="24"/>
          <w:szCs w:val="24"/>
          <w:shd w:val="clear" w:color="auto" w:fill="FFFFFF"/>
        </w:rPr>
        <w:t xml:space="preserve"> Relación con el sector externo</w:t>
      </w:r>
    </w:p>
    <w:p w14:paraId="2AB70411" w14:textId="3DEADAF3" w:rsidR="00B774D9" w:rsidRDefault="00B774D9" w:rsidP="00B774D9">
      <w:pPr>
        <w:spacing w:after="0" w:line="360" w:lineRule="auto"/>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(Síntesis)</w:t>
      </w:r>
    </w:p>
    <w:p w14:paraId="75DE627B" w14:textId="77777777" w:rsidR="00B774D9" w:rsidRPr="00B774D9" w:rsidRDefault="00B774D9" w:rsidP="00B774D9">
      <w:pPr>
        <w:spacing w:after="0" w:line="360" w:lineRule="auto"/>
        <w:jc w:val="center"/>
        <w:rPr>
          <w:rFonts w:ascii="Times New Roman" w:hAnsi="Times New Roman" w:cs="Times New Roman"/>
          <w:b/>
          <w:bCs/>
          <w:color w:val="222222"/>
          <w:sz w:val="24"/>
          <w:szCs w:val="24"/>
          <w:shd w:val="clear" w:color="auto" w:fill="FFFFFF"/>
        </w:rPr>
      </w:pPr>
    </w:p>
    <w:p w14:paraId="547BEB62" w14:textId="6F751073" w:rsidR="003C3B23" w:rsidRDefault="003C3B23" w:rsidP="00B774D9">
      <w:pPr>
        <w:spacing w:after="0" w:line="360" w:lineRule="auto"/>
        <w:jc w:val="both"/>
        <w:rPr>
          <w:rFonts w:ascii="Times New Roman" w:hAnsi="Times New Roman" w:cs="Times New Roman"/>
          <w:sz w:val="24"/>
          <w:szCs w:val="24"/>
        </w:rPr>
      </w:pPr>
      <w:bookmarkStart w:id="1" w:name="_GoBack"/>
      <w:r w:rsidRPr="00B774D9">
        <w:rPr>
          <w:rFonts w:ascii="Times New Roman" w:hAnsi="Times New Roman" w:cs="Times New Roman"/>
          <w:sz w:val="24"/>
          <w:szCs w:val="24"/>
        </w:rPr>
        <w:t xml:space="preserve">La Maestría concibe que el </w:t>
      </w:r>
      <w:r w:rsidR="00E77FC3" w:rsidRPr="00B774D9">
        <w:rPr>
          <w:rFonts w:ascii="Times New Roman" w:hAnsi="Times New Roman" w:cs="Times New Roman"/>
          <w:sz w:val="24"/>
          <w:szCs w:val="24"/>
        </w:rPr>
        <w:t>estudiante</w:t>
      </w:r>
      <w:r w:rsidRPr="00B774D9">
        <w:rPr>
          <w:rFonts w:ascii="Times New Roman" w:hAnsi="Times New Roman" w:cs="Times New Roman"/>
          <w:sz w:val="24"/>
          <w:szCs w:val="24"/>
        </w:rPr>
        <w:t xml:space="preserve"> que forma </w:t>
      </w:r>
      <w:r w:rsidR="00E77FC3" w:rsidRPr="00B774D9">
        <w:rPr>
          <w:rFonts w:ascii="Times New Roman" w:hAnsi="Times New Roman" w:cs="Times New Roman"/>
          <w:sz w:val="24"/>
          <w:szCs w:val="24"/>
        </w:rPr>
        <w:t xml:space="preserve">como magister, </w:t>
      </w:r>
      <w:r w:rsidRPr="00B774D9">
        <w:rPr>
          <w:rFonts w:ascii="Times New Roman" w:hAnsi="Times New Roman" w:cs="Times New Roman"/>
          <w:sz w:val="24"/>
          <w:szCs w:val="24"/>
        </w:rPr>
        <w:t xml:space="preserve">se debe a las necesidades de </w:t>
      </w:r>
      <w:r w:rsidR="00E77FC3" w:rsidRPr="00B774D9">
        <w:rPr>
          <w:rFonts w:ascii="Times New Roman" w:hAnsi="Times New Roman" w:cs="Times New Roman"/>
          <w:sz w:val="24"/>
          <w:szCs w:val="24"/>
        </w:rPr>
        <w:t>nuestro</w:t>
      </w:r>
      <w:r w:rsidRPr="00B774D9">
        <w:rPr>
          <w:rFonts w:ascii="Times New Roman" w:hAnsi="Times New Roman" w:cs="Times New Roman"/>
          <w:sz w:val="24"/>
          <w:szCs w:val="24"/>
        </w:rPr>
        <w:t xml:space="preserve"> país y considera que la función de proyección social debe procurar la formación de individuos con sensibilidad, conciencia social y capacidad de aportar soluciones creativas a las necesidades de la sociedad, a partir de:</w:t>
      </w:r>
    </w:p>
    <w:p w14:paraId="79051112" w14:textId="77777777" w:rsidR="00B774D9" w:rsidRPr="00B774D9" w:rsidRDefault="00B774D9" w:rsidP="00B774D9">
      <w:pPr>
        <w:spacing w:after="0" w:line="360" w:lineRule="auto"/>
        <w:jc w:val="both"/>
        <w:rPr>
          <w:rFonts w:ascii="Times New Roman" w:hAnsi="Times New Roman" w:cs="Times New Roman"/>
          <w:sz w:val="24"/>
          <w:szCs w:val="24"/>
        </w:rPr>
      </w:pPr>
    </w:p>
    <w:p w14:paraId="30C92E07"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bookmarkStart w:id="2" w:name="OLE_LINK10"/>
      <w:bookmarkStart w:id="3" w:name="OLE_LINK11"/>
      <w:r w:rsidRPr="00B774D9">
        <w:rPr>
          <w:rFonts w:ascii="Times New Roman" w:hAnsi="Times New Roman" w:cs="Times New Roman"/>
          <w:sz w:val="24"/>
          <w:szCs w:val="24"/>
        </w:rPr>
        <w:t>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14:paraId="30F78515" w14:textId="77777777" w:rsidR="003C3B23" w:rsidRPr="00B774D9" w:rsidRDefault="003C3B23" w:rsidP="00B774D9">
      <w:pPr>
        <w:pStyle w:val="ListParagraph"/>
        <w:suppressAutoHyphens w:val="0"/>
        <w:spacing w:line="360" w:lineRule="auto"/>
        <w:ind w:left="720" w:right="-7"/>
        <w:contextualSpacing/>
        <w:jc w:val="both"/>
        <w:rPr>
          <w:rFonts w:ascii="Times New Roman" w:hAnsi="Times New Roman" w:cs="Times New Roman"/>
          <w:sz w:val="24"/>
          <w:szCs w:val="24"/>
        </w:rPr>
      </w:pPr>
    </w:p>
    <w:p w14:paraId="22B9357F"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14:paraId="36460BD3" w14:textId="77777777" w:rsidR="003C3B23" w:rsidRPr="00B774D9" w:rsidRDefault="003C3B23" w:rsidP="00B774D9">
      <w:pPr>
        <w:pStyle w:val="ListParagraph"/>
        <w:spacing w:line="360" w:lineRule="auto"/>
        <w:ind w:right="-7"/>
        <w:rPr>
          <w:rFonts w:ascii="Times New Roman" w:hAnsi="Times New Roman" w:cs="Times New Roman"/>
          <w:sz w:val="24"/>
          <w:szCs w:val="24"/>
        </w:rPr>
      </w:pPr>
    </w:p>
    <w:p w14:paraId="38406A74"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La interacción directa de la comunidad académica con los diferentes sectores que componen la sociedad actual, se realiza a través de las redes de conocimiento integradas por docentes y egresados.</w:t>
      </w:r>
    </w:p>
    <w:p w14:paraId="1A40C4F3" w14:textId="77777777" w:rsidR="003C3B23" w:rsidRPr="00B774D9" w:rsidRDefault="003C3B23" w:rsidP="00B774D9">
      <w:pPr>
        <w:spacing w:after="0" w:line="360" w:lineRule="auto"/>
        <w:jc w:val="both"/>
        <w:rPr>
          <w:rFonts w:ascii="Times New Roman" w:hAnsi="Times New Roman" w:cs="Times New Roman"/>
          <w:sz w:val="24"/>
          <w:szCs w:val="24"/>
        </w:rPr>
      </w:pPr>
    </w:p>
    <w:p w14:paraId="41D06BD4" w14:textId="77777777" w:rsidR="003C3B23" w:rsidRPr="00B774D9" w:rsidRDefault="003C3B23" w:rsidP="00B774D9">
      <w:pPr>
        <w:spacing w:after="0" w:line="360" w:lineRule="auto"/>
        <w:jc w:val="both"/>
        <w:rPr>
          <w:rFonts w:ascii="Times New Roman" w:hAnsi="Times New Roman" w:cs="Times New Roman"/>
          <w:sz w:val="24"/>
          <w:szCs w:val="24"/>
        </w:rPr>
      </w:pPr>
      <w:r w:rsidRPr="00B774D9">
        <w:rPr>
          <w:rFonts w:ascii="Times New Roman" w:hAnsi="Times New Roman" w:cs="Times New Roman"/>
          <w:sz w:val="24"/>
          <w:szCs w:val="24"/>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14:paraId="369F4476" w14:textId="77777777" w:rsidR="00B774D9" w:rsidRDefault="00B774D9" w:rsidP="00B774D9">
      <w:pPr>
        <w:spacing w:after="0" w:line="360" w:lineRule="auto"/>
        <w:jc w:val="both"/>
        <w:rPr>
          <w:rFonts w:ascii="Times New Roman" w:hAnsi="Times New Roman" w:cs="Times New Roman"/>
          <w:sz w:val="24"/>
          <w:szCs w:val="24"/>
        </w:rPr>
      </w:pPr>
    </w:p>
    <w:p w14:paraId="7A772C5B" w14:textId="1712270E" w:rsidR="003C3B23" w:rsidRDefault="003C3B23" w:rsidP="00B774D9">
      <w:pPr>
        <w:spacing w:after="0" w:line="360" w:lineRule="auto"/>
        <w:jc w:val="both"/>
        <w:rPr>
          <w:rFonts w:ascii="Times New Roman" w:hAnsi="Times New Roman" w:cs="Times New Roman"/>
          <w:sz w:val="24"/>
          <w:szCs w:val="24"/>
        </w:rPr>
      </w:pPr>
      <w:r w:rsidRPr="00B774D9">
        <w:rPr>
          <w:rFonts w:ascii="Times New Roman" w:hAnsi="Times New Roman" w:cs="Times New Roman"/>
          <w:sz w:val="24"/>
          <w:szCs w:val="24"/>
        </w:rPr>
        <w:lastRenderedPageBreak/>
        <w:t xml:space="preserve">La Maestría 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 La Maestría ha planteado los siguientes objetivos </w:t>
      </w:r>
      <w:bookmarkStart w:id="4" w:name="_Toc320529010"/>
      <w:bookmarkStart w:id="5" w:name="_Toc326674836"/>
      <w:bookmarkStart w:id="6" w:name="_Toc326764629"/>
      <w:bookmarkStart w:id="7" w:name="_Toc20159109"/>
      <w:r w:rsidRPr="00B774D9">
        <w:rPr>
          <w:rFonts w:ascii="Times New Roman" w:hAnsi="Times New Roman" w:cs="Times New Roman"/>
          <w:sz w:val="24"/>
          <w:szCs w:val="24"/>
        </w:rPr>
        <w:t>en relación con su proyección social:</w:t>
      </w:r>
    </w:p>
    <w:p w14:paraId="2E7102CD" w14:textId="77777777" w:rsidR="00B774D9" w:rsidRPr="00B774D9" w:rsidRDefault="00B774D9" w:rsidP="00B774D9">
      <w:pPr>
        <w:spacing w:after="0" w:line="360" w:lineRule="auto"/>
        <w:jc w:val="both"/>
        <w:rPr>
          <w:rFonts w:ascii="Times New Roman" w:hAnsi="Times New Roman" w:cs="Times New Roman"/>
          <w:sz w:val="24"/>
          <w:szCs w:val="24"/>
        </w:rPr>
      </w:pPr>
    </w:p>
    <w:bookmarkEnd w:id="4"/>
    <w:bookmarkEnd w:id="5"/>
    <w:bookmarkEnd w:id="6"/>
    <w:bookmarkEnd w:id="7"/>
    <w:p w14:paraId="5F93589E"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14:paraId="32BB9DE2" w14:textId="77777777" w:rsidR="003C3B23" w:rsidRPr="00B774D9" w:rsidRDefault="003C3B23" w:rsidP="00B774D9">
      <w:pPr>
        <w:pStyle w:val="ListParagraph"/>
        <w:suppressAutoHyphens w:val="0"/>
        <w:spacing w:line="360" w:lineRule="auto"/>
        <w:ind w:left="720" w:right="-7"/>
        <w:contextualSpacing/>
        <w:jc w:val="both"/>
        <w:rPr>
          <w:rFonts w:ascii="Times New Roman" w:hAnsi="Times New Roman" w:cs="Times New Roman"/>
          <w:sz w:val="24"/>
          <w:szCs w:val="24"/>
        </w:rPr>
      </w:pPr>
    </w:p>
    <w:p w14:paraId="62A4C3F0"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Desarrollar labores de intervención en la comunidad en general, tales como programas, proyectos, prácticas, asesorías, consultorías, trabajos comunitarios, pasantías, investigaciones de diverso tipo y otras acciones que produzcan cambios en el entorno social desde la planeación o implementación de soluciones tecnológicas.</w:t>
      </w:r>
    </w:p>
    <w:p w14:paraId="65FDAA0C" w14:textId="77777777" w:rsidR="003C3B23" w:rsidRPr="00B774D9" w:rsidRDefault="003C3B23" w:rsidP="00B774D9">
      <w:pPr>
        <w:pStyle w:val="ListParagraph"/>
        <w:suppressAutoHyphens w:val="0"/>
        <w:spacing w:line="360" w:lineRule="auto"/>
        <w:ind w:left="720" w:right="-7"/>
        <w:contextualSpacing/>
        <w:jc w:val="both"/>
        <w:rPr>
          <w:rFonts w:ascii="Times New Roman" w:hAnsi="Times New Roman" w:cs="Times New Roman"/>
          <w:sz w:val="24"/>
          <w:szCs w:val="24"/>
        </w:rPr>
      </w:pPr>
    </w:p>
    <w:p w14:paraId="4F7182B9"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Fortalecer los nexos entre docencia, investigación y proyección social, para lograr la excelencia académica y la integralidad en la acción social por parte de todos los miembros de la comunidad universitaria.</w:t>
      </w:r>
    </w:p>
    <w:p w14:paraId="50B0D06B" w14:textId="77777777" w:rsidR="003C3B23" w:rsidRPr="00B774D9" w:rsidRDefault="003C3B23" w:rsidP="00B774D9">
      <w:pPr>
        <w:pStyle w:val="ListParagraph"/>
        <w:suppressAutoHyphens w:val="0"/>
        <w:spacing w:line="360" w:lineRule="auto"/>
        <w:ind w:left="720" w:right="-7"/>
        <w:contextualSpacing/>
        <w:jc w:val="both"/>
        <w:rPr>
          <w:rFonts w:ascii="Times New Roman" w:hAnsi="Times New Roman" w:cs="Times New Roman"/>
          <w:sz w:val="24"/>
          <w:szCs w:val="24"/>
        </w:rPr>
      </w:pPr>
    </w:p>
    <w:p w14:paraId="2A387137"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Realizar ejercicios investigativos que den respuesta a las necesidades del contexto.</w:t>
      </w:r>
    </w:p>
    <w:p w14:paraId="525C0460" w14:textId="77777777" w:rsidR="003C3B23" w:rsidRPr="00B774D9" w:rsidRDefault="003C3B23" w:rsidP="00B774D9">
      <w:pPr>
        <w:pStyle w:val="ListParagraph"/>
        <w:suppressAutoHyphens w:val="0"/>
        <w:spacing w:line="360" w:lineRule="auto"/>
        <w:ind w:left="720" w:right="-7"/>
        <w:contextualSpacing/>
        <w:jc w:val="both"/>
        <w:rPr>
          <w:rFonts w:ascii="Times New Roman" w:hAnsi="Times New Roman" w:cs="Times New Roman"/>
          <w:sz w:val="24"/>
          <w:szCs w:val="24"/>
        </w:rPr>
      </w:pPr>
    </w:p>
    <w:p w14:paraId="2F20B5F6"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Desarrollar reflexiones, análisis, conceptualizaciones e instrumentos de intervención adecuados que se conviertan en alternativas académicas, pedagógicas y pragmáticas para asumir o resolver, de la mejor manera, los problemas y las necesidades de la comunidad.</w:t>
      </w:r>
      <w:bookmarkEnd w:id="2"/>
      <w:bookmarkEnd w:id="3"/>
    </w:p>
    <w:p w14:paraId="14F1651A" w14:textId="77777777" w:rsidR="003C3B23" w:rsidRPr="00B774D9" w:rsidRDefault="003C3B23" w:rsidP="00B774D9">
      <w:pPr>
        <w:pStyle w:val="ListParagraph"/>
        <w:suppressAutoHyphens w:val="0"/>
        <w:spacing w:line="360" w:lineRule="auto"/>
        <w:ind w:left="720" w:right="-7"/>
        <w:contextualSpacing/>
        <w:jc w:val="both"/>
        <w:rPr>
          <w:rFonts w:ascii="Times New Roman" w:hAnsi="Times New Roman" w:cs="Times New Roman"/>
          <w:sz w:val="24"/>
          <w:szCs w:val="24"/>
        </w:rPr>
      </w:pPr>
    </w:p>
    <w:p w14:paraId="0BC05BE8"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Realizar una evaluación permanente y continua de necesidades y problemas del contexto en que se encuentra el estudiante, con una visión hacia la sensibilización de una cultura de la proyección social, de convivencia, de adaptabilidad, de empleabilidad y de emprendimiento desde las soluciones tecnológicas.</w:t>
      </w:r>
    </w:p>
    <w:p w14:paraId="6D92955E"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p>
    <w:p w14:paraId="2B7918EE" w14:textId="5F9EF5BC" w:rsidR="003C3B23" w:rsidRPr="00B774D9" w:rsidRDefault="003C3B23" w:rsidP="00B774D9">
      <w:pPr>
        <w:spacing w:after="0" w:line="360" w:lineRule="auto"/>
        <w:ind w:right="-1"/>
        <w:contextualSpacing/>
        <w:jc w:val="both"/>
        <w:rPr>
          <w:rFonts w:ascii="Times New Roman" w:hAnsi="Times New Roman" w:cs="Times New Roman"/>
          <w:b/>
          <w:bCs/>
          <w:sz w:val="24"/>
          <w:szCs w:val="24"/>
        </w:rPr>
      </w:pPr>
      <w:bookmarkStart w:id="8" w:name="_Toc66467404"/>
      <w:r w:rsidRPr="00B774D9">
        <w:rPr>
          <w:rFonts w:ascii="Times New Roman" w:hAnsi="Times New Roman" w:cs="Times New Roman"/>
          <w:b/>
          <w:bCs/>
          <w:sz w:val="24"/>
          <w:szCs w:val="24"/>
        </w:rPr>
        <w:t>Dependencias de la Universidad encargas de la Extensión y la proyección social</w:t>
      </w:r>
      <w:bookmarkEnd w:id="8"/>
    </w:p>
    <w:p w14:paraId="205B64CD"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r w:rsidRPr="00B774D9">
        <w:rPr>
          <w:rFonts w:ascii="Times New Roman" w:hAnsi="Times New Roman" w:cs="Times New Roman"/>
          <w:sz w:val="24"/>
          <w:szCs w:val="24"/>
        </w:rPr>
        <w:t>A continuación, se presentan las dependencias de la universidad encargadas de extender y proyectar los procesos académicos e investigativos al entorno social, cultural y productivo:</w:t>
      </w:r>
    </w:p>
    <w:p w14:paraId="6D36D7EC"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p>
    <w:p w14:paraId="6C067590" w14:textId="77777777" w:rsidR="003C3B23" w:rsidRPr="00B774D9" w:rsidRDefault="003C3B23" w:rsidP="00B774D9">
      <w:pPr>
        <w:spacing w:after="0" w:line="360" w:lineRule="auto"/>
        <w:ind w:right="-1"/>
        <w:contextualSpacing/>
        <w:jc w:val="both"/>
        <w:rPr>
          <w:rFonts w:ascii="Times New Roman" w:hAnsi="Times New Roman" w:cs="Times New Roman"/>
          <w:b/>
          <w:bCs/>
          <w:sz w:val="24"/>
          <w:szCs w:val="24"/>
        </w:rPr>
      </w:pPr>
      <w:r w:rsidRPr="00B774D9">
        <w:rPr>
          <w:rFonts w:ascii="Times New Roman" w:hAnsi="Times New Roman" w:cs="Times New Roman"/>
          <w:b/>
          <w:bCs/>
          <w:sz w:val="24"/>
          <w:szCs w:val="24"/>
        </w:rPr>
        <w:lastRenderedPageBreak/>
        <w:t>Instituto de Extensión y Educación para el Trabajo y Desarrollo Humano – IDEXUD</w:t>
      </w:r>
    </w:p>
    <w:p w14:paraId="76E7D40B" w14:textId="4EECD972" w:rsidR="003C3B23" w:rsidRPr="00B774D9" w:rsidRDefault="003C3B23" w:rsidP="00B774D9">
      <w:pPr>
        <w:spacing w:after="0" w:line="360" w:lineRule="auto"/>
        <w:ind w:right="-1"/>
        <w:contextualSpacing/>
        <w:jc w:val="both"/>
        <w:rPr>
          <w:rFonts w:ascii="Times New Roman" w:hAnsi="Times New Roman" w:cs="Times New Roman"/>
          <w:sz w:val="24"/>
          <w:szCs w:val="24"/>
        </w:rPr>
      </w:pPr>
      <w:r w:rsidRPr="00B774D9">
        <w:rPr>
          <w:rFonts w:ascii="Times New Roman" w:hAnsi="Times New Roman" w:cs="Times New Roman"/>
          <w:sz w:val="24"/>
          <w:szCs w:val="24"/>
        </w:rPr>
        <w:t xml:space="preserve">El Instituto de Extensión y Educación para el Trabajo y Desarrollo Humano – IDEXUD tiene como finalidad coordinar los esfuerzos de vinculación de la Universidad con diferentes sectores, especialmente el público, en el aspecto de Extensión. La Universidad, en cabeza del IDEXUD, viene gestionando toda la normatividad de Proyección social, que permita establecer con claridad y eficiencia, el real impacto que en materia social se genera por la gestión de extensión universitaria. </w:t>
      </w:r>
    </w:p>
    <w:p w14:paraId="36BEB2D1"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p>
    <w:p w14:paraId="4CDEC97A"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r w:rsidRPr="00B774D9">
        <w:rPr>
          <w:rFonts w:ascii="Times New Roman" w:hAnsi="Times New Roman" w:cs="Times New Roman"/>
          <w:sz w:val="24"/>
          <w:szCs w:val="24"/>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14:paraId="19E42716"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p>
    <w:p w14:paraId="60BC41B2" w14:textId="3AB98587" w:rsidR="003C3B23" w:rsidRPr="00B774D9" w:rsidRDefault="003C3B23" w:rsidP="00B774D9">
      <w:pPr>
        <w:spacing w:after="0" w:line="360" w:lineRule="auto"/>
        <w:ind w:right="-1"/>
        <w:contextualSpacing/>
        <w:jc w:val="both"/>
        <w:rPr>
          <w:rFonts w:ascii="Times New Roman" w:hAnsi="Times New Roman" w:cs="Times New Roman"/>
          <w:sz w:val="24"/>
          <w:szCs w:val="24"/>
        </w:rPr>
      </w:pPr>
      <w:r w:rsidRPr="00B774D9">
        <w:rPr>
          <w:rFonts w:ascii="Times New Roman" w:hAnsi="Times New Roman" w:cs="Times New Roman"/>
          <w:sz w:val="24"/>
          <w:szCs w:val="24"/>
        </w:rPr>
        <w:t>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y la Resolución Rectoral 503 del 17 de septiembre de 2013. Esta nueva reglamentación deroga la Resolución Rectoral 668 del 28 de noviembre de 2008</w:t>
      </w:r>
      <w:r w:rsidR="00BC44AF" w:rsidRPr="00B774D9">
        <w:rPr>
          <w:rFonts w:ascii="Times New Roman" w:hAnsi="Times New Roman" w:cs="Times New Roman"/>
          <w:sz w:val="24"/>
          <w:szCs w:val="24"/>
        </w:rPr>
        <w:t>.</w:t>
      </w:r>
    </w:p>
    <w:p w14:paraId="3131272D"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p>
    <w:p w14:paraId="45B8B733" w14:textId="77777777" w:rsidR="003C3B23" w:rsidRPr="00B774D9" w:rsidRDefault="003C3B23" w:rsidP="00B774D9">
      <w:pPr>
        <w:spacing w:after="0" w:line="360" w:lineRule="auto"/>
        <w:ind w:right="-1"/>
        <w:contextualSpacing/>
        <w:jc w:val="both"/>
        <w:rPr>
          <w:rFonts w:ascii="Times New Roman" w:hAnsi="Times New Roman" w:cs="Times New Roman"/>
          <w:b/>
          <w:bCs/>
          <w:sz w:val="24"/>
          <w:szCs w:val="24"/>
        </w:rPr>
      </w:pPr>
      <w:r w:rsidRPr="00B774D9">
        <w:rPr>
          <w:rFonts w:ascii="Times New Roman" w:hAnsi="Times New Roman" w:cs="Times New Roman"/>
          <w:b/>
          <w:bCs/>
          <w:sz w:val="24"/>
          <w:szCs w:val="24"/>
        </w:rPr>
        <w:t>Centro de Relaciones Interinstitucionales – CERI</w:t>
      </w:r>
    </w:p>
    <w:p w14:paraId="20CE0F0F" w14:textId="7A446B93" w:rsidR="003C3B23" w:rsidRPr="00B774D9" w:rsidRDefault="003C3B23" w:rsidP="00B774D9">
      <w:pPr>
        <w:spacing w:after="0" w:line="360" w:lineRule="auto"/>
        <w:ind w:right="-1"/>
        <w:contextualSpacing/>
        <w:jc w:val="both"/>
        <w:rPr>
          <w:rFonts w:ascii="Times New Roman" w:hAnsi="Times New Roman" w:cs="Times New Roman"/>
          <w:sz w:val="24"/>
          <w:szCs w:val="24"/>
        </w:rPr>
      </w:pPr>
      <w:r w:rsidRPr="00B774D9">
        <w:rPr>
          <w:rFonts w:ascii="Times New Roman" w:hAnsi="Times New Roman" w:cs="Times New Roman"/>
          <w:sz w:val="24"/>
          <w:szCs w:val="24"/>
        </w:rPr>
        <w:t xml:space="preserve">La Universidad cuenta con el Centro de Relaciones Interinstitucionales – CERI como organismo que apoya a los diferentes proyectos curriculares en la relación permanente con comunidades académicas y otras instituciones. El CERI lidera la política de interinstitucionalización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14:paraId="1C246B19"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p>
    <w:p w14:paraId="3C2D5DD9"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r w:rsidRPr="00B774D9">
        <w:rPr>
          <w:rFonts w:ascii="Times New Roman" w:hAnsi="Times New Roman" w:cs="Times New Roman"/>
          <w:sz w:val="24"/>
          <w:szCs w:val="24"/>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14:paraId="3376176A"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p>
    <w:p w14:paraId="546CFF38" w14:textId="77777777" w:rsidR="003C3B23" w:rsidRPr="00B774D9" w:rsidRDefault="003C3B23" w:rsidP="00B774D9">
      <w:pPr>
        <w:spacing w:after="0" w:line="360" w:lineRule="auto"/>
        <w:ind w:right="-1"/>
        <w:contextualSpacing/>
        <w:jc w:val="both"/>
        <w:rPr>
          <w:rFonts w:ascii="Times New Roman" w:hAnsi="Times New Roman" w:cs="Times New Roman"/>
          <w:b/>
          <w:bCs/>
          <w:sz w:val="24"/>
          <w:szCs w:val="24"/>
        </w:rPr>
      </w:pPr>
      <w:r w:rsidRPr="00B774D9">
        <w:rPr>
          <w:rFonts w:ascii="Times New Roman" w:hAnsi="Times New Roman" w:cs="Times New Roman"/>
          <w:b/>
          <w:bCs/>
          <w:sz w:val="24"/>
          <w:szCs w:val="24"/>
        </w:rPr>
        <w:t>Oficina de Transferencia de Resultados de Investigación de Bogotá – OTRI</w:t>
      </w:r>
    </w:p>
    <w:p w14:paraId="1D8E65F6" w14:textId="3B769BD0" w:rsidR="003C3B23" w:rsidRDefault="003C3B23" w:rsidP="00B774D9">
      <w:pPr>
        <w:spacing w:after="0" w:line="360" w:lineRule="auto"/>
        <w:ind w:right="-1"/>
        <w:contextualSpacing/>
        <w:jc w:val="both"/>
        <w:rPr>
          <w:rFonts w:ascii="Times New Roman" w:hAnsi="Times New Roman" w:cs="Times New Roman"/>
          <w:sz w:val="24"/>
          <w:szCs w:val="24"/>
        </w:rPr>
      </w:pPr>
      <w:r w:rsidRPr="00B774D9">
        <w:rPr>
          <w:rFonts w:ascii="Times New Roman" w:hAnsi="Times New Roman" w:cs="Times New Roman"/>
          <w:sz w:val="24"/>
          <w:szCs w:val="24"/>
        </w:rPr>
        <w:t>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w:t>
      </w:r>
      <w:r w:rsidR="00BC44AF" w:rsidRPr="00B774D9">
        <w:rPr>
          <w:rFonts w:ascii="Times New Roman" w:hAnsi="Times New Roman" w:cs="Times New Roman"/>
          <w:sz w:val="24"/>
          <w:szCs w:val="24"/>
        </w:rPr>
        <w:t>.</w:t>
      </w:r>
      <w:r w:rsidRPr="00B774D9">
        <w:rPr>
          <w:rFonts w:ascii="Times New Roman" w:hAnsi="Times New Roman" w:cs="Times New Roman"/>
          <w:sz w:val="24"/>
          <w:szCs w:val="24"/>
        </w:rPr>
        <w:t xml:space="preserve"> </w:t>
      </w:r>
    </w:p>
    <w:p w14:paraId="5044450A" w14:textId="77777777" w:rsidR="00B774D9" w:rsidRPr="00B774D9" w:rsidRDefault="00B774D9" w:rsidP="00B774D9">
      <w:pPr>
        <w:spacing w:after="0" w:line="360" w:lineRule="auto"/>
        <w:ind w:right="-1"/>
        <w:contextualSpacing/>
        <w:jc w:val="both"/>
        <w:rPr>
          <w:rFonts w:ascii="Times New Roman" w:hAnsi="Times New Roman" w:cs="Times New Roman"/>
          <w:sz w:val="24"/>
          <w:szCs w:val="24"/>
        </w:rPr>
      </w:pPr>
    </w:p>
    <w:p w14:paraId="7AEA571F"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r w:rsidRPr="00B774D9">
        <w:rPr>
          <w:rFonts w:ascii="Times New Roman" w:hAnsi="Times New Roman" w:cs="Times New Roman"/>
          <w:sz w:val="24"/>
          <w:szCs w:val="24"/>
        </w:rPr>
        <w:t>La Universidad ha desarrollado en total más de mil proyectos en la ciudad - región de Bogotá y el país por modalidades de extensión, publicados en Boletines estadístico y revistas de Extensión, que han acercado los desarrollos científicos y tecnológicos de la Universidad a las necesidades de la comunidad.</w:t>
      </w:r>
    </w:p>
    <w:p w14:paraId="0B1D286A" w14:textId="77777777" w:rsidR="003C3B23" w:rsidRPr="00B774D9" w:rsidRDefault="003C3B23" w:rsidP="00B774D9">
      <w:pPr>
        <w:spacing w:after="0" w:line="360" w:lineRule="auto"/>
        <w:ind w:right="-1"/>
        <w:contextualSpacing/>
        <w:jc w:val="both"/>
        <w:rPr>
          <w:rFonts w:ascii="Times New Roman" w:hAnsi="Times New Roman" w:cs="Times New Roman"/>
          <w:sz w:val="24"/>
          <w:szCs w:val="24"/>
        </w:rPr>
      </w:pPr>
    </w:p>
    <w:p w14:paraId="78A43090" w14:textId="77777777" w:rsidR="003C3B23" w:rsidRPr="00B774D9" w:rsidRDefault="003C3B23" w:rsidP="00B774D9">
      <w:pPr>
        <w:spacing w:after="0" w:line="360" w:lineRule="auto"/>
        <w:ind w:right="-1"/>
        <w:contextualSpacing/>
        <w:jc w:val="both"/>
        <w:rPr>
          <w:rFonts w:ascii="Times New Roman" w:hAnsi="Times New Roman" w:cs="Times New Roman"/>
          <w:b/>
          <w:bCs/>
          <w:sz w:val="24"/>
          <w:szCs w:val="24"/>
        </w:rPr>
      </w:pPr>
      <w:r w:rsidRPr="00B774D9">
        <w:rPr>
          <w:rFonts w:ascii="Times New Roman" w:hAnsi="Times New Roman" w:cs="Times New Roman"/>
          <w:b/>
          <w:bCs/>
          <w:sz w:val="24"/>
          <w:szCs w:val="24"/>
        </w:rPr>
        <w:t>Instituto de Investigación e Innovación en Ingeniería - I3</w:t>
      </w:r>
    </w:p>
    <w:p w14:paraId="580DB8C4" w14:textId="434413C4" w:rsidR="003C3B23" w:rsidRPr="00B774D9" w:rsidRDefault="003C3B23" w:rsidP="00B774D9">
      <w:pPr>
        <w:spacing w:after="0" w:line="360" w:lineRule="auto"/>
        <w:ind w:right="-1"/>
        <w:contextualSpacing/>
        <w:jc w:val="both"/>
        <w:rPr>
          <w:rFonts w:ascii="Times New Roman" w:hAnsi="Times New Roman" w:cs="Times New Roman"/>
          <w:sz w:val="24"/>
          <w:szCs w:val="24"/>
        </w:rPr>
      </w:pPr>
      <w:r w:rsidRPr="00B774D9">
        <w:rPr>
          <w:rFonts w:ascii="Times New Roman" w:hAnsi="Times New Roman" w:cs="Times New Roman"/>
          <w:sz w:val="24"/>
          <w:szCs w:val="24"/>
        </w:rPr>
        <w:t>El Instituto de Investigación e Innovación en Ingeniería</w:t>
      </w:r>
      <w:r w:rsidR="00BC44AF" w:rsidRPr="00B774D9">
        <w:rPr>
          <w:rFonts w:ascii="Times New Roman" w:hAnsi="Times New Roman" w:cs="Times New Roman"/>
          <w:sz w:val="24"/>
          <w:szCs w:val="24"/>
        </w:rPr>
        <w:t>,</w:t>
      </w:r>
      <w:r w:rsidRPr="00B774D9">
        <w:rPr>
          <w:rFonts w:ascii="Times New Roman" w:hAnsi="Times New Roman" w:cs="Times New Roman"/>
          <w:sz w:val="24"/>
          <w:szCs w:val="24"/>
        </w:rPr>
        <w:t xml:space="preserve"> es una unidad académica ejecutora, adscrita al CIDC, que involucra a los grupos de investigación y los programas de Maestría y Doctorado para realizar programas y proyectos de investigación e innovación en Ingeniería, así como transferencia de resultados de investigación. Fue inaugurado el 22 de noviembre de 2018 en la Alcaldía de Bogotá, junto con la Política de Ciencia, Tecnología e Innovación Distrital.</w:t>
      </w:r>
    </w:p>
    <w:p w14:paraId="25B72C42" w14:textId="77777777" w:rsidR="009954AA" w:rsidRPr="00B774D9" w:rsidRDefault="009954AA" w:rsidP="00B774D9">
      <w:pPr>
        <w:spacing w:after="0" w:line="360" w:lineRule="auto"/>
        <w:ind w:right="-1"/>
        <w:contextualSpacing/>
        <w:jc w:val="both"/>
        <w:rPr>
          <w:rFonts w:ascii="Times New Roman" w:hAnsi="Times New Roman" w:cs="Times New Roman"/>
          <w:sz w:val="24"/>
          <w:szCs w:val="24"/>
        </w:rPr>
      </w:pPr>
    </w:p>
    <w:p w14:paraId="2176238D" w14:textId="46B906BB" w:rsidR="003C3B23" w:rsidRPr="00B774D9" w:rsidRDefault="003C3B23" w:rsidP="00B774D9">
      <w:pPr>
        <w:spacing w:after="0" w:line="360" w:lineRule="auto"/>
        <w:ind w:right="-1"/>
        <w:contextualSpacing/>
        <w:jc w:val="both"/>
        <w:rPr>
          <w:rFonts w:ascii="Times New Roman" w:hAnsi="Times New Roman" w:cs="Times New Roman"/>
          <w:b/>
          <w:bCs/>
          <w:sz w:val="24"/>
          <w:szCs w:val="24"/>
        </w:rPr>
      </w:pPr>
      <w:bookmarkStart w:id="9" w:name="_Toc66467405"/>
      <w:r w:rsidRPr="00B774D9">
        <w:rPr>
          <w:rFonts w:ascii="Times New Roman" w:hAnsi="Times New Roman" w:cs="Times New Roman"/>
          <w:b/>
          <w:bCs/>
          <w:sz w:val="24"/>
          <w:szCs w:val="24"/>
        </w:rPr>
        <w:t>Estrategias de extensión y proyección social de la Maestría</w:t>
      </w:r>
      <w:bookmarkEnd w:id="9"/>
    </w:p>
    <w:p w14:paraId="1A423882" w14:textId="66197F9A" w:rsidR="003C3B23" w:rsidRDefault="003C3B23" w:rsidP="00B774D9">
      <w:pPr>
        <w:spacing w:after="0" w:line="360" w:lineRule="auto"/>
        <w:rPr>
          <w:rFonts w:ascii="Times New Roman" w:hAnsi="Times New Roman" w:cs="Times New Roman"/>
          <w:sz w:val="24"/>
          <w:szCs w:val="24"/>
        </w:rPr>
      </w:pPr>
      <w:r w:rsidRPr="00B774D9">
        <w:rPr>
          <w:rFonts w:ascii="Times New Roman" w:hAnsi="Times New Roman" w:cs="Times New Roman"/>
          <w:sz w:val="24"/>
          <w:szCs w:val="24"/>
        </w:rPr>
        <w:t>Actualmente la Maestría ha establecido 4 vías para extender y proyectar sus actividades académicas y de investigación al entorno:</w:t>
      </w:r>
    </w:p>
    <w:p w14:paraId="7B411128" w14:textId="77777777" w:rsidR="00B774D9" w:rsidRPr="00B774D9" w:rsidRDefault="00B774D9" w:rsidP="00B774D9">
      <w:pPr>
        <w:spacing w:after="0" w:line="360" w:lineRule="auto"/>
        <w:rPr>
          <w:rFonts w:ascii="Times New Roman" w:hAnsi="Times New Roman" w:cs="Times New Roman"/>
          <w:sz w:val="24"/>
          <w:szCs w:val="24"/>
        </w:rPr>
      </w:pPr>
    </w:p>
    <w:p w14:paraId="06A371D3"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Proyectos de extensión realizados por los docentes y/o los grupos de investigación asociados a la Maestría.</w:t>
      </w:r>
    </w:p>
    <w:p w14:paraId="47525E3B"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lastRenderedPageBreak/>
        <w:t>Proyectos de investigación/innovación realizados por los docentes y/o los grupos de investigación asociados a la Maestría en convenio con el sector productivo o entes gubernamentales.</w:t>
      </w:r>
    </w:p>
    <w:p w14:paraId="3DF5C836" w14:textId="77777777"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Trabajos de grado realizados que impactan directamente el entorno productivo.</w:t>
      </w:r>
    </w:p>
    <w:p w14:paraId="6D7DF68A" w14:textId="5AF1DC63" w:rsidR="003C3B23" w:rsidRPr="00B774D9" w:rsidRDefault="003C3B23" w:rsidP="00B774D9">
      <w:pPr>
        <w:pStyle w:val="ListParagraph"/>
        <w:numPr>
          <w:ilvl w:val="0"/>
          <w:numId w:val="1"/>
        </w:numPr>
        <w:suppressAutoHyphens w:val="0"/>
        <w:spacing w:line="360" w:lineRule="auto"/>
        <w:ind w:right="-7"/>
        <w:contextualSpacing/>
        <w:jc w:val="both"/>
        <w:rPr>
          <w:rFonts w:ascii="Times New Roman" w:hAnsi="Times New Roman" w:cs="Times New Roman"/>
          <w:sz w:val="24"/>
          <w:szCs w:val="24"/>
        </w:rPr>
      </w:pPr>
      <w:r w:rsidRPr="00B774D9">
        <w:rPr>
          <w:rFonts w:ascii="Times New Roman" w:hAnsi="Times New Roman" w:cs="Times New Roman"/>
          <w:sz w:val="24"/>
          <w:szCs w:val="24"/>
        </w:rPr>
        <w:t>Cursos y/o eventos periódicos de acceso general, que permiten a la Maestría extender toda su capacidad formativa más allá de sus estudiantes. En la página web de la Maestría se pueden consultar los últimos eventos realizados</w:t>
      </w:r>
      <w:r w:rsidR="009954AA" w:rsidRPr="00B774D9">
        <w:rPr>
          <w:rFonts w:ascii="Times New Roman" w:hAnsi="Times New Roman" w:cs="Times New Roman"/>
          <w:sz w:val="24"/>
          <w:szCs w:val="24"/>
        </w:rPr>
        <w:t xml:space="preserve">. </w:t>
      </w:r>
      <w:bookmarkEnd w:id="0"/>
      <w:bookmarkEnd w:id="1"/>
    </w:p>
    <w:sectPr w:rsidR="003C3B23" w:rsidRPr="00B774D9" w:rsidSect="00B774D9">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roid Sans">
    <w:panose1 w:val="00000000000000000000"/>
    <w:charset w:val="00"/>
    <w:family w:val="auto"/>
    <w:notTrueType/>
    <w:pitch w:val="variable"/>
    <w:sig w:usb0="00000003" w:usb1="00000000" w:usb2="00000000" w:usb3="00000000" w:csb0="00000001" w:csb1="00000000"/>
  </w:font>
  <w:font w:name="Lohit Hindi">
    <w:charset w:val="80"/>
    <w:family w:val="auto"/>
    <w:pitch w:val="variable"/>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CC22C1"/>
    <w:multiLevelType w:val="multilevel"/>
    <w:tmpl w:val="B9F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23"/>
    <w:rsid w:val="00356294"/>
    <w:rsid w:val="003C3B23"/>
    <w:rsid w:val="0054599D"/>
    <w:rsid w:val="00903097"/>
    <w:rsid w:val="009954AA"/>
    <w:rsid w:val="00B774D9"/>
    <w:rsid w:val="00BC44AF"/>
    <w:rsid w:val="00E77FC3"/>
    <w:rsid w:val="00F94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390B3"/>
  <w15:chartTrackingRefBased/>
  <w15:docId w15:val="{FC4431F8-E042-4E5E-A7B9-3958631CD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aliases w:val="Subtitulo I,Título Segundo nivel,Título 2 YAMI"/>
    <w:basedOn w:val="Normal"/>
    <w:next w:val="Normal"/>
    <w:link w:val="Heading2Char"/>
    <w:uiPriority w:val="9"/>
    <w:qFormat/>
    <w:rsid w:val="003C3B23"/>
    <w:pPr>
      <w:keepNext/>
      <w:keepLines/>
      <w:suppressAutoHyphens/>
      <w:spacing w:before="360" w:after="80" w:line="240" w:lineRule="auto"/>
      <w:ind w:left="357"/>
      <w:contextualSpacing/>
      <w:outlineLvl w:val="1"/>
    </w:pPr>
    <w:rPr>
      <w:rFonts w:ascii="Arial" w:eastAsia="Arial" w:hAnsi="Arial" w:cs="Arial"/>
      <w:b/>
      <w:bCs/>
      <w:color w:val="000000"/>
      <w:kern w:val="1"/>
      <w:sz w:val="28"/>
      <w:szCs w:val="28"/>
      <w:lang w:val="es-E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ubtitulo I Char,Título Segundo nivel Char,Título 2 YAMI Char"/>
    <w:basedOn w:val="DefaultParagraphFont"/>
    <w:link w:val="Heading2"/>
    <w:uiPriority w:val="9"/>
    <w:rsid w:val="003C3B23"/>
    <w:rPr>
      <w:rFonts w:ascii="Arial" w:eastAsia="Arial" w:hAnsi="Arial" w:cs="Arial"/>
      <w:b/>
      <w:bCs/>
      <w:color w:val="000000"/>
      <w:kern w:val="1"/>
      <w:sz w:val="28"/>
      <w:szCs w:val="28"/>
      <w:lang w:val="es-ES" w:eastAsia="zh-CN" w:bidi="hi-IN"/>
    </w:rPr>
  </w:style>
  <w:style w:type="paragraph" w:styleId="Caption">
    <w:name w:val="caption"/>
    <w:basedOn w:val="Normal"/>
    <w:link w:val="CaptionChar"/>
    <w:uiPriority w:val="35"/>
    <w:qFormat/>
    <w:rsid w:val="003C3B23"/>
    <w:pPr>
      <w:widowControl w:val="0"/>
      <w:suppressLineNumbers/>
      <w:suppressAutoHyphens/>
      <w:spacing w:before="120" w:after="120" w:line="240" w:lineRule="auto"/>
      <w:ind w:left="357"/>
    </w:pPr>
    <w:rPr>
      <w:rFonts w:ascii="Liberation Serif" w:eastAsia="Droid Sans" w:hAnsi="Liberation Serif" w:cs="Lohit Hindi"/>
      <w:i/>
      <w:iCs/>
      <w:kern w:val="1"/>
      <w:sz w:val="24"/>
      <w:szCs w:val="24"/>
      <w:lang w:eastAsia="zh-CN" w:bidi="hi-IN"/>
    </w:rPr>
  </w:style>
  <w:style w:type="paragraph" w:styleId="ListParagraph">
    <w:name w:val="List Paragraph"/>
    <w:basedOn w:val="Normal"/>
    <w:uiPriority w:val="34"/>
    <w:qFormat/>
    <w:rsid w:val="003C3B23"/>
    <w:pPr>
      <w:suppressAutoHyphens/>
      <w:spacing w:after="0" w:line="240" w:lineRule="auto"/>
      <w:ind w:left="708"/>
    </w:pPr>
    <w:rPr>
      <w:rFonts w:ascii="Calibri" w:eastAsia="Droid Sans Fallback" w:hAnsi="Calibri" w:cs="Calibri"/>
      <w:kern w:val="1"/>
    </w:rPr>
  </w:style>
  <w:style w:type="character" w:customStyle="1" w:styleId="CaptionChar">
    <w:name w:val="Caption Char"/>
    <w:basedOn w:val="DefaultParagraphFont"/>
    <w:link w:val="Caption"/>
    <w:uiPriority w:val="35"/>
    <w:rsid w:val="003C3B23"/>
    <w:rPr>
      <w:rFonts w:ascii="Liberation Serif" w:eastAsia="Droid Sans" w:hAnsi="Liberation Serif" w:cs="Lohit Hindi"/>
      <w:i/>
      <w:iCs/>
      <w:kern w:val="1"/>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1492</Words>
  <Characters>8210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USUARIO</cp:lastModifiedBy>
  <cp:revision>3</cp:revision>
  <dcterms:created xsi:type="dcterms:W3CDTF">2022-03-25T16:43:00Z</dcterms:created>
  <dcterms:modified xsi:type="dcterms:W3CDTF">2022-03-28T01:12:00Z</dcterms:modified>
</cp:coreProperties>
</file>