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5CE18D" w14:textId="60A3A533" w:rsidR="00B774D9" w:rsidRPr="00E80E3C" w:rsidRDefault="00E80E3C" w:rsidP="00E80E3C">
      <w:pPr>
        <w:spacing w:after="0" w:line="360" w:lineRule="auto"/>
        <w:jc w:val="center"/>
        <w:rPr>
          <w:rFonts w:ascii="Times New Roman" w:hAnsi="Times New Roman" w:cs="Times New Roman"/>
          <w:b/>
          <w:bCs/>
          <w:color w:val="222222"/>
          <w:sz w:val="24"/>
          <w:szCs w:val="24"/>
          <w:shd w:val="clear" w:color="auto" w:fill="FFFFFF"/>
        </w:rPr>
      </w:pPr>
      <w:bookmarkStart w:id="0" w:name="_Toc458777713"/>
      <w:r w:rsidRPr="00E80E3C">
        <w:rPr>
          <w:rFonts w:ascii="Times New Roman" w:hAnsi="Times New Roman" w:cs="Times New Roman"/>
          <w:b/>
          <w:bCs/>
          <w:color w:val="222222"/>
          <w:sz w:val="24"/>
          <w:szCs w:val="24"/>
          <w:shd w:val="clear" w:color="auto" w:fill="FFFFFF"/>
        </w:rPr>
        <w:t>Capítulo 8. Medios educativos</w:t>
      </w:r>
    </w:p>
    <w:p w14:paraId="2AB70411" w14:textId="0D2AAA90" w:rsidR="00B774D9" w:rsidRDefault="00B774D9" w:rsidP="00E80E3C">
      <w:pPr>
        <w:spacing w:after="0" w:line="360" w:lineRule="auto"/>
        <w:jc w:val="center"/>
        <w:rPr>
          <w:rFonts w:ascii="Times New Roman" w:hAnsi="Times New Roman" w:cs="Times New Roman"/>
          <w:b/>
          <w:bCs/>
          <w:color w:val="222222"/>
          <w:sz w:val="24"/>
          <w:szCs w:val="24"/>
          <w:shd w:val="clear" w:color="auto" w:fill="FFFFFF"/>
        </w:rPr>
      </w:pPr>
      <w:r w:rsidRPr="00E80E3C">
        <w:rPr>
          <w:rFonts w:ascii="Times New Roman" w:hAnsi="Times New Roman" w:cs="Times New Roman"/>
          <w:b/>
          <w:bCs/>
          <w:color w:val="222222"/>
          <w:sz w:val="24"/>
          <w:szCs w:val="24"/>
          <w:shd w:val="clear" w:color="auto" w:fill="FFFFFF"/>
        </w:rPr>
        <w:t>(Síntesis)</w:t>
      </w:r>
    </w:p>
    <w:p w14:paraId="38DDFFD3" w14:textId="77777777" w:rsidR="00E80E3C" w:rsidRPr="00E80E3C" w:rsidRDefault="00E80E3C" w:rsidP="00E80E3C">
      <w:pPr>
        <w:spacing w:after="0" w:line="360" w:lineRule="auto"/>
        <w:jc w:val="center"/>
        <w:rPr>
          <w:rFonts w:ascii="Times New Roman" w:hAnsi="Times New Roman" w:cs="Times New Roman"/>
          <w:b/>
          <w:bCs/>
          <w:color w:val="222222"/>
          <w:sz w:val="24"/>
          <w:szCs w:val="24"/>
          <w:shd w:val="clear" w:color="auto" w:fill="FFFFFF"/>
        </w:rPr>
      </w:pPr>
    </w:p>
    <w:p w14:paraId="2432B8DA" w14:textId="77777777" w:rsidR="00E80E3C" w:rsidRPr="00BD61AD" w:rsidRDefault="00E80E3C" w:rsidP="00E80E3C">
      <w:pPr>
        <w:pStyle w:val="NormalWeb"/>
        <w:spacing w:before="0" w:beforeAutospacing="0" w:after="0" w:afterAutospacing="0" w:line="360" w:lineRule="auto"/>
        <w:jc w:val="both"/>
        <w:rPr>
          <w:color w:val="2F5496" w:themeColor="accent1" w:themeShade="BF"/>
        </w:rPr>
      </w:pPr>
      <w:r w:rsidRPr="00BD61AD">
        <w:rPr>
          <w:color w:val="2F5496" w:themeColor="accent1" w:themeShade="BF"/>
        </w:rPr>
        <w:t xml:space="preserve">La </w:t>
      </w:r>
      <w:r w:rsidRPr="00BD61AD">
        <w:rPr>
          <w:color w:val="2F5496" w:themeColor="accent1" w:themeShade="BF"/>
        </w:rPr>
        <w:t>Maestría en Ciencias de la Información y las Comunicaciones</w:t>
      </w:r>
      <w:r w:rsidRPr="00BD61AD">
        <w:rPr>
          <w:color w:val="2F5496" w:themeColor="accent1" w:themeShade="BF"/>
        </w:rPr>
        <w:t xml:space="preserve"> es un Proyecto Curricular adscrito a la Facultad de Ingeniería y, al igual que todos los programas de la oferta académica de la Universidad, puede acceder a los diferentes medios educativos institucionales, necesarios para el desarrollo de su labor. La instancia que presta diferentes servicios en cuanto a medios educativos es la Sección Biblioteca, en donde los estudiantes, docentes y comunidad en general, pueden acceder a recursos físicos y bibliográficos, préstamo de equipos y recursos tecnológicos, capacitaciones, talleres e inducciones. </w:t>
      </w:r>
    </w:p>
    <w:p w14:paraId="610B9EEF" w14:textId="77777777" w:rsidR="00E80E3C" w:rsidRPr="00BD61AD" w:rsidRDefault="00E80E3C" w:rsidP="00E80E3C">
      <w:pPr>
        <w:pStyle w:val="NormalWeb"/>
        <w:spacing w:before="0" w:beforeAutospacing="0" w:after="0" w:afterAutospacing="0" w:line="360" w:lineRule="auto"/>
        <w:jc w:val="both"/>
        <w:rPr>
          <w:color w:val="2F5496" w:themeColor="accent1" w:themeShade="BF"/>
        </w:rPr>
      </w:pPr>
    </w:p>
    <w:p w14:paraId="1B0EF22C" w14:textId="49CA688B" w:rsidR="00E80E3C" w:rsidRPr="00BD61AD" w:rsidRDefault="00E80E3C" w:rsidP="00E80E3C">
      <w:pPr>
        <w:pStyle w:val="NormalWeb"/>
        <w:spacing w:before="0" w:beforeAutospacing="0" w:after="0" w:afterAutospacing="0" w:line="360" w:lineRule="auto"/>
        <w:jc w:val="both"/>
        <w:rPr>
          <w:color w:val="2F5496" w:themeColor="accent1" w:themeShade="BF"/>
        </w:rPr>
      </w:pPr>
      <w:r w:rsidRPr="00BD61AD">
        <w:rPr>
          <w:color w:val="2F5496" w:themeColor="accent1" w:themeShade="BF"/>
        </w:rPr>
        <w:t xml:space="preserve">De acuerdo con los recursos disponibles para la Facultad de Ingeniería y en correspondencia con la naturaleza de la </w:t>
      </w:r>
      <w:r w:rsidRPr="00BD61AD">
        <w:rPr>
          <w:color w:val="2F5496" w:themeColor="accent1" w:themeShade="BF"/>
        </w:rPr>
        <w:t>Maestría</w:t>
      </w:r>
      <w:r w:rsidRPr="00BD61AD">
        <w:rPr>
          <w:color w:val="2F5496" w:themeColor="accent1" w:themeShade="BF"/>
        </w:rPr>
        <w:t>, se cuenta con una colección general de más de 300 ejemplares, 15 colecciones de referencia, 50 colecciones de reserva, 500 materiales especiales (vídeos, DVD, CD)</w:t>
      </w:r>
      <w:r w:rsidRPr="00BD61AD">
        <w:rPr>
          <w:color w:val="2F5496" w:themeColor="accent1" w:themeShade="BF"/>
        </w:rPr>
        <w:t xml:space="preserve">, 200 publicaciones periódicas </w:t>
      </w:r>
      <w:r w:rsidRPr="00BD61AD">
        <w:rPr>
          <w:color w:val="2F5496" w:themeColor="accent1" w:themeShade="BF"/>
        </w:rPr>
        <w:t xml:space="preserve">y más de 25 bases de datos </w:t>
      </w:r>
      <w:bookmarkStart w:id="1" w:name="_GoBack"/>
      <w:r w:rsidRPr="00BD61AD">
        <w:rPr>
          <w:color w:val="2F5496" w:themeColor="accent1" w:themeShade="BF"/>
        </w:rPr>
        <w:t>especializa</w:t>
      </w:r>
      <w:bookmarkEnd w:id="1"/>
      <w:r w:rsidRPr="00BD61AD">
        <w:rPr>
          <w:color w:val="2F5496" w:themeColor="accent1" w:themeShade="BF"/>
        </w:rPr>
        <w:t xml:space="preserve">das. En lo que tiene que ver con el uso de estos recursos, </w:t>
      </w:r>
      <w:r w:rsidRPr="00BD61AD">
        <w:rPr>
          <w:color w:val="2F5496" w:themeColor="accent1" w:themeShade="BF"/>
        </w:rPr>
        <w:t>en los últimos años se dieron 150 corresponde</w:t>
      </w:r>
      <w:r w:rsidR="0059792C" w:rsidRPr="00BD61AD">
        <w:rPr>
          <w:color w:val="2F5496" w:themeColor="accent1" w:themeShade="BF"/>
        </w:rPr>
        <w:t>n a número de estudiantes que consultaron libros, 417 a número de préstamos</w:t>
      </w:r>
      <w:r w:rsidR="00FF7481" w:rsidRPr="00BD61AD">
        <w:rPr>
          <w:color w:val="2F5496" w:themeColor="accent1" w:themeShade="BF"/>
        </w:rPr>
        <w:t xml:space="preserve"> a estudiantes, 270 a material bibliográficos en préstamo externo, 7 materiales consultados en sala, 140 recursos</w:t>
      </w:r>
      <w:r w:rsidR="00EC521A" w:rsidRPr="00BD61AD">
        <w:rPr>
          <w:color w:val="2F5496" w:themeColor="accent1" w:themeShade="BF"/>
        </w:rPr>
        <w:t xml:space="preserve"> que fueron prestado a la comunidad y, </w:t>
      </w:r>
      <w:r w:rsidR="00261A29" w:rsidRPr="00BD61AD">
        <w:rPr>
          <w:color w:val="2F5496" w:themeColor="accent1" w:themeShade="BF"/>
        </w:rPr>
        <w:t xml:space="preserve">más de 8.000 consultas de las bases de datos. </w:t>
      </w:r>
    </w:p>
    <w:p w14:paraId="23BCE0A3" w14:textId="183480DD" w:rsidR="00E80E3C" w:rsidRPr="00BD61AD" w:rsidRDefault="00E80E3C" w:rsidP="00E80E3C">
      <w:pPr>
        <w:pStyle w:val="NormalWeb"/>
        <w:spacing w:before="0" w:beforeAutospacing="0" w:after="0" w:afterAutospacing="0" w:line="360" w:lineRule="auto"/>
        <w:jc w:val="both"/>
        <w:rPr>
          <w:color w:val="2F5496" w:themeColor="accent1" w:themeShade="BF"/>
        </w:rPr>
      </w:pPr>
    </w:p>
    <w:p w14:paraId="38504125" w14:textId="335AF55B" w:rsidR="00E80E3C" w:rsidRDefault="004C52DB" w:rsidP="00E80E3C">
      <w:pPr>
        <w:pStyle w:val="NormalWeb"/>
        <w:spacing w:before="0" w:beforeAutospacing="0" w:after="0" w:afterAutospacing="0" w:line="360" w:lineRule="auto"/>
        <w:jc w:val="both"/>
        <w:rPr>
          <w:color w:val="2F5496" w:themeColor="accent1" w:themeShade="BF"/>
        </w:rPr>
      </w:pPr>
      <w:r w:rsidRPr="00BD61AD">
        <w:rPr>
          <w:color w:val="2F5496" w:themeColor="accent1" w:themeShade="BF"/>
        </w:rPr>
        <w:t>Con el fin de incrementar los recursos digitales disponibles para los estudiantes y, teniendo en cuenta los datos de consulta registrados para este y otros Proyectos Curriculares de la Universidad, l</w:t>
      </w:r>
      <w:r w:rsidR="00E80E3C" w:rsidRPr="00BD61AD">
        <w:rPr>
          <w:color w:val="2F5496" w:themeColor="accent1" w:themeShade="BF"/>
        </w:rPr>
        <w:t xml:space="preserve">a Sección Biblioteca </w:t>
      </w:r>
      <w:r w:rsidR="007F4D54" w:rsidRPr="00BD61AD">
        <w:rPr>
          <w:color w:val="2F5496" w:themeColor="accent1" w:themeShade="BF"/>
        </w:rPr>
        <w:t>invirtió en</w:t>
      </w:r>
      <w:r w:rsidR="00E80E3C" w:rsidRPr="00BD61AD">
        <w:rPr>
          <w:color w:val="2F5496" w:themeColor="accent1" w:themeShade="BF"/>
        </w:rPr>
        <w:t xml:space="preserve"> 2015 $1.056.698.174, en 2016 de $1.231.642.357, en 2017 de $550.380.609, en 2018 de $1.400.000.000 y en 2019 de $620.000.000. Otro escenario que brinda los medios educativos que se requieren para desarrollo de los procesos de formación son los laboratorios de la Facultad, con dotación adecuada para las actividades que adelanta la </w:t>
      </w:r>
      <w:r w:rsidR="00DF1D37" w:rsidRPr="00BD61AD">
        <w:rPr>
          <w:color w:val="2F5496" w:themeColor="accent1" w:themeShade="BF"/>
        </w:rPr>
        <w:t>Maestría</w:t>
      </w:r>
      <w:r w:rsidR="00E80E3C" w:rsidRPr="00BD61AD">
        <w:rPr>
          <w:color w:val="2F5496" w:themeColor="accent1" w:themeShade="BF"/>
        </w:rPr>
        <w:t xml:space="preserve">. La inversión en la dotación de estos espacios, se recoge en el Proyecto de Inversión 4149, en donde se destinaron $2.825.381.468 para adquisición de equipos robustos, $599.805.090 para la compra de software y $200.000.000 para el estudio técnico del Plan integral de Laboratorios, además de otras inversiones importantes. En los próximos años, la Universidad continuará con el </w:t>
      </w:r>
      <w:r w:rsidR="00E80E3C" w:rsidRPr="00BD61AD">
        <w:rPr>
          <w:i/>
          <w:iCs/>
          <w:color w:val="2F5496" w:themeColor="accent1" w:themeShade="BF"/>
        </w:rPr>
        <w:t xml:space="preserve">Proyecto No 7878 Fortalecimiento, fomento y desarrollo de entornos virtuales en la UDFJC, Proyecto No 7866 Fortalecimiento a la Promoción para la Excelencia Académica, Proyecto No 7821 Fortalecimiento y Dotación de Laboratorios, talleres, centros y aulas de la UDFJC, Proyecto No 7889 Consolidación del modelo de servicios del Centro de Recursos para el Aprendizaje y la Investigación- CRAI, </w:t>
      </w:r>
      <w:r w:rsidR="00E80E3C" w:rsidRPr="00BD61AD">
        <w:rPr>
          <w:color w:val="2F5496" w:themeColor="accent1" w:themeShade="BF"/>
        </w:rPr>
        <w:t xml:space="preserve">a partir de los cuales fortalecerá </w:t>
      </w:r>
      <w:r w:rsidR="00E80E3C" w:rsidRPr="00BD61AD">
        <w:rPr>
          <w:color w:val="2F5496" w:themeColor="accent1" w:themeShade="BF"/>
        </w:rPr>
        <w:lastRenderedPageBreak/>
        <w:t xml:space="preserve">significativamente en el crecimiento de los medios educativos en beneficios de toda la comunidad. La información presentada permite señalar, que, la </w:t>
      </w:r>
      <w:r w:rsidR="00DF1D37" w:rsidRPr="00BD61AD">
        <w:rPr>
          <w:color w:val="2F5496" w:themeColor="accent1" w:themeShade="BF"/>
        </w:rPr>
        <w:t xml:space="preserve">Maestría </w:t>
      </w:r>
      <w:r w:rsidR="00E80E3C" w:rsidRPr="00BD61AD">
        <w:rPr>
          <w:color w:val="2F5496" w:themeColor="accent1" w:themeShade="BF"/>
        </w:rPr>
        <w:t>cuenta con recursos suficientes y coherentes con las necesidades del proceso de formación y que además se verá beneficiada con el crecimiento institucional que aporta al mejoramiento de dichos medios.      </w:t>
      </w:r>
    </w:p>
    <w:p w14:paraId="438364F2" w14:textId="22C47D4B" w:rsidR="001D66D1" w:rsidRDefault="001D66D1" w:rsidP="00E80E3C">
      <w:pPr>
        <w:pStyle w:val="NormalWeb"/>
        <w:spacing w:before="0" w:beforeAutospacing="0" w:after="0" w:afterAutospacing="0" w:line="360" w:lineRule="auto"/>
        <w:jc w:val="both"/>
        <w:rPr>
          <w:color w:val="2F5496" w:themeColor="accent1" w:themeShade="BF"/>
        </w:rPr>
      </w:pPr>
    </w:p>
    <w:p w14:paraId="675C53B3" w14:textId="77777777" w:rsidR="00D810D8" w:rsidRDefault="001D66D1" w:rsidP="00E80E3C">
      <w:pPr>
        <w:pStyle w:val="NormalWeb"/>
        <w:spacing w:before="0" w:beforeAutospacing="0" w:after="0" w:afterAutospacing="0" w:line="360" w:lineRule="auto"/>
        <w:jc w:val="both"/>
        <w:rPr>
          <w:color w:val="2F5496" w:themeColor="accent1" w:themeShade="BF"/>
        </w:rPr>
      </w:pPr>
      <w:r>
        <w:rPr>
          <w:color w:val="2F5496" w:themeColor="accent1" w:themeShade="BF"/>
        </w:rPr>
        <w:t>Ahora bien, c</w:t>
      </w:r>
      <w:r w:rsidRPr="001D66D1">
        <w:rPr>
          <w:color w:val="2F5496" w:themeColor="accent1" w:themeShade="BF"/>
        </w:rPr>
        <w:t xml:space="preserve">on el interés de contar con medios educativos que respondan a las necesidades de los procesos de formación, investigación y extensión, la Universidad ha desarrollado planes de mantenimiento y actualización por medio del Comité de Laboratorios. Así, en 2019 con el Proyecto de Inversión 4149 se dispuso de $ 1.402.773.707 con una ejecución de $ 701.310.878 para mantenimiento de equipos y $ 1.068.025.879 con una ejecución de $ 616.525.467 para lo que tiene que ver con la compra de suministros y laboratorios. Para la Facultad de Ingeniería, en la cual se oferta el Proyecto Curricular de </w:t>
      </w:r>
      <w:r>
        <w:rPr>
          <w:color w:val="2F5496" w:themeColor="accent1" w:themeShade="BF"/>
        </w:rPr>
        <w:t>Maestría en Ciencias de la Información y las Comunicaciones</w:t>
      </w:r>
      <w:r w:rsidRPr="001D66D1">
        <w:rPr>
          <w:color w:val="2F5496" w:themeColor="accent1" w:themeShade="BF"/>
        </w:rPr>
        <w:t xml:space="preserve">, se destinó un total de $178.167.354 para el mantenimiento de los medios educativos y se contó con una ejecución de 177.759.484, quedando pendiente una ejecución por el valor de $407.870.  Adicionalmente, en este año la Facultad contó con $315.004.003 para compra de materiales y suministros con el fin de garantizar el debido funcionamiento de los equipos de laboratorio y salas de cómputo. </w:t>
      </w:r>
    </w:p>
    <w:p w14:paraId="1C61E09D" w14:textId="77777777" w:rsidR="00D810D8" w:rsidRDefault="00D810D8" w:rsidP="00E80E3C">
      <w:pPr>
        <w:pStyle w:val="NormalWeb"/>
        <w:spacing w:before="0" w:beforeAutospacing="0" w:after="0" w:afterAutospacing="0" w:line="360" w:lineRule="auto"/>
        <w:jc w:val="both"/>
        <w:rPr>
          <w:color w:val="2F5496" w:themeColor="accent1" w:themeShade="BF"/>
        </w:rPr>
      </w:pPr>
    </w:p>
    <w:p w14:paraId="670776DE" w14:textId="57388EFF" w:rsidR="001D66D1" w:rsidRPr="00BB78E0" w:rsidRDefault="001D66D1" w:rsidP="00BB78E0">
      <w:pPr>
        <w:pStyle w:val="NormalWeb"/>
        <w:spacing w:before="0" w:beforeAutospacing="0" w:after="0" w:afterAutospacing="0" w:line="360" w:lineRule="auto"/>
        <w:jc w:val="both"/>
        <w:rPr>
          <w:color w:val="2F5496" w:themeColor="accent1" w:themeShade="BF"/>
        </w:rPr>
      </w:pPr>
      <w:r w:rsidRPr="001D66D1">
        <w:rPr>
          <w:color w:val="2F5496" w:themeColor="accent1" w:themeShade="BF"/>
        </w:rPr>
        <w:t xml:space="preserve">De este presupuesto, hubo una ejecución de 296.035.978 y quedó pendiente la ejecución de $18.968.025. De acuerdo con este crecimiento, la </w:t>
      </w:r>
      <w:r w:rsidR="00D810D8">
        <w:rPr>
          <w:color w:val="2F5496" w:themeColor="accent1" w:themeShade="BF"/>
        </w:rPr>
        <w:t>Maestría</w:t>
      </w:r>
      <w:r w:rsidRPr="001D66D1">
        <w:rPr>
          <w:color w:val="2F5496" w:themeColor="accent1" w:themeShade="BF"/>
        </w:rPr>
        <w:t xml:space="preserve">, cuenta con un respaldo en lo relativo a la actualización y el mantenimiento de los equipos, en cuanto, hay inversión en este sentido por parte de la Universidad, la cual está orientada a aportar a todos los Proyectos Curriculares. Al respecto, dentro de la proyección para la siguiente vigencia, es pertinente señalar destacar el Proyecto No 7878 Fortalecimiento, fomento y desarrollo de entornos virtuales en la UDFJC, el cual cuenta con una ejecución a 2020 de 2020 $ 1.171.288.114 y se proyecta a 2024 una inversión de $ 4.472.888.114. En relación con la apreciación de </w:t>
      </w:r>
      <w:r w:rsidRPr="00BB78E0">
        <w:rPr>
          <w:color w:val="2F5496" w:themeColor="accent1" w:themeShade="BF"/>
        </w:rPr>
        <w:t>la comunidad sobre los procesos de capacitación se trabaja de manera articulada al interior de la institución con el interés de definir estrategias que permitan recoger esta información, identificar acciones de mejoramiento y fortalecer las capacitaciones con la comunidad.</w:t>
      </w:r>
    </w:p>
    <w:p w14:paraId="2FD2A5F4" w14:textId="3F3548E6" w:rsidR="00EC0415" w:rsidRPr="00BB78E0" w:rsidRDefault="00EC0415" w:rsidP="00BB78E0">
      <w:pPr>
        <w:pStyle w:val="NormalWeb"/>
        <w:spacing w:before="0" w:beforeAutospacing="0" w:after="0" w:afterAutospacing="0" w:line="360" w:lineRule="auto"/>
        <w:jc w:val="both"/>
        <w:rPr>
          <w:color w:val="2F5496" w:themeColor="accent1" w:themeShade="BF"/>
        </w:rPr>
      </w:pPr>
    </w:p>
    <w:p w14:paraId="5A1FB8A6" w14:textId="5463A0EB" w:rsidR="00BB78E0" w:rsidRPr="00BB78E0" w:rsidRDefault="00EC0415" w:rsidP="00BB78E0">
      <w:pPr>
        <w:spacing w:line="360" w:lineRule="auto"/>
        <w:jc w:val="both"/>
        <w:rPr>
          <w:rFonts w:ascii="Times New Roman" w:eastAsia="Times New Roman" w:hAnsi="Times New Roman" w:cs="Times New Roman"/>
          <w:color w:val="2F5496" w:themeColor="accent1" w:themeShade="BF"/>
          <w:sz w:val="24"/>
          <w:szCs w:val="24"/>
          <w:lang w:val="es-ES" w:eastAsia="es-ES"/>
        </w:rPr>
      </w:pPr>
      <w:r w:rsidRPr="00BB78E0">
        <w:rPr>
          <w:rFonts w:ascii="Times New Roman" w:hAnsi="Times New Roman" w:cs="Times New Roman"/>
          <w:color w:val="2F5496" w:themeColor="accent1" w:themeShade="BF"/>
          <w:sz w:val="24"/>
          <w:szCs w:val="24"/>
        </w:rPr>
        <w:t xml:space="preserve">Finalmente, </w:t>
      </w:r>
      <w:r w:rsidR="00BB78E0">
        <w:rPr>
          <w:rFonts w:ascii="Times New Roman" w:eastAsia="Times New Roman" w:hAnsi="Times New Roman" w:cs="Times New Roman"/>
          <w:color w:val="2F5496" w:themeColor="accent1" w:themeShade="BF"/>
          <w:sz w:val="24"/>
          <w:szCs w:val="24"/>
          <w:lang w:val="es-ES" w:eastAsia="es-ES"/>
        </w:rPr>
        <w:t>la Maestría en Ciencias de la Información y las Comunicaciones</w:t>
      </w:r>
      <w:r w:rsidR="00BB78E0" w:rsidRPr="00BB78E0">
        <w:rPr>
          <w:rFonts w:ascii="Times New Roman" w:eastAsia="Times New Roman" w:hAnsi="Times New Roman" w:cs="Times New Roman"/>
          <w:color w:val="2F5496" w:themeColor="accent1" w:themeShade="BF"/>
          <w:sz w:val="24"/>
          <w:szCs w:val="24"/>
          <w:lang w:val="es-ES" w:eastAsia="es-ES"/>
        </w:rPr>
        <w:t xml:space="preserve"> con el interés de brindar orientación a la comunidad sobre el uso de los diferentes medios educativos con los que cuenta la institución y el programa, pone en conocimiento de la comunidad las jornadas de capacitación que se han preparado por las diferentes instancias académico-administrativas, así como, los recursos por medio de las cuales pueden acceder a herramientas que enriquezcan su proceso de formación. Un ejercicio que se </w:t>
      </w:r>
      <w:r w:rsidR="00BB78E0" w:rsidRPr="00BB78E0">
        <w:rPr>
          <w:rFonts w:ascii="Times New Roman" w:eastAsia="Times New Roman" w:hAnsi="Times New Roman" w:cs="Times New Roman"/>
          <w:color w:val="2F5496" w:themeColor="accent1" w:themeShade="BF"/>
          <w:sz w:val="24"/>
          <w:szCs w:val="24"/>
          <w:lang w:val="es-ES" w:eastAsia="es-ES"/>
        </w:rPr>
        <w:lastRenderedPageBreak/>
        <w:t xml:space="preserve">da también a nivel de Facultad e Institucional, mediante el programa de </w:t>
      </w:r>
      <w:r w:rsidR="00BB78E0" w:rsidRPr="00BB78E0">
        <w:rPr>
          <w:rFonts w:ascii="Times New Roman" w:eastAsia="Times New Roman" w:hAnsi="Times New Roman" w:cs="Times New Roman"/>
          <w:i/>
          <w:color w:val="2F5496" w:themeColor="accent1" w:themeShade="BF"/>
          <w:sz w:val="24"/>
          <w:szCs w:val="24"/>
          <w:lang w:val="es-ES" w:eastAsia="es-ES"/>
        </w:rPr>
        <w:t>Acogida e inducción a la vida universitaria</w:t>
      </w:r>
      <w:r w:rsidR="00BB78E0" w:rsidRPr="00BB78E0">
        <w:rPr>
          <w:rFonts w:ascii="Times New Roman" w:eastAsia="Times New Roman" w:hAnsi="Times New Roman" w:cs="Times New Roman"/>
          <w:color w:val="2F5496" w:themeColor="accent1" w:themeShade="BF"/>
          <w:sz w:val="24"/>
          <w:szCs w:val="24"/>
          <w:lang w:val="es-ES" w:eastAsia="es-ES"/>
        </w:rPr>
        <w:t xml:space="preserve">, con el interés de brindar una presentación amplia de la institución a quienes ingresan a sus diferentes programas. Dentro de las jornadas de capacitación que buscan la apropiación de medios educativos y recursos de aprendizaje, se encuentran jornadas que van orientadas a la disciplina y otras, al conocimiento y aprendizaje sobre medios educativos disponibles para toda la comunidad, como es el caso de los planes de capacitación de la Sección Biblioteca, en donde se destacan: </w:t>
      </w:r>
      <w:r w:rsidR="00BB78E0" w:rsidRPr="00BB78E0">
        <w:rPr>
          <w:rFonts w:ascii="Times New Roman" w:eastAsia="Times New Roman" w:hAnsi="Times New Roman" w:cs="Times New Roman"/>
          <w:i/>
          <w:color w:val="2F5496" w:themeColor="accent1" w:themeShade="BF"/>
          <w:sz w:val="24"/>
          <w:szCs w:val="24"/>
          <w:lang w:val="es-ES" w:eastAsia="es-ES"/>
        </w:rPr>
        <w:t>Taller en el Uso de Herramientas de Información. Apoyo a los estudiantes: dirigido a estudiantes de pregrados y posgrados de todos los proyectos curriculares y Taller en el Uso de Herramientas de Información. Apoyo a los Docentes e investigadores: docentes de todos los Proyectos Curriculares de pregrados y posgrados, docentes investigadores, investigadores de grupos y semilleros de investigación y Centro de Investigaciones y Desarrollo Científico (CIDC)</w:t>
      </w:r>
      <w:r w:rsidR="00BB78E0" w:rsidRPr="00BB78E0">
        <w:rPr>
          <w:rFonts w:ascii="Times New Roman" w:eastAsia="Times New Roman" w:hAnsi="Times New Roman" w:cs="Times New Roman"/>
          <w:color w:val="2F5496" w:themeColor="accent1" w:themeShade="BF"/>
          <w:sz w:val="24"/>
          <w:szCs w:val="24"/>
          <w:lang w:val="es-ES" w:eastAsia="es-ES"/>
        </w:rPr>
        <w:t xml:space="preserve"> y demás interesados.   </w:t>
      </w:r>
    </w:p>
    <w:p w14:paraId="7A3A6F6D" w14:textId="098EC811" w:rsidR="00EC0415" w:rsidRPr="00BB78E0" w:rsidRDefault="00EC0415" w:rsidP="00BB78E0">
      <w:pPr>
        <w:pStyle w:val="NormalWeb"/>
        <w:spacing w:before="0" w:beforeAutospacing="0" w:after="0" w:afterAutospacing="0" w:line="360" w:lineRule="auto"/>
        <w:jc w:val="both"/>
        <w:rPr>
          <w:color w:val="2F5496" w:themeColor="accent1" w:themeShade="BF"/>
        </w:rPr>
      </w:pPr>
    </w:p>
    <w:p w14:paraId="75DE627B" w14:textId="77777777" w:rsidR="00B774D9" w:rsidRPr="00BB78E0" w:rsidRDefault="00B774D9" w:rsidP="00BB78E0">
      <w:pPr>
        <w:spacing w:after="0" w:line="360" w:lineRule="auto"/>
        <w:jc w:val="both"/>
        <w:rPr>
          <w:rFonts w:ascii="Times New Roman" w:hAnsi="Times New Roman" w:cs="Times New Roman"/>
          <w:b/>
          <w:bCs/>
          <w:color w:val="222222"/>
          <w:sz w:val="24"/>
          <w:szCs w:val="24"/>
          <w:shd w:val="clear" w:color="auto" w:fill="FFFFFF"/>
        </w:rPr>
      </w:pPr>
    </w:p>
    <w:bookmarkEnd w:id="0"/>
    <w:sectPr w:rsidR="00B774D9" w:rsidRPr="00BB78E0" w:rsidSect="00B774D9">
      <w:pgSz w:w="12240" w:h="15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roid Sans">
    <w:panose1 w:val="00000000000000000000"/>
    <w:charset w:val="00"/>
    <w:family w:val="auto"/>
    <w:notTrueType/>
    <w:pitch w:val="variable"/>
    <w:sig w:usb0="00000003" w:usb1="00000000" w:usb2="00000000" w:usb3="00000000" w:csb0="00000001" w:csb1="00000000"/>
  </w:font>
  <w:font w:name="Lohit Hindi">
    <w:charset w:val="80"/>
    <w:family w:val="auto"/>
    <w:pitch w:val="variable"/>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CC22C1"/>
    <w:multiLevelType w:val="multilevel"/>
    <w:tmpl w:val="B9FA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B23"/>
    <w:rsid w:val="001D66D1"/>
    <w:rsid w:val="00261A29"/>
    <w:rsid w:val="00356294"/>
    <w:rsid w:val="003C3B23"/>
    <w:rsid w:val="004C52DB"/>
    <w:rsid w:val="0054599D"/>
    <w:rsid w:val="0059792C"/>
    <w:rsid w:val="00617938"/>
    <w:rsid w:val="007F4D54"/>
    <w:rsid w:val="00860733"/>
    <w:rsid w:val="00903097"/>
    <w:rsid w:val="009954AA"/>
    <w:rsid w:val="00B2155C"/>
    <w:rsid w:val="00B774D9"/>
    <w:rsid w:val="00B91831"/>
    <w:rsid w:val="00BB78E0"/>
    <w:rsid w:val="00BC44AF"/>
    <w:rsid w:val="00BD61AD"/>
    <w:rsid w:val="00D810D8"/>
    <w:rsid w:val="00DF1D37"/>
    <w:rsid w:val="00E77FC3"/>
    <w:rsid w:val="00E80E3C"/>
    <w:rsid w:val="00EC0415"/>
    <w:rsid w:val="00EC521A"/>
    <w:rsid w:val="00F623D6"/>
    <w:rsid w:val="00F9492E"/>
    <w:rsid w:val="00FF74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390B3"/>
  <w15:chartTrackingRefBased/>
  <w15:docId w15:val="{FC4431F8-E042-4E5E-A7B9-3958631CD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aliases w:val="Subtitulo I,Título Segundo nivel,Título 2 YAMI"/>
    <w:basedOn w:val="Normal"/>
    <w:next w:val="Normal"/>
    <w:link w:val="Heading2Char"/>
    <w:uiPriority w:val="9"/>
    <w:qFormat/>
    <w:rsid w:val="003C3B23"/>
    <w:pPr>
      <w:keepNext/>
      <w:keepLines/>
      <w:suppressAutoHyphens/>
      <w:spacing w:before="360" w:after="80" w:line="240" w:lineRule="auto"/>
      <w:ind w:left="357"/>
      <w:contextualSpacing/>
      <w:outlineLvl w:val="1"/>
    </w:pPr>
    <w:rPr>
      <w:rFonts w:ascii="Arial" w:eastAsia="Arial" w:hAnsi="Arial" w:cs="Arial"/>
      <w:b/>
      <w:bCs/>
      <w:color w:val="000000"/>
      <w:kern w:val="1"/>
      <w:sz w:val="28"/>
      <w:szCs w:val="28"/>
      <w:lang w:val="es-E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ubtitulo I Char,Título Segundo nivel Char,Título 2 YAMI Char"/>
    <w:basedOn w:val="DefaultParagraphFont"/>
    <w:link w:val="Heading2"/>
    <w:uiPriority w:val="9"/>
    <w:rsid w:val="003C3B23"/>
    <w:rPr>
      <w:rFonts w:ascii="Arial" w:eastAsia="Arial" w:hAnsi="Arial" w:cs="Arial"/>
      <w:b/>
      <w:bCs/>
      <w:color w:val="000000"/>
      <w:kern w:val="1"/>
      <w:sz w:val="28"/>
      <w:szCs w:val="28"/>
      <w:lang w:val="es-ES" w:eastAsia="zh-CN" w:bidi="hi-IN"/>
    </w:rPr>
  </w:style>
  <w:style w:type="paragraph" w:styleId="Caption">
    <w:name w:val="caption"/>
    <w:basedOn w:val="Normal"/>
    <w:link w:val="CaptionChar"/>
    <w:uiPriority w:val="35"/>
    <w:qFormat/>
    <w:rsid w:val="003C3B23"/>
    <w:pPr>
      <w:widowControl w:val="0"/>
      <w:suppressLineNumbers/>
      <w:suppressAutoHyphens/>
      <w:spacing w:before="120" w:after="120" w:line="240" w:lineRule="auto"/>
      <w:ind w:left="357"/>
    </w:pPr>
    <w:rPr>
      <w:rFonts w:ascii="Liberation Serif" w:eastAsia="Droid Sans" w:hAnsi="Liberation Serif" w:cs="Lohit Hindi"/>
      <w:i/>
      <w:iCs/>
      <w:kern w:val="1"/>
      <w:sz w:val="24"/>
      <w:szCs w:val="24"/>
      <w:lang w:eastAsia="zh-CN" w:bidi="hi-IN"/>
    </w:rPr>
  </w:style>
  <w:style w:type="paragraph" w:styleId="ListParagraph">
    <w:name w:val="List Paragraph"/>
    <w:basedOn w:val="Normal"/>
    <w:uiPriority w:val="34"/>
    <w:qFormat/>
    <w:rsid w:val="003C3B23"/>
    <w:pPr>
      <w:suppressAutoHyphens/>
      <w:spacing w:after="0" w:line="240" w:lineRule="auto"/>
      <w:ind w:left="708"/>
    </w:pPr>
    <w:rPr>
      <w:rFonts w:ascii="Calibri" w:eastAsia="Droid Sans Fallback" w:hAnsi="Calibri" w:cs="Calibri"/>
      <w:kern w:val="1"/>
    </w:rPr>
  </w:style>
  <w:style w:type="character" w:customStyle="1" w:styleId="CaptionChar">
    <w:name w:val="Caption Char"/>
    <w:basedOn w:val="DefaultParagraphFont"/>
    <w:link w:val="Caption"/>
    <w:uiPriority w:val="35"/>
    <w:rsid w:val="003C3B23"/>
    <w:rPr>
      <w:rFonts w:ascii="Liberation Serif" w:eastAsia="Droid Sans" w:hAnsi="Liberation Serif" w:cs="Lohit Hindi"/>
      <w:i/>
      <w:iCs/>
      <w:kern w:val="1"/>
      <w:sz w:val="24"/>
      <w:szCs w:val="24"/>
      <w:lang w:eastAsia="zh-CN" w:bidi="hi-IN"/>
    </w:rPr>
  </w:style>
  <w:style w:type="paragraph" w:styleId="NormalWeb">
    <w:name w:val="Normal (Web)"/>
    <w:basedOn w:val="Normal"/>
    <w:uiPriority w:val="99"/>
    <w:semiHidden/>
    <w:unhideWhenUsed/>
    <w:rsid w:val="00E80E3C"/>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087047">
      <w:bodyDiv w:val="1"/>
      <w:marLeft w:val="0"/>
      <w:marRight w:val="0"/>
      <w:marTop w:val="0"/>
      <w:marBottom w:val="0"/>
      <w:divBdr>
        <w:top w:val="none" w:sz="0" w:space="0" w:color="auto"/>
        <w:left w:val="none" w:sz="0" w:space="0" w:color="auto"/>
        <w:bottom w:val="none" w:sz="0" w:space="0" w:color="auto"/>
        <w:right w:val="none" w:sz="0" w:space="0" w:color="auto"/>
      </w:divBdr>
    </w:div>
    <w:div w:id="1513908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1042</Words>
  <Characters>5732</Characters>
  <Application>Microsoft Office Word</Application>
  <DocSecurity>0</DocSecurity>
  <Lines>47</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USUARIO</cp:lastModifiedBy>
  <cp:revision>19</cp:revision>
  <dcterms:created xsi:type="dcterms:W3CDTF">2022-03-25T16:43:00Z</dcterms:created>
  <dcterms:modified xsi:type="dcterms:W3CDTF">2022-03-28T03:39:00Z</dcterms:modified>
</cp:coreProperties>
</file>