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ind w:left="0" w:right="0" w:hanging="0"/>
        <w:jc w:val="center"/>
        <w:rPr>
          <w:rFonts w:ascii="Arial" w:hAnsi="Arial" w:eastAsia="Arial" w:cs="Arial"/>
          <w:b/>
          <w:b/>
          <w:bCs/>
          <w:color w:val="000000"/>
          <w:sz w:val="24"/>
          <w:szCs w:val="24"/>
        </w:rPr>
      </w:pPr>
      <w:r>
        <w:rPr>
          <w:rFonts w:eastAsia="Arial" w:cs="Arial" w:ascii="Arial" w:hAnsi="Arial"/>
          <w:b/>
          <w:bCs/>
          <w:color w:val="000000"/>
          <w:sz w:val="24"/>
          <w:szCs w:val="24"/>
        </w:rPr>
        <w:t>Índice General.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Introducción General</w:t>
        <w:tab/>
        <w:t>i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planteamiento inicial.</w:t>
        <w:tab/>
        <w:t>vi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desarrollo.</w:t>
        <w:tab/>
        <w:t>ix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justificación.</w:t>
        <w:tab/>
        <w:t>xxi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Capítulo 1.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CHAMANISMO URBANO EN AMÉRICA LATINA.</w:t>
        <w:tab/>
        <w:t>1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Introducción</w:t>
        <w:tab/>
        <w:t>1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1.1.</w:t>
        <w:tab/>
        <w:t>El chamanismo urbano en América Latina.</w:t>
        <w:tab/>
        <w:t>1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A)       Chamanismo.</w:t>
        <w:tab/>
        <w:t>2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B)       Sincretización.</w:t>
        <w:tab/>
        <w:t>9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C)       Religiosidad popular.</w:t>
        <w:tab/>
        <w:t>14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1.2.</w:t>
        <w:tab/>
        <w:t>Algunos momentos en el desarrollo de las prácticas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sincréticas mágico-religiosas latinoamericanas.</w:t>
        <w:tab/>
        <w:t>19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A)       El proceso sincrético durante la dominación europea.</w:t>
        <w:tab/>
        <w:t>20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Características del encuentro.</w:t>
        <w:tab/>
        <w:t>21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Choque y yuxtaposición de creencias.</w:t>
        <w:tab/>
        <w:t>26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institucionalización de la Iglesia Católica y el sincretismo.</w:t>
        <w:tab/>
        <w:t>32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Decadencia de la Iglesia Católica colonial.</w:t>
        <w:tab/>
        <w:t>39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B)       El proceso sincrético durante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vida independiente de los países.</w:t>
        <w:tab/>
        <w:t>40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Impacto de la Independencia en la religiosidad de América.</w:t>
        <w:tab/>
        <w:t>41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ruptura entre lo social y lo religioso.</w:t>
        <w:tab/>
        <w:t>45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Avance del catolicismo en la sociedad civil</w:t>
        <w:tab/>
        <w:t>51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época de cambios acelerados</w:t>
        <w:tab/>
        <w:t>54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1.3.</w:t>
        <w:tab/>
        <w:t>Semblante actual del chamanismo urbano</w:t>
        <w:tab/>
        <w:t>63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A)       Características</w:t>
        <w:tab/>
        <w:t>63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B)       Propuesta de distinciones</w:t>
        <w:tab/>
        <w:t>67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C)       Fuentes del chamanismo urbano</w:t>
        <w:tab/>
        <w:t>69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Capítulo 2.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REGLA DE OCHA</w:t>
        <w:tab/>
        <w:t>73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Introducción</w:t>
        <w:tab/>
        <w:t>73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2.1.</w:t>
        <w:tab/>
        <w:t>Contexto sociocultural.</w:t>
        <w:tab/>
        <w:t>73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2.2.</w:t>
        <w:tab/>
        <w:t>Desarrollo histórico.</w:t>
        <w:tab/>
        <w:t>82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A) El pueblo yoruba.</w:t>
        <w:tab/>
        <w:t>86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B) Proceso de sincretización</w:t>
        <w:tab/>
        <w:t>91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C) Desarrollo posterior</w:t>
        <w:tab/>
        <w:t>101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D) El ejemplo de una trayectoria</w:t>
        <w:tab/>
        <w:t>109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2.3.</w:t>
        <w:tab/>
        <w:t>Estructura.</w:t>
        <w:tab/>
        <w:t>113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2.4.</w:t>
        <w:tab/>
        <w:t>Patakíes: postulados doctrinales y éticos.</w:t>
        <w:tab/>
        <w:t>119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A) </w:t>
        <w:tab/>
        <w:t xml:space="preserve">Patakíes respecto a </w:t>
      </w:r>
      <w:r>
        <w:rPr>
          <w:rFonts w:eastAsia="Arial" w:cs="Arial" w:ascii="Arial" w:hAnsi="Arial"/>
          <w:i/>
          <w:iCs/>
          <w:color w:val="000000"/>
          <w:sz w:val="24"/>
          <w:szCs w:val="24"/>
        </w:rPr>
        <w:t>un hombre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o </w:t>
      </w:r>
      <w:r>
        <w:rPr>
          <w:rFonts w:eastAsia="Arial" w:cs="Arial" w:ascii="Arial" w:hAnsi="Arial"/>
          <w:i/>
          <w:iCs/>
          <w:color w:val="000000"/>
          <w:sz w:val="24"/>
          <w:szCs w:val="24"/>
        </w:rPr>
        <w:t>una persona</w:t>
      </w:r>
      <w:r>
        <w:rPr>
          <w:rFonts w:eastAsia="Arial" w:cs="Arial" w:ascii="Arial" w:hAnsi="Arial"/>
          <w:color w:val="000000"/>
          <w:sz w:val="24"/>
          <w:szCs w:val="24"/>
        </w:rPr>
        <w:t>.</w:t>
        <w:tab/>
        <w:t>125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B) </w:t>
        <w:tab/>
        <w:t>Patakíes respecto a “un rey”.</w:t>
        <w:tab/>
        <w:t>130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C) </w:t>
        <w:tab/>
        <w:t>Visión de conjunto.</w:t>
        <w:tab/>
        <w:t>135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2.5.</w:t>
        <w:tab/>
        <w:t>Rituales:</w:t>
        <w:tab/>
        <w:t>138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A) </w:t>
        <w:tab/>
        <w:t>Rituales de Iniciación.</w:t>
        <w:tab/>
        <w:t>140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B) </w:t>
        <w:tab/>
        <w:t>Rituales de Adivinación.</w:t>
        <w:tab/>
        <w:t>154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oráculo de Biaggé.</w:t>
        <w:tab/>
        <w:t>158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oráculo del diloggún.</w:t>
        <w:tab/>
        <w:t>160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C) </w:t>
        <w:tab/>
        <w:t>Rituales de Curación / Propiciación.</w:t>
        <w:tab/>
        <w:t>165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rogación.</w:t>
        <w:tab/>
        <w:t>168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uso de los collares.</w:t>
        <w:tab/>
        <w:t>168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2.6.</w:t>
        <w:tab/>
        <w:t>Postura frente a otras búsquedas de trascendencia.</w:t>
        <w:tab/>
        <w:t>172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2.7.</w:t>
        <w:tab/>
        <w:t>La percepción de la sociedad civil.</w:t>
        <w:tab/>
        <w:t>176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Capítulo 3.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LA ESCUELA DE MAGIA CHAMÁNICA </w:t>
        <w:tab/>
        <w:t>184</w:t>
      </w:r>
    </w:p>
    <w:p>
      <w:pPr>
        <w:pStyle w:val="Normal"/>
        <w:tabs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72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Introducción</w:t>
        <w:tab/>
        <w:t>184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3.1.</w:t>
        <w:tab/>
        <w:t>Contexto sociocultural.</w:t>
        <w:tab/>
        <w:t>184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3.2.</w:t>
        <w:tab/>
        <w:t>Desarrollo histórico.</w:t>
        <w:tab/>
        <w:t>195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Trayectoria histórica de Sofía.</w:t>
        <w:tab/>
        <w:t>201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/>
      </w:pPr>
      <w:r>
        <w:rPr>
          <w:rFonts w:eastAsia="Arial" w:cs="Arial" w:ascii="Arial" w:hAnsi="Arial"/>
          <w:color w:val="000000"/>
          <w:sz w:val="24"/>
          <w:szCs w:val="24"/>
        </w:rPr>
        <w:t xml:space="preserve">La </w:t>
      </w:r>
      <w:r>
        <w:rPr>
          <w:rFonts w:eastAsia="Arial" w:cs="Arial" w:ascii="Arial" w:hAnsi="Arial"/>
          <w:i/>
          <w:iCs/>
          <w:color w:val="000000"/>
          <w:sz w:val="24"/>
          <w:szCs w:val="24"/>
        </w:rPr>
        <w:t>historia</w:t>
      </w:r>
      <w:r>
        <w:rPr>
          <w:rFonts w:eastAsia="Arial" w:cs="Arial" w:ascii="Arial" w:hAnsi="Arial"/>
          <w:color w:val="000000"/>
          <w:sz w:val="24"/>
          <w:szCs w:val="24"/>
        </w:rPr>
        <w:t xml:space="preserve"> de San Cipriano.</w:t>
        <w:tab/>
        <w:t>207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3.3.</w:t>
        <w:tab/>
        <w:t>Estructura.</w:t>
        <w:tab/>
        <w:t>214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3.4.</w:t>
        <w:tab/>
        <w:t>Postulados doctrinales y éticos.</w:t>
        <w:tab/>
        <w:t>218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Narraciones de “La Santa Cruz de Caravaca”.</w:t>
        <w:tab/>
        <w:t>226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Las anécdotas de Sofía.</w:t>
        <w:tab/>
        <w:t>235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3.5.</w:t>
        <w:tab/>
        <w:t>Rituales:</w:t>
        <w:tab/>
        <w:t>241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A) </w:t>
        <w:tab/>
        <w:t>Rituales de Iniciación.</w:t>
        <w:tab/>
        <w:t>241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B) </w:t>
        <w:tab/>
        <w:t>Rituales de Adivinación.</w:t>
        <w:tab/>
        <w:t>251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reconocimiento con huevo.</w:t>
        <w:tab/>
        <w:t>252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cartomancia</w:t>
        <w:tab/>
        <w:t>256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 xml:space="preserve">C) </w:t>
        <w:tab/>
        <w:t>Rituales de Curación / Propiciación.</w:t>
        <w:tab/>
        <w:t>259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3.6.</w:t>
        <w:tab/>
        <w:t>Postura frente a otras búsquedas de trascendencia.</w:t>
        <w:tab/>
        <w:t>263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3.7.</w:t>
        <w:tab/>
        <w:t>La percepción de la sociedad civil.</w:t>
        <w:tab/>
        <w:t>269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Capítulo 4.</w:t>
        <w:tab/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PROPUESTAS SOCIALES EN EL NEOCHAMANISMO.</w:t>
        <w:tab/>
        <w:t>271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Introducción.</w:t>
        <w:tab/>
        <w:t>271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4.1.</w:t>
        <w:tab/>
        <w:t>La posibilidad y los límites de la comparación.</w:t>
        <w:tab/>
        <w:t>271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4.2.</w:t>
        <w:tab/>
        <w:t>Implicaciones sociales de la trayectoria chamánica.</w:t>
        <w:tab/>
        <w:t>275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4.3.</w:t>
        <w:tab/>
        <w:t>Roles e identidades.</w:t>
        <w:tab/>
        <w:t>278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144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Rol social del líder.</w:t>
        <w:tab/>
        <w:t>282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4.4.</w:t>
        <w:tab/>
        <w:t>Los elementos ético-doctrinales.</w:t>
        <w:tab/>
        <w:t>288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Las deidades como eje doctrinal.</w:t>
        <w:tab/>
        <w:t>288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Ética y responsabilidad.</w:t>
        <w:tab/>
        <w:t>295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Relación con el catolicismo.</w:t>
        <w:tab/>
        <w:t>301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4.5.</w:t>
        <w:tab/>
        <w:t>Interpretación de sus ritos.</w:t>
        <w:tab/>
        <w:t>303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lógica de oferta-demanda.</w:t>
        <w:tab/>
        <w:t>305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oráculo.</w:t>
        <w:tab/>
        <w:t>307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Objetos de protección.</w:t>
        <w:tab/>
        <w:t>311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El conocimiento desde lo simbólico.</w:t>
      </w:r>
    </w:p>
    <w:p>
      <w:pPr>
        <w:pStyle w:val="Normal"/>
        <w:tabs>
          <w:tab w:val="clear" w:pos="720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144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Símbolos y reapropiación de la manera de conocer.</w:t>
        <w:tab/>
        <w:t>312</w:t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1440" w:leader="none"/>
          <w:tab w:val="right" w:pos="7896" w:leader="dot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La reconstrucción del orden cósmico.</w:t>
        <w:tab/>
        <w:t>317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4.6.</w:t>
        <w:tab/>
        <w:t>El neochamanismo y la sociedad.</w:t>
        <w:tab/>
        <w:t>320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A)</w:t>
        <w:tab/>
        <w:t>Lo mágico-religioso y lo social.</w:t>
        <w:tab/>
        <w:t>321</w:t>
      </w:r>
    </w:p>
    <w:p>
      <w:pPr>
        <w:pStyle w:val="Normal"/>
        <w:numPr>
          <w:ilvl w:val="1"/>
          <w:numId w:val="6"/>
        </w:numPr>
        <w:tabs>
          <w:tab w:val="clear" w:pos="720"/>
          <w:tab w:val="left" w:pos="1440" w:leader="none"/>
          <w:tab w:val="right" w:pos="7176" w:leader="dot"/>
          <w:tab w:val="left" w:pos="7920" w:leader="none"/>
          <w:tab w:val="left" w:pos="8640" w:leader="none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</w:tabs>
        <w:bidi w:val="0"/>
        <w:spacing w:lineRule="auto" w:line="336" w:before="0" w:after="0"/>
        <w:ind w:left="1440" w:right="0" w:hanging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Manejo del miedo.</w:t>
        <w:tab/>
        <w:t>325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4.7.</w:t>
        <w:tab/>
        <w:t>Perspectivas a futuro.</w:t>
        <w:tab/>
        <w:t>327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Conclusiones Generales.</w:t>
        <w:tab/>
        <w:t>330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Anexo I: Glosario.</w:t>
        <w:tab/>
        <w:t>333</w:t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tabs>
          <w:tab w:val="right" w:pos="0" w:leader="dot"/>
          <w:tab w:val="left" w:pos="720" w:leader="none"/>
          <w:tab w:val="left" w:pos="1440" w:leader="none"/>
          <w:tab w:val="right" w:pos="8616" w:leader="dot"/>
          <w:tab w:val="left" w:pos="9360" w:leader="none"/>
          <w:tab w:val="left" w:pos="10080" w:leader="none"/>
          <w:tab w:val="left" w:pos="10800" w:leader="none"/>
          <w:tab w:val="left" w:pos="11520" w:leader="none"/>
          <w:tab w:val="left" w:pos="12240" w:leader="none"/>
          <w:tab w:val="left" w:pos="12960" w:leader="none"/>
          <w:tab w:val="left" w:pos="13680" w:leader="none"/>
          <w:tab w:val="left" w:pos="14400" w:leader="none"/>
          <w:tab w:val="left" w:pos="15120" w:leader="none"/>
          <w:tab w:val="left" w:pos="15840" w:leader="none"/>
          <w:tab w:val="left" w:pos="16560" w:leader="none"/>
          <w:tab w:val="left" w:pos="17280" w:leader="none"/>
          <w:tab w:val="left" w:pos="18000" w:leader="none"/>
          <w:tab w:val="left" w:pos="18720" w:leader="none"/>
        </w:tabs>
        <w:bidi w:val="0"/>
        <w:spacing w:lineRule="auto" w:line="336" w:before="0" w:after="0"/>
        <w:ind w:left="0" w:right="0" w:firstLine="72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>Bibliografía</w:t>
        <w:tab/>
        <w:t>337</w:t>
      </w:r>
    </w:p>
    <w:sectPr>
      <w:headerReference w:type="default" r:id="rId2"/>
      <w:footerReference w:type="default" r:id="rId3"/>
      <w:type w:val="nextPage"/>
      <w:pgSz w:w="12240" w:h="15840"/>
      <w:pgMar w:left="1985" w:right="1417" w:header="1417" w:top="1700" w:footer="1417" w:bottom="170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Arial Rounded MT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Arial Rounded MT" w:hAnsi="Arial Rounded MT" w:eastAsia="Arial Rounded MT" w:cs="Arial Rounded MT"/>
        <w:sz w:val="18"/>
        <w:szCs w:val="18"/>
      </w:rPr>
    </w:pPr>
    <w:r>
      <w:rPr>
        <w:rFonts w:eastAsia="Arial Rounded MT" w:cs="Arial Rounded MT" w:ascii="Arial Rounded MT" w:hAnsi="Arial Rounded MT"/>
        <w:sz w:val="18"/>
        <w:szCs w:val="18"/>
      </w:rPr>
      <w:fldChar w:fldCharType="begin"/>
    </w:r>
    <w:r>
      <w:rPr>
        <w:sz w:val="18"/>
        <w:szCs w:val="18"/>
        <w:rFonts w:eastAsia="Arial Rounded MT" w:cs="Arial Rounded MT" w:ascii="Arial Rounded MT" w:hAnsi="Arial Rounded MT"/>
      </w:rPr>
      <w:instrText> PAGE \* roman </w:instrText>
    </w:r>
    <w:r>
      <w:rPr>
        <w:sz w:val="18"/>
        <w:szCs w:val="18"/>
        <w:rFonts w:eastAsia="Arial Rounded MT" w:cs="Arial Rounded MT" w:ascii="Arial Rounded MT" w:hAnsi="Arial Rounded MT"/>
      </w:rPr>
      <w:fldChar w:fldCharType="separate"/>
    </w:r>
    <w:r>
      <w:rPr>
        <w:sz w:val="18"/>
        <w:szCs w:val="18"/>
        <w:rFonts w:eastAsia="Arial Rounded MT" w:cs="Arial Rounded MT" w:ascii="Arial Rounded MT" w:hAnsi="Arial Rounded MT"/>
      </w:rPr>
      <w:t>iv</w:t>
    </w:r>
    <w:r>
      <w:rPr>
        <w:sz w:val="18"/>
        <w:szCs w:val="18"/>
        <w:rFonts w:eastAsia="Arial Rounded MT" w:cs="Arial Rounded MT" w:ascii="Arial Rounded MT" w:hAnsi="Arial Rounded MT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360" w:before="0" w:after="0"/>
      <w:ind w:left="0" w:right="0" w:hanging="0"/>
      <w:jc w:val="both"/>
      <w:rPr>
        <w:rFonts w:ascii="Arial" w:hAnsi="Arial" w:eastAsia="Arial" w:cs="Arial"/>
        <w:color w:val="000000"/>
        <w:sz w:val="16"/>
        <w:szCs w:val="16"/>
      </w:rPr>
    </w:pPr>
    <w:r>
      <w:rPr>
        <w:rFonts w:eastAsia="Arial" w:cs="Arial" w:ascii="Arial" w:hAnsi="Arial"/>
        <w:color w:val="000000"/>
        <w:sz w:val="16"/>
        <w:szCs w:val="16"/>
      </w:rPr>
      <w:t>Propuestas de Sociedad en Dos Casos de Chamanismo Urbano.</w:t>
      <w:tab/>
      <w:t>Indice.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5"/>
      <w:numFmt w:val="upperLetter"/>
      <w:lvlText w:val="%1)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upperLetter"/>
      <w:lvlText w:val="%2)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rPr>
      <w:vertAlign w:val="superscript"/>
    </w:rPr>
  </w:style>
  <w:style w:type="character" w:styleId="Endnoteanchor">
    <w:name w:val="Endnote_anchor"/>
    <w:rPr>
      <w:vertAlign w:val="superscript"/>
    </w:rPr>
  </w:style>
  <w:style w:type="character" w:styleId="FootnoteAnchor1">
    <w:name w:val="Footnote Anchor"/>
    <w:qFormat/>
    <w:rPr>
      <w:vertAlign w:val="superscript"/>
    </w:rPr>
  </w:style>
  <w:style w:type="character" w:styleId="EndnoteAnchor1">
    <w:name w:val="Endnote Anchor"/>
    <w:qFormat/>
    <w:rPr>
      <w:vertAlign w:val="superscript"/>
    </w:rPr>
  </w:style>
  <w:style w:type="character" w:styleId="NumberingSymbols">
    <w:name w:val="Numbering_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">
    <w:name w:val="Footnote Text"/>
    <w:basedOn w:val="Normal"/>
    <w:pPr/>
    <w:rPr/>
  </w:style>
  <w:style w:type="paragraph" w:styleId="Endnote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LibreOffice/7.0.0.3$MacOSX_X86_64 LibreOffice_project/8061b3e9204bef6b321a21033174034a5e2ea88e</Application>
  <Pages>5</Pages>
  <Words>533</Words>
  <Characters>2825</Characters>
  <CharactersWithSpaces>3305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