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0"/>
        <w:jc w:val="center"/>
      </w:pPr>
      <w:r>
        <w:rPr>
          <w:rFonts w:ascii="Arial" w:hAnsi="Arial"/>
          <w:b/>
          <w:sz w:val="30"/>
        </w:rPr>
        <w:t>ANÁLISE CRÍTICA DOS RESULTADOS</w:t>
      </w:r>
    </w:p>
    <w:p>
      <w:pPr>
        <w:spacing w:after="80" w:line="240" w:lineRule="auto"/>
      </w:pPr>
      <w:r>
        <w:t>Após a conclusão da análise, é fundamental refletir criticamente sobre os resultados obtidos, considerando não apenas os padrões identificados, mas também a qualidade dos dados, as escolhas metodológicas e os limites de interpretação de uma análise exploratória com 25 municípios.</w:t>
      </w:r>
    </w:p>
    <w:p>
      <w:pPr>
        <w:spacing w:before="140" w:after="60"/>
      </w:pPr>
      <w:r>
        <w:rPr>
          <w:b/>
          <w:sz w:val="23"/>
        </w:rPr>
        <w:t>1. VALIDADE DOS RESULTADOS</w:t>
      </w:r>
    </w:p>
    <w:p>
      <w:pPr>
        <w:spacing w:after="80" w:line="240" w:lineRule="auto"/>
      </w:pPr>
      <w:r>
        <w:t>Pontos fortes: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solução revisada com três clusters apresenta diferenças estatisticamente significativas (ANOVA, p &lt; 0,05) em parte das variáveis analisadas, incluindo densidade populacional, percentagem de idosos, desemprego, resíduos e alunos do ensino superior por 1.000 habitantes.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escolha do número de clusters foi reavaliada com o coeficiente de silhueta, testando valores de k entre 2 e 6. A solução k=3 apresentou o melhor resultado na especificação final.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reconstrução utiliza os 25 arquivos municipais originais da PORDATA, eliminando dados simulados de fallback e tornando o pipeline reprodutível.</w:t>
      </w:r>
    </w:p>
    <w:p>
      <w:pPr>
        <w:spacing w:after="80" w:line="240" w:lineRule="auto"/>
      </w:pPr>
      <w:r>
        <w:t>Limitações: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O coeficiente de silhueta de aproximadamente 0,291 indica separação moderada/limitada entre os grupos. Assim, os clusters devem ser interpretados como segmentos exploratórios, e não como categorias territoriais rígidas.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amostra de 25 municípios é reduzida face aos 308 municípios portugueses.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Os dados de 2024 podem incluir valores provisórios ou sujeitos a revisão, e alguns indicadores administrativos podem não representar integralmente os fenómenos socioeconómicos.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O teste Qui-Quadrado entre região e cluster não é utilizado como evidência inferencial nesta versão, pois a pequena amostra distribuída por várias regiões produz frequências esperadas muito baixas para uma aplicação robusta do teste.</w:t>
      </w:r>
    </w:p>
    <w:p>
      <w:pPr>
        <w:spacing w:before="140" w:after="60"/>
      </w:pPr>
      <w:r>
        <w:rPr>
          <w:b/>
          <w:sz w:val="23"/>
        </w:rPr>
        <w:t>2. INTERPRETAÇÃO DOS CLUSTERS</w:t>
      </w:r>
    </w:p>
    <w:p>
      <w:pPr>
        <w:spacing w:after="80" w:line="240" w:lineRule="auto"/>
      </w:pPr>
      <w:r>
        <w:t>Os três grupos encontrados devem ser interpretados a partir dos seus perfis médios e da posição relativa dos municípios nas variáveis utilizadas. A versão revisada evita impor rótulos como “Centros Urbanos Dinâmicos”, “Interior Envelhecido” ou “Periferia e Cidades Médias” antes de examinar quantitativamente as características de cada grupo.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composição dos clusters revela padrões territoriais interpretáveis, mas não demonstra, por si só, uma associação estatística robusta entre localização geográfica e pertença ao cluster.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Municípios pertencentes ao mesmo cluster podem continuar a apresentar diferenças relevantes; a clusterização reduz a complexidade dos dados, mas não elimina a heterogeneidade interna.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Os rótulos finais devem ser descritivos e baseados nos centroides/perfis médios, evitando interpretações causais ou juízos de valor que os dados não sustentam.</w:t>
      </w:r>
    </w:p>
    <w:p>
      <w:pPr>
        <w:spacing w:after="80" w:line="240" w:lineRule="auto"/>
      </w:pPr>
      <w:r>
        <w:t>Questão em aberto: até que ponto a inclusão de novas dimensões — como rendimento, acesso a serviços, habitação e qualidade ambiental — alteraria a composição e a interpretação dos grupos?</w:t>
      </w:r>
    </w:p>
    <w:p>
      <w:pPr>
        <w:spacing w:before="140" w:after="60"/>
      </w:pPr>
      <w:r>
        <w:rPr>
          <w:b/>
          <w:sz w:val="23"/>
        </w:rPr>
        <w:t>3. LIMITAÇÕES METODOLÓGICAS</w:t>
      </w:r>
    </w:p>
    <w:p>
      <w:pPr>
        <w:spacing w:after="80" w:line="240" w:lineRule="auto"/>
      </w:pPr>
      <w:r>
        <w:t>Quanto ao K-Means: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O algoritmo privilegia grupos aproximadamente esféricos no espaço das variáveis e pode representar mal estruturas territoriais mais complexas.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sensibilidade à inicialização foi reduzida utilizando n_init=100 e random_state fixo, aumentando a estabilidade da solução.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escolha de k=3 é útil para síntese e comunicação, mas o coeficiente de silhueta mostra que a estrutura dos grupos não é fortemente separada.</w:t>
      </w:r>
    </w:p>
    <w:p>
      <w:pPr>
        <w:spacing w:after="80" w:line="240" w:lineRule="auto"/>
      </w:pPr>
      <w:r>
        <w:t>Quanto às variáveis: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seleção de variáveis influencia diretamente a estrutura dos clusters. Para reduzir redundância, a versão revisada não utiliza simultaneamente todas as proporções etárias e exclui a população absoluta do modelo final, evitando que o porte municipal domine a segmentação.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variável Poder de Compra, citada no notebook acadêmico original, foi retirada porque não está presente nos arquivos-fonte fornecidos.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métrica de Ensino Superior foi reconstruída como alunos por 1.000 habitantes, permitindo melhor comparabilidade entre municípios de diferentes dimensões.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Continuam ausentes dimensões relevantes, como rendimento, escolaridade da população, acesso a serviços de saúde, habitação e indicadores ambientais mais abrangentes.</w:t>
      </w:r>
    </w:p>
    <w:p>
      <w:pPr>
        <w:spacing w:after="80" w:line="240" w:lineRule="auto"/>
      </w:pPr>
      <w:r>
        <w:t>Quanto aos dados: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qualidade da análise depende da consistência e atualização dos dados disponibilizados pela PORDATA/INE.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O recorte principal utiliza 2024, complementado pela variação populacional desde 2011; portanto, o modelo não constitui uma análise longitudinal completa.</w:t>
      </w:r>
    </w:p>
    <w:p>
      <w:pPr>
        <w:spacing w:before="140" w:after="60"/>
      </w:pPr>
      <w:r>
        <w:rPr>
          <w:b/>
          <w:sz w:val="23"/>
        </w:rPr>
        <w:t>4. IMPLICAÇÕES PARA POLÍTICAS PÚBLICAS</w:t>
      </w:r>
    </w:p>
    <w:p>
      <w:pPr>
        <w:spacing w:after="80" w:line="240" w:lineRule="auto"/>
      </w:pPr>
      <w:r>
        <w:t>O que a análise sugere: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Municípios com características distintas podem exigir diagnósticos e estratégias diferenciadas, em vez de intervenções uniformes.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 segmentação pode funcionar como ferramenta exploratória para identificar padrões e apoiar a priorização de análises territoriais mais detalhadas.</w:t>
      </w:r>
    </w:p>
    <w:p>
      <w:pPr>
        <w:spacing w:after="80" w:line="240" w:lineRule="auto"/>
      </w:pPr>
      <w:r>
        <w:t>O que a análise NÃO diz: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Não identifica causalidade entre os indicadores analisados e o desempenho dos municípios.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Não indica quais políticas concretas devem ser implementadas em cada grupo.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Não avalia a eficácia de políticas públicas existentes.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Não representa toda a diversidade territorial portuguesa, uma vez que a amostra cobre 25 dos 308 municípios.</w:t>
      </w:r>
    </w:p>
    <w:p>
      <w:pPr>
        <w:spacing w:before="140" w:after="60"/>
      </w:pPr>
      <w:r>
        <w:rPr>
          <w:b/>
          <w:sz w:val="23"/>
        </w:rPr>
        <w:t>5. CONTRIBUTO DO TRABALHO</w:t>
      </w:r>
    </w:p>
    <w:p>
      <w:pPr>
        <w:spacing w:after="80" w:line="240" w:lineRule="auto"/>
      </w:pPr>
      <w:r>
        <w:t>Apesar das limitações, o trabalho conseguiu:</w:t>
      </w:r>
    </w:p>
    <w:p>
      <w:pPr>
        <w:spacing w:after="40"/>
        <w:ind w:left="288" w:hanging="202"/>
      </w:pPr>
      <w:r>
        <w:rPr>
          <w:b/>
        </w:rPr>
        <w:t xml:space="preserve">1. </w:t>
      </w:r>
      <w:r>
        <w:t>Consolidar dados de 25 municípios portugueses a partir de arquivos PORDATA.</w:t>
      </w:r>
    </w:p>
    <w:p>
      <w:pPr>
        <w:spacing w:after="40"/>
        <w:ind w:left="288" w:hanging="202"/>
      </w:pPr>
      <w:r>
        <w:rPr>
          <w:b/>
        </w:rPr>
        <w:t xml:space="preserve">2. </w:t>
      </w:r>
      <w:r>
        <w:t>Aplicar um pipeline reprodutível de preparação de dados, padronização e Machine Learning não supervisionado.</w:t>
      </w:r>
    </w:p>
    <w:p>
      <w:pPr>
        <w:spacing w:after="40"/>
        <w:ind w:left="288" w:hanging="202"/>
      </w:pPr>
      <w:r>
        <w:rPr>
          <w:b/>
        </w:rPr>
        <w:t xml:space="preserve">3. </w:t>
      </w:r>
      <w:r>
        <w:t>Identificar diferenças de perfil entre os municípios a partir de indicadores demográficos, socioeconómicos e ambientais.</w:t>
      </w:r>
    </w:p>
    <w:p>
      <w:pPr>
        <w:spacing w:after="40"/>
        <w:ind w:left="288" w:hanging="202"/>
      </w:pPr>
      <w:r>
        <w:rPr>
          <w:b/>
        </w:rPr>
        <w:t xml:space="preserve">4. </w:t>
      </w:r>
      <w:r>
        <w:t>Avaliar estatisticamente quais variáveis apresentam diferenças significativas entre os grupos identificados.</w:t>
      </w:r>
    </w:p>
    <w:p>
      <w:pPr>
        <w:spacing w:after="40"/>
        <w:ind w:left="288" w:hanging="202"/>
      </w:pPr>
      <w:r>
        <w:rPr>
          <w:b/>
        </w:rPr>
        <w:t xml:space="preserve">5. </w:t>
      </w:r>
      <w:r>
        <w:t>Utilizar K-Means, coeficiente de silhueta, ANOVA e PCA de forma integrada para exploração e interpretação.</w:t>
      </w:r>
    </w:p>
    <w:p>
      <w:pPr>
        <w:spacing w:after="40"/>
        <w:ind w:left="288" w:hanging="202"/>
      </w:pPr>
      <w:r>
        <w:rPr>
          <w:b/>
        </w:rPr>
        <w:t xml:space="preserve">6. </w:t>
      </w:r>
      <w:r>
        <w:t>Demonstrar a importância de revisar criticamente resultados, corrigindo inconsistências metodológicas e evitando conclusões que ultrapassem o suporte dos dados.</w:t>
      </w:r>
    </w:p>
    <w:p>
      <w:pPr>
        <w:spacing w:before="140" w:after="60"/>
      </w:pPr>
      <w:r>
        <w:rPr>
          <w:b/>
          <w:sz w:val="23"/>
        </w:rPr>
        <w:t>6. TRABALHO FUTURO</w:t>
      </w:r>
    </w:p>
    <w:p>
      <w:pPr>
        <w:spacing w:after="80" w:line="240" w:lineRule="auto"/>
      </w:pPr>
      <w:r>
        <w:t>Para superar as limitações identificadas, propõe-se: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Alargar a amostra aos 308 municípios portugueses.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Incluir novas variáveis, como rendimento, escolaridade, acesso a serviços, habitação e indicadores ambientais.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Testar outros algoritmos: clustering hierárquico, DBSCAN e Gaussian Mixture Models.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Desenvolver análise longitudinal para estudar como os perfis municipais evoluíram entre 2011 e 2024.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Aplicar técnicas adicionais de validação de clusters e testar a estabilidade dos agrupamentos sob diferentes conjuntos de variáveis.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Realizar validação qualitativa, confrontando os resultados com especialistas em geografia, economia e desenvolvimento regional.</w:t>
      </w:r>
    </w:p>
    <w:p>
      <w:pPr>
        <w:spacing w:after="40"/>
        <w:ind w:left="288" w:hanging="202"/>
      </w:pPr>
      <w:r>
        <w:rPr>
          <w:b/>
        </w:rPr>
        <w:t xml:space="preserve">• </w:t>
      </w:r>
      <w:r>
        <w:t>Aprofundar a análise intra-cluster para estudar a heterogeneidade dentro de cada grupo.</w:t>
      </w:r>
    </w:p>
    <w:p>
      <w:pPr>
        <w:spacing w:before="140" w:after="60"/>
      </w:pPr>
      <w:r>
        <w:rPr>
          <w:b/>
          <w:sz w:val="23"/>
        </w:rPr>
        <w:t>7. REFLEXÃO FINAL</w:t>
      </w:r>
    </w:p>
    <w:p>
      <w:pPr>
        <w:spacing w:after="80" w:line="240" w:lineRule="auto"/>
      </w:pPr>
      <w:r>
        <w:t>A análise de clusters mostrou-se útil para sintetizar informação multidimensional e revelar padrões entre os municípios estudados. Ao mesmo tempo, a revisão metodológica evidencia que modelos de Machine Learning não supervisionado exigem interpretação cuidadosa: a existência de clusters computacionais não significa que existam fronteiras territoriais naturais ou categorias absolutas.</w:t>
      </w:r>
    </w:p>
    <w:p>
      <w:pPr>
        <w:spacing w:after="80"/>
        <w:jc w:val="center"/>
      </w:pPr>
      <w:r>
        <w:rPr>
          <w:b/>
          <w:i/>
        </w:rPr>
        <w:t>“Os modelos são aproximações da realidade, não a realidade em si.”</w:t>
      </w:r>
    </w:p>
    <w:p>
      <w:pPr>
        <w:spacing w:after="80" w:line="240" w:lineRule="auto"/>
      </w:pPr>
      <w:r>
        <w:t>Os três grupos identificados devem, portanto, ser entendidos como construções analíticas exploratórias. Cada município mantém características próprias, e a segmentação serve como ponto de partida para investigações mais aprofundadas.</w:t>
      </w:r>
    </w:p>
    <w:p>
      <w:pPr>
        <w:spacing w:after="80" w:line="240" w:lineRule="auto"/>
      </w:pPr>
      <w:r>
        <w:t>A principal mais-valia do trabalho é demonstrar como técnicas de análise de dados e Machine Learning podem ser utilizadas para identificar padrões e diferenças entre municípios portugueses, ao mesmo tempo que evidencia a importância da reprodutibilidade, da validação estatística e do reconhecimento explícito das limitações do modelo.</w:t>
      </w:r>
    </w:p>
    <w:sectPr w:rsidR="00B16F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414C"/>
    <w:multiLevelType w:val="multilevel"/>
    <w:tmpl w:val="60E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77A2E"/>
    <w:multiLevelType w:val="multilevel"/>
    <w:tmpl w:val="EED8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B7B5A"/>
    <w:multiLevelType w:val="multilevel"/>
    <w:tmpl w:val="0E96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46319"/>
    <w:multiLevelType w:val="multilevel"/>
    <w:tmpl w:val="DF2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80AFC"/>
    <w:multiLevelType w:val="multilevel"/>
    <w:tmpl w:val="1BC4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1752F"/>
    <w:multiLevelType w:val="multilevel"/>
    <w:tmpl w:val="9AB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B295F"/>
    <w:multiLevelType w:val="multilevel"/>
    <w:tmpl w:val="D2C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3795C"/>
    <w:multiLevelType w:val="multilevel"/>
    <w:tmpl w:val="2E0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65EA4"/>
    <w:multiLevelType w:val="multilevel"/>
    <w:tmpl w:val="1364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E77E0"/>
    <w:multiLevelType w:val="multilevel"/>
    <w:tmpl w:val="1F2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8330A"/>
    <w:multiLevelType w:val="multilevel"/>
    <w:tmpl w:val="AE00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54FFF"/>
    <w:multiLevelType w:val="multilevel"/>
    <w:tmpl w:val="612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218655">
    <w:abstractNumId w:val="2"/>
  </w:num>
  <w:num w:numId="2" w16cid:durableId="1601839561">
    <w:abstractNumId w:val="3"/>
  </w:num>
  <w:num w:numId="3" w16cid:durableId="279267378">
    <w:abstractNumId w:val="6"/>
  </w:num>
  <w:num w:numId="4" w16cid:durableId="948705329">
    <w:abstractNumId w:val="9"/>
  </w:num>
  <w:num w:numId="5" w16cid:durableId="1578054413">
    <w:abstractNumId w:val="7"/>
  </w:num>
  <w:num w:numId="6" w16cid:durableId="2000842168">
    <w:abstractNumId w:val="4"/>
  </w:num>
  <w:num w:numId="7" w16cid:durableId="243800140">
    <w:abstractNumId w:val="11"/>
  </w:num>
  <w:num w:numId="8" w16cid:durableId="1258439446">
    <w:abstractNumId w:val="5"/>
  </w:num>
  <w:num w:numId="9" w16cid:durableId="269433697">
    <w:abstractNumId w:val="10"/>
  </w:num>
  <w:num w:numId="10" w16cid:durableId="701396888">
    <w:abstractNumId w:val="1"/>
  </w:num>
  <w:num w:numId="11" w16cid:durableId="1098529181">
    <w:abstractNumId w:val="8"/>
  </w:num>
  <w:num w:numId="12" w16cid:durableId="171981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3A"/>
    <w:rsid w:val="00083B32"/>
    <w:rsid w:val="005370F0"/>
    <w:rsid w:val="006B0FAA"/>
    <w:rsid w:val="00B16F8F"/>
    <w:rsid w:val="00DE1A53"/>
    <w:rsid w:val="00EC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8359B8C"/>
  <w15:chartTrackingRefBased/>
  <w15:docId w15:val="{E0B2E871-CD9C-42E4-A470-96DE80D4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EC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C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C4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C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C4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C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C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C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C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C4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C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C4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C4F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C4F3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C4F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C4F3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C4F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C4F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C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C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C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C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C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C4F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F3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C4F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C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C4F3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C4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764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Guedes</dc:creator>
  <cp:keywords/>
  <dc:description/>
  <cp:lastModifiedBy>Marcus Guedes</cp:lastModifiedBy>
  <cp:revision>2</cp:revision>
  <dcterms:created xsi:type="dcterms:W3CDTF">2026-03-14T12:01:00Z</dcterms:created>
  <dcterms:modified xsi:type="dcterms:W3CDTF">2026-03-28T08:37:00Z</dcterms:modified>
</cp:coreProperties>
</file>